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CAMPUS VENUE CAPACITY &amp; UTILIZATION AUDIT</w:t>
      </w:r>
    </w:p>
    <w:p>
      <w:pPr>
        <w:jc w:val="center"/>
        <w:spacing w:after="280"/>
      </w:pPr>
      <w:r>
        <w:rPr>
          <w:sz w:val="18"/>
          <w:color w:val="44534B"/>
        </w:rPr>
        <w:t>Testing Hall and Classroom Usage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Campus Building</w:t>
            </w:r>
          </w:p>
        </w:tc>
        <w:tc>
          <w:tcPr>
            <w:tcW w:w="1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Room Code</w:t>
            </w:r>
          </w:p>
        </w:tc>
        <w:tc>
          <w:tcPr>
            <w:tcW w:w="24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Capacity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Sessions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Tested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Occupancy %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Status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{{building_name}}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{{capacity}}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{{tested_count}}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{{occupancy_rate}}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{{venue_status}}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{{building_name}}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{{capacity}}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{{tested_count}}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{{occupancy_rate}}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{{venue_status}}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{{building_name}}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{{capacity}}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{{tested_count}}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{{occupancy_rate}}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{{venue_status}}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Audited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Facilities &amp; Space Administrator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Campus Executive Director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