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bookmarkStart w:id="851895" w:name="tag_ch1_introduction"/>
      <w:pPr>
        <w:pStyle w:val="Heading1"/>
      </w:pPr>
      <w:r>
        <w:t>Chapter 1: Introduction</w:t>
      </w:r>
      <w:bookmarkEnd w:id="851895" w:name="tag_ch1_introduction"/>
    </w:p>
    <w:p>
      <w:pPr/>
      <w:r>
        <w:t>[MISSING FROM DEFENSE DOCX — add from archive/drafts/]</w:t>
      </w:r>
    </w:p>
    <w:p>
      <w:bookmarkStart w:id="652088" w:name="tag_ch1_bg_of_the_study"/>
      <w:pPr>
        <w:pStyle w:val="Heading2"/>
      </w:pPr>
      <w:r>
        <w:t>Background of the Study</w:t>
      </w:r>
      <w:bookmarkEnd w:id="652088" w:name="tag_ch1_bg_of_the_study"/>
    </w:p>
    <w:p>
      <w:pPr>
        <w:pStyle w:val="Heading2"/>
      </w:pPr>
      <w:r>
        <w:t>Background of the Study</w:t>
      </w:r>
    </w:p>
    <w:p>
      <w:pPr/>
      <w:r>
        <w:t>&lt;!-- &lt;updated section="Background of the Study" para="1"&gt; --&gt;</w:t>
      </w:r>
    </w:p>
    <w:p>
      <w:pPr/>
      <w:r>
        <w:t>Education is the architecture of possibility — the societal process through which careers are shaped, futures are forged, and institutional missions are fulfilled. Examination stands as its inseparable partner: not merely a gatekeeper but a co-designer of quality, accountability, and the alignment of educational outcomes. The management of examinations, therefore, carries weight equal to education itself, for it is through rigorous and fair assessment that the promise of education is verified, upheld, and made trustworthy.</w:t>
      </w:r>
    </w:p>
    <w:p>
      <w:pPr/>
      <w:r>
        <w:t>Yet a quiet asymmetry persists. The quality and design of examinations have deep academic roots in psychometric theory and statistical rigor, but the orchestration and management of examination processes rarely receive equivalent attention. Manual workflows endure. Informal coordination between offices substitutes for systematized handoffs. Proven tools — Item Calibration and Testing (ICAT), optical mark recognition, automated scoring platforms — are validated in the global literature yet remain strangely underutilized in the operational management space of regional institutions.</w:t>
      </w:r>
    </w:p>
    <w:p>
      <w:pPr/>
      <w:r>
        <w:t>The surge reshaping education is not only technological; it is human and institutional. More applicants arrive each cycle. Career landscapes shift beneath institutional feet. Adaptation demands outpace legacy workflows. The volume and velocity of modern admission processes demand systems that can keep stride. As organizational psychology has long established, "you never get a second chance to make a first impression" (Rogers, n.d., as cited in Ambady &amp; Rosenthal, 1992). The accumulated experience of managing examinations and admissions yields a clear signal: new tools, new approaches, and new frameworks are emerging — not as academic exercises, but as responses to genuine needs that cannot wait. SecureCAT enters this space as one such response, its architecture shaped by the pressure these gaps create.</w:t>
      </w:r>
    </w:p>
    <w:p>
      <w:pPr/>
      <w:r>
        <w:t>&lt;!-- &lt;/updated&gt; --&gt;</w:t>
      </w:r>
    </w:p>
    <w:p>
      <w:bookmarkStart w:id="939635" w:name="tag_ch1_background_para_2"/>
      <w:pPr>
        <w:pStyle w:val="Heading2"/>
      </w:pPr>
      <w:r>
        <w:t>ch1-background-para-2</w:t>
      </w:r>
      <w:bookmarkEnd w:id="939635" w:name="tag_ch1_background_para_2"/>
    </w:p>
    <w:p>
      <w:pPr/>
      <w:r>
        <w:t>&lt;!-- &lt;updated section="Background of the Study" para="2"&gt; --&gt;</w:t>
      </w:r>
    </w:p>
    <w:p>
      <w:pPr/>
      <w:r>
        <w:t>The field of higher education admissions has undergone notable digital transformation since the early 2020s, driven by the convergence of cloud computing, automated assessment technologies, and data privacy regulations that reshape how institutions process, evaluate, and admit prospective students (Chen &amp; Liu, 2024). Universities across North America, Europe, and East Asia have widely adopted unified admission management platforms that integrate application intake, document verification, examination scheduling, automated scoring, and result dissemination into single digital ecosystems, replacing the fragmented manual workflows that characterized earlier administrative practices (Chen &amp; Liu, 2024). A central component of this transformation is the adoption of automated scoring technologies, particularly optical mark recognition systems that scan bubble-sheet answer sheets and produce instant scores, eliminating the labor-intensive process of manual answer-key comparison that remains prevalent in under-resourced institutions (Park et al., 2023). Beyond traditional optical mark recognition, recent advances in computer vision and deep learning have enabled AI-based assessment platforms that can evaluate handwritten responses, detect cheating patterns through behavioral analytics, and generate adaptive test items calibrated to individual applicant ability levels (Kumar &amp; Singh, 2025). Concurrently, role-based access control has become a standard security approach in educational software systems, ensuring that staff access to applicant records, examination materials, and score databases is strictly governed by institutional role rather than broad administrative privileges (Williams &amp; Garcia, 2024). A growing subset of these platforms incorporates retrieval-augmented generation, a technique in which an AI model first retrieves relevant documents from a curated institutional knowledge base before composing responses, enabling contextually accurate, institution-specific guidance rather than generic conversational output (Müller &amp; Hoffmann, 2023). In the admission context, retrieval-augmented generation systems draw on institutional policy documents, program details, course offerings, admission requirements, and frequently asked questions to provide applicants with precise, personalized answers about the application process, examination preparation, and post-examination next steps, without requiring live counselor involvement for routine inquiries. The appeal of this approach is amplified in institutions where counselor availability is limited by staffing constraints, seasonal demand surges, and fixed office hours, conditions that leave applicants without guidance during evenings, weekends, and peak processing periods. Universities that have deployed retrieval-augmented chatbots report measurable reductions in routine administrative inquiries, shorter applicant wait times, and improved applicant satisfaction, as the AI companion can handle pre-examination guidance such as what to expect on the test, what documents to prepare, and how to interpret scoring criteria, as well as post-examination advising including course recommendations based on aptitude profiles, alternative program suggestions, and next-step instructions, all validated against the institutional knowledge base rather than generated from generic training data (Okafor &amp; Tanaka, 2024). Importantly, these AI companions are positioned not as replacements for human counselors but as augmentations that extend counselor reach beyond physical office hours, allowing guidance staff to focus on complex cases that require professional judgment while the companion handles high-volume, repetitive inquiries with retrieval-augmented accuracy. The convergence of these global trends in automated assessment, role-based security, and retrieval-augmented AI assistance establishes both the technological precedent and the performance benchmark against which regional Philippine institutions must evaluate their own admission infrastructure.</w:t>
      </w:r>
    </w:p>
    <w:p>
      <w:pPr/>
      <w:r>
        <w:t>&lt;!-- &lt;/updated&gt; --&gt;</w:t>
      </w:r>
    </w:p>
    <w:p>
      <w:pPr/>
      <w:r>
        <w:t>&lt;!-- &lt;to-be-removed section="Background of the Study" para="2" reason="Redundancy: Chen &amp; Liu (2024) cited twice for same claim about unified platforms and digital transformation; consolidating into single citation"&gt; --&gt;Chen &amp; Liu (2024) cited twice for unified admission platforms claim.&lt;!-- &lt;/to-be-removed&gt; --&gt;</w:t>
      </w:r>
    </w:p>
    <w:p>
      <w:pPr/>
      <w:r>
        <w:t>&lt;!-- &lt;to-be-removed section="Background of the Study" para="2" reason="Overstatement: 'institutions reporting score release timelines compressed from weeks to hours' — specific quantitative claim lacks direct citation; Park et al. (2023) discusses OMR generally, not specific timeline compression"&gt; --&gt;Institutions reporting score release compressed from weeks to hours — unsupported quantification.&lt;!-- &lt;/to-be-removed&gt; --&gt;</w:t>
      </w:r>
    </w:p>
    <w:p>
      <w:pPr/>
      <w:r>
        <w:t>&lt;!-- &lt;to-be-removed section="Background of the Study" para="2" reason="Weak transition: Jump from OMR (Park et al., 2023) to computer vision/deep learning (Kumar &amp; Singh, 2025) to RBAC (Williams &amp; Garcia, 2024) to RAG (Müller &amp; Hoffmann, 2023) without connective tissue; reads as catalog rather than narrative"&gt; --&gt;Abrupt topical shifts between OMR → CV/DL → RBAC → RAG without transitional sentences.&lt;!-- &lt;/to-be-removed&gt; --&gt;</w:t>
      </w:r>
    </w:p>
    <w:p>
      <w:pPr/>
      <w:r>
        <w:t>&lt;!-- &lt;to-be-removed section="Background of the Study" para="2" reason="Circular argumentation: Paragraph cites global adoption of technologies (OMR, RAG, RBAC) as precedent, then concludes these establish 'benchmark against which regional institutions must evaluate' — but SecureCAT's design incorporates these same technologies, making the gap definition circular (gap = absence of SecureCAT's features)"&gt; --&gt;Gap framed as absence of technologies that SecureCAT itself provides; circular justification.&lt;!-- &lt;/to-be-removed&gt; --&gt;</w:t>
      </w:r>
    </w:p>
    <w:p>
      <w:bookmarkStart w:id="623439" w:name="tag_ch1_background_para_3"/>
      <w:pPr>
        <w:pStyle w:val="Heading2"/>
      </w:pPr>
      <w:r>
        <w:t>ch1-background-para-3</w:t>
      </w:r>
      <w:bookmarkEnd w:id="623439" w:name="tag_ch1_background_para_3"/>
    </w:p>
    <w:p>
      <w:pPr/>
      <w:r>
        <w:t>The Philippine higher education sector, overseen by the Commission on Higher Education (CHED), is undergoing a systemic transition toward modernization driven by national digitalization mandates and regulatory reforms. The enactment of Republic Act No. 10931, also known as the Universal Access to Quality Tertiary Education Act of 2017, dramatically increased student enrollment at State Universities and Colleges (SUCs), creating significant administrative and workflow bottlenecks across public campuses (Malaluan &amp; Wang, 2023). To address these administrative challenges, CHED has promoted digital transformation initiatives to optimize enrollment management, scheduling, and student records processing (Caintic &amp; Lahaylahay, 2024). Simultaneously, the Department of Information and Communications Technology (DICT) has championed the E-Government Act of 2022 and the National Broadband Plan to expand digital services and establish connectivity infrastructure in regional academic settings (Department of Information and Communications Technology, 2023). These digitalization efforts are further accelerated by the post-pandemic period, which compelled academic institutions to transition from temporary, ad-hoc workarounds to permanent, resilient web-based platforms (Comprendio &amp; Canlas, 2025). However, implementing these digital solutions requires strict adherence to Republic Act No. 10173, or the Data Privacy Act of 2012, which mandates educational institutions to protect student personally identifiable information and examination records against security breaches (National Privacy Commission, 2024). Despite these national mandates, a significant digital readiness gap persists between metropolitan flagship universities and regional state colleges (Caintic &amp; Lahaylahay, 2024). While urban institutions benefit from mature cloud infrastructure, provincial campuses frequently struggle with limited resources, budget constraints, and insufficient server hardware (Comprendio &amp; Canlas, 2025).</w:t>
      </w:r>
    </w:p>
    <w:p>
      <w:pPr/>
      <w:r>
        <w:t>&lt;!-- &lt;to-be-removed section="Background of the Study" para="3" reason="Redundancy: Caintic &amp; Lahaylahay (2024) cited twice for same claim about digital readiness gap between metropolitan and regional SUCs"&gt; --&gt;Caintic &amp; Lahaylahay (2024) cited twice for digital readiness gap claim.&lt;!-- &lt;/to-be-removed&gt; --&gt;</w:t>
      </w:r>
    </w:p>
    <w:p>
      <w:pPr/>
      <w:r>
        <w:t>&lt;!-- &lt;to-be-removed section="Background of the Study" para="3" reason="Overstatement: 'significant digital readiness gap persists' presented as established fact without quantitative evidence; Caintic &amp; Lahaylahay (2024) is a comparative analysis, not a gap measurement study"&gt; --&gt;'Significant digital readiness gap' lacks quantitative measurement — overstates comparative study findings.&lt;!-- &lt;/to-be-removed&gt; --&gt;</w:t>
      </w:r>
    </w:p>
    <w:p>
      <w:pPr/>
      <w:r>
        <w:t>&lt;!-- &lt;to-be-removed section="Background of the Study" para="3" reason="Weak transition: Abrupt shift from CHED mandates (sentence 1) to DICT/E-Government (sentence 2) to post-pandemic acceleration (sentence 3) to RA 10173 (sentence 4) to digital readiness gap (sentence 5) — five distinct policy threads without synthesis connectors"&gt; --&gt;Five policy threads (CHED, DICT, post-pandemic, RA 10173, readiness gap) listed without synthesis.&lt;!-- &lt;/to-be-removed&gt; --&gt;</w:t>
      </w:r>
    </w:p>
    <w:p>
      <w:pPr/>
      <w:r>
        <w:t>&lt;!-- &lt;to-be-removed section="Background of the Study" para="3" reason="Circular argumentation: Paragraph establishes national mandates as context, then identifies 'gap' that SecureCAT's features (RBAC, RA 10173 compliance, offline resilience) are designed to fill — the gap is defined by the solution's feature set"&gt; --&gt;National mandates cited as context, then 'gap' mirrors SecureCAT's RBAC/privacy/offline features.&lt;!-- &lt;/to-be-removed&gt; --&gt;</w:t>
      </w:r>
    </w:p>
    <w:p>
      <w:bookmarkStart w:id="58219" w:name="tag_ch1_background_para_4"/>
      <w:pPr>
        <w:pStyle w:val="Heading2"/>
      </w:pPr>
      <w:r>
        <w:t>ch1-background-para-4</w:t>
      </w:r>
      <w:bookmarkEnd w:id="58219" w:name="tag_ch1_background_para_4"/>
    </w:p>
    <w:p>
      <w:pPr/>
      <w:r>
        <w:t>&lt;!-- &lt;updated section="Background of the Study" para="4"&gt; --&gt;</w:t>
      </w:r>
    </w:p>
    <w:p>
      <w:pPr/>
      <w:r>
        <w:t>The local operational context at the Ilocos Sur Polytechnic State College (ISPSC) Tagudin Campus reflects the administrative challenges common to regional Philippine State Universities and Colleges during peak enrollment periods (Caintic &amp; Lahaylahay, 2024). As a public institution serving students under Republic Act No. 10931, the campus receives approximately 700 to 1,000 freshman applicants per admission cycle, a volume that places considerable strain on a largely paper-based workflow (Malaluan &amp; Wang, 2023). Applicant intake at the Registrar Office is conducted exclusively through paper forms, with all submitted documents filed in physical folders secured by locked cabinets and no digital backups. Admission slips are produced manually using Microsoft Word templates, a task that grows increasingly time-consuming as application volumes rise. No digital portal exists for applicants to check their status; the Guidance Office's Facebook page serves as the only announcement channel, and applicants who need a specific update must call or return to the campus in person. Scheduling between the Registrar and Guidance Offices is arranged through verbal communication or text messages with no shared calendar or coordinating platform, making the handoff between offices susceptible to delays when staff are unavailable. Physical applicant records are protected only by locked filing cabinets, and no formal data privacy protocol governs access to the spreadsheets used for tracking, leaving sensitive information without the controls required under Republic Act No. 10173 (National Privacy Commission, 2024). The Guidance Office conducts all proctoring using its own staff, tracks exam attendance on printed paper rosters, and scores each answer sheet using the manual stencil method, a process that takes two to three days for a batch of fifty applicants and contributes to a cumulative delay of one to two weeks before results are released (Comprendio &amp; Canlas, 2025). Although instances of duplicate data entries and misplaced applicant files occur only rarely, the absence of automated validation means that when errors do surface, they require staff intervention to resolve. Summary reports for the Campus Director are compiled verbally upon request rather than through a formal reporting system, which limits visibility into real-time admission progress (Comprendio &amp; Canlas, 2025). The Guidance Office's existing digital system is a basic PHP application with minimal access restrictions, inadequate to protect the confidential scoring conversion tables or the sensitive aptitude results it handles. These interconnected gaps, which became especially visible during the pandemic's disruption to in-person admission operations, point to the need for an integrated, secure, and offline-resilient system that can serve the specific operational realities of this campus (Department of Information and Communications Technology, 2023).</w:t>
      </w:r>
    </w:p>
    <w:p>
      <w:pPr/>
      <w:r>
        <w:t>&lt;!-- &lt;/updated&gt; --&gt;</w:t>
      </w:r>
    </w:p>
    <w:p>
      <w:pPr/>
      <w:r>
        <w:t>&lt;!-- &lt;to-be-removed section="Background of the Study" para="4" reason="Redundancy: 'paper-based' stated three times (paper forms, paper rosters, paper-based workflow); 'locked cabinets/filing cabinets' stated twice; 'manual' stated four times (manual stencil, manual Word templates, manual scheduling, manual reporting)"&gt; --&gt;'Paper-based', 'locked cabinets', 'manual' repeated 3-4 times each — lexical redundancy.&lt;!-- &lt;/to-be-removed&gt; --&gt;</w:t>
      </w:r>
    </w:p>
    <w:p>
      <w:pPr/>
      <w:r>
        <w:t>&lt;!-- &lt;to-be-removed section="Background of the Study" para="4" reason="Overstatement: 'absence of automated validation means that when errors do surface, they require staff intervention' — tautological claim (errors always require intervention); 'point to the need for an integrated, secure, and offline-resilient system' — prescriptive leap from local observation to specific architectural requirements"&gt; --&gt;Tautology: 'errors require intervention'; prescriptive leap to SecureCAT's exact architecture.&lt;!-- &lt;/to-be-removed&gt; --&gt;</w:t>
      </w:r>
    </w:p>
    <w:p>
      <w:pPr/>
      <w:r>
        <w:t>&lt;!-- &lt;to-be-removed section="Background of the Study" para="4" reason="Weak transition: Paragraph catalogs 10+ distinct problems (paper forms, no digital backup, manual slips, no portal, Facebook announcements, verbal scheduling, locked cabinets, no privacy protocol, stencil scoring, verbal reports, basic PHP system) without grouping or narrative flow — reads as defect list rather than analytical account"&gt; --&gt;10+ problems listed as ungrouped catalog — no thematic grouping or narrative arc.&lt;!-- &lt;/to-be-removed&gt; --&gt;</w:t>
      </w:r>
    </w:p>
    <w:p>
      <w:pPr/>
      <w:r>
        <w:t>&lt;!-- &lt;to-be-removed section="Background of the Study" para="4" reason="Circular argumentation: Each operational gap listed (no RBAC, no audit trail, no OMR, no offline resilience, no AI companion) maps 1:1 to SecureCAT's feature set — the 'observed gaps' are defined by the solution's capabilities"&gt; --&gt;Each gap (no RBAC, no OMR, no offline, no AI) maps 1:1 to SecureCAT features — gap defined by solution.&lt;!-- &lt;/to-be-removed&gt; --&gt;</w:t>
      </w:r>
    </w:p>
    <w:p>
      <w:bookmarkStart w:id="873961" w:name="tag_ch1_background_para_5"/>
      <w:pPr>
        <w:pStyle w:val="Heading2"/>
      </w:pPr>
      <w:r>
        <w:t>ch1-background-para-5</w:t>
      </w:r>
      <w:bookmarkEnd w:id="873961" w:name="tag_ch1_background_para_5"/>
    </w:p>
    <w:p>
      <w:pPr/>
      <w:r>
        <w:t>While global academic institutions have successfully deployed unified admission systems (Chen &amp; Liu, 2024; Müller &amp; Hoffmann, 2023), and national mandates demand strict data privacy and digitalization (National Privacy Commission, 2024; Department of Information and Communications Technology, 2023), regional campuses like ISPSC Tagudin continue to operate with disconnected legacy platforms that leave significant operational and security gaps (Caintic &amp; Lahaylahay, 2024; Comprendio &amp; Canlas, 2025). Studies in computerized admissions often focus on static record management or cloud-hosted student portals, yet they fail to address campuses that lack persistent connectivity and require offline resilience for high-volume intake (Chen &amp; Liu, 2024). In addition, while cloud-based AI tools can automate applicant support, they introduce severe security risks regarding the exposure of sensitive student records and confidential scoring tables on third-party servers (Okafor &amp; Tanaka, 2024). This leaves a critical research gap: the lack of a secure, unified framework that coordinates inter-office workflows, automates scoring, and embeds local intelligence directly within the campus database. Addressing this gap requires data-driven decision-making systems that can translate raw applicant metrics into actionable academic guidance. In this context, machine learning techniques offer a robust framework for extracting intelligent insights from applicant profiles, enabling institutions to generate data-driven course recommendations based on multi-dimensional aptitude profiles and utilize applicant profiling to optimize placement decisions (Kumar &amp; Singh, 2025). The relevance and validity of this approach have been demonstrated through local institutional research at ISPSC, where K-Means clustering algorithms were applied to historical student datasets. Specifically, Yukee et al. (2025) validated the use of a K=4 clustering configuration on entrance examination results to establish dis...</w:t>
      </w:r>
    </w:p>
    <w:p>
      <w:pPr/>
      <w:r>
        <w:t>&lt;!-- &lt;to-be-removed section="Background of the Study" para="5" reason="Redundancy: Chen &amp; Liu (2024) cited third time (previously para 2 twice, now para 5) for same general claim about unified/cloud systems; Caintic &amp; Lahaylahay (2024) cited third time (para 3, para 5, para 4) for regional SUC gaps"&gt; --&gt;Chen &amp; Liu (2024) cited 3rd time; Caintic &amp; Lahaylahay (2024) cited 3rd time — citation fatigue.&lt;!-- &lt;/to-be-removed&gt; --&gt;</w:t>
      </w:r>
    </w:p>
    <w:p>
      <w:pPr/>
      <w:r>
        <w:t>&lt;!-- &lt;to-be-removed section="Background of the Study" para="5" reason="Overstatement: 'critical research gap: the lack of a secure, unified framework that coordinates inter-office workflows, automates scoring, and embeds local intelligence directly within the campus database' — absolute claim ('the lack') ignores existing partial solutions; 'critical' is evaluative language not supported by evidence presented"&gt; --&gt;'Critical research gap... the lack of a secure unified framework' — absolute claim unsupported; evaluative 'critical' without evidence.&lt;!-- &lt;/to-be-removed&gt; --&gt;</w:t>
      </w:r>
    </w:p>
    <w:p>
      <w:pPr/>
      <w:r>
        <w:t>&lt;!-- &lt;to-be-removed section="Background of the Study" para="5" reason="Weak transition: Paragraph attempts to synthesize global+national+local but merely restates claims from prior three paragraphs (global unified systems, national mandates, local gaps) without new synthesis; then pivots abruptly to ML/K-Means justification without bridging sentence"&gt; --&gt;Synthesis paragraph restates prior claims without integration; abrupt pivot to ML/K-Means.&lt;!-- &lt;/to-be-removed&gt; --&gt;</w:t>
      </w:r>
    </w:p>
    <w:p>
      <w:pPr/>
      <w:r>
        <w:t>&lt;!-- &lt;to-be-removed section="Background of the Study" para="5" reason="Circular argumentation: 'Research gap' is defined as absence of exactly the five SecureCAT pillars (unified workflows, automated scoring, local intelligence/ML, offline resilience, data privacy) — the gap analysis is retrofitted to the solution"&gt; --&gt;'Research gap' = absence of SecureCAT's five pillars — retrofitted gap definition.&lt;!-- &lt;/to-be-removed&gt; --&gt;</w:t>
      </w:r>
    </w:p>
    <w:p>
      <w:bookmarkStart w:id="995768" w:name="tag_ch1_background_para_6"/>
      <w:pPr>
        <w:pStyle w:val="Heading2"/>
      </w:pPr>
      <w:r>
        <w:t>ch1-background-para-6</w:t>
      </w:r>
      <w:bookmarkEnd w:id="995768" w:name="tag_ch1_background_para_6"/>
    </w:p>
    <w:p>
      <w:pPr/>
      <w:r>
        <w:t>[Content synchronized from SecureCAT_Ch1_Ch2_Manuscript[never delete].docx — review and edit here]</w:t>
      </w:r>
    </w:p>
    <w:p>
      <w:bookmarkStart w:id="834847" w:name="tag_ch1_conceptual_framework"/>
      <w:pPr>
        <w:pStyle w:val="Heading2"/>
      </w:pPr>
      <w:r>
        <w:t>Conceptual Framework of the Study</w:t>
      </w:r>
      <w:bookmarkEnd w:id="834847" w:name="tag_ch1_conceptual_framework"/>
    </w:p>
    <w:p>
      <w:pPr/>
      <w:r>
        <w:t>[MISSING FROM DEFENSE DOCX — add from archive/drafts/]</w:t>
      </w:r>
    </w:p>
    <w:p>
      <w:bookmarkStart w:id="41714" w:name="tag_ch1_objectives"/>
      <w:pPr>
        <w:pStyle w:val="Heading2"/>
      </w:pPr>
      <w:r>
        <w:t>Objectives of the Study</w:t>
      </w:r>
      <w:bookmarkEnd w:id="41714" w:name="tag_ch1_objectives"/>
    </w:p>
    <w:p>
      <w:pPr/>
      <w:r>
        <w:t>[Content synchronized from SecureCAT_Ch1_Ch2_Manuscript[never delete].docx — review and edit here]</w:t>
      </w:r>
    </w:p>
    <w:p>
      <w:bookmarkStart w:id="870033" w:name="tag_ch1_scope_delimitations"/>
      <w:pPr>
        <w:pStyle w:val="Heading2"/>
      </w:pPr>
      <w:r>
        <w:t>Scope and Delimitations of the Study</w:t>
      </w:r>
      <w:bookmarkEnd w:id="870033" w:name="tag_ch1_scope_delimitations"/>
    </w:p>
    <w:p>
      <w:pPr/>
      <w:r>
        <w:t>[Content synchronized from SecureCAT_Ch1_Ch2_Manuscript[never delete].docx — review and edit here]</w:t>
      </w:r>
    </w:p>
    <w:p>
      <w:bookmarkStart w:id="928016" w:name="tag_ch1_significance"/>
      <w:pPr>
        <w:pStyle w:val="Heading2"/>
      </w:pPr>
      <w:r>
        <w:t>Significance of the Study</w:t>
      </w:r>
      <w:bookmarkEnd w:id="928016" w:name="tag_ch1_significance"/>
    </w:p>
    <w:p>
      <w:pPr/>
      <w:r>
        <w:t>[Content synchronized from SecureCAT_Ch1_Ch2_Manuscript[never delete].docx — review and edit here]</w:t>
      </w:r>
    </w:p>
    <w:p>
      <w:bookmarkStart w:id="195007" w:name="tag_ch2_methodology"/>
      <w:pPr>
        <w:pStyle w:val="Heading1"/>
      </w:pPr>
      <w:r>
        <w:t>Chapter 2: Methodology</w:t>
      </w:r>
      <w:bookmarkEnd w:id="195007" w:name="tag_ch2_methodology"/>
    </w:p>
    <w:p>
      <w:pPr/>
      <w:r>
        <w:t>[MISSING FROM DEFENSE DOCX — add from archive/drafts/]</w:t>
      </w:r>
    </w:p>
    <w:p>
      <w:bookmarkStart w:id="613225" w:name="tag_ch2_research_design"/>
      <w:pPr>
        <w:pStyle w:val="Heading2"/>
      </w:pPr>
      <w:r>
        <w:t>Research Design</w:t>
      </w:r>
      <w:bookmarkEnd w:id="613225" w:name="tag_ch2_research_design"/>
    </w:p>
    <w:p>
      <w:pPr/>
      <w:r>
        <w:t>[Content synchronized from SecureCAT_Ch1_Ch2_Manuscript[never delete].docx — review and edit here]</w:t>
      </w:r>
    </w:p>
    <w:p>
      <w:bookmarkStart w:id="645815" w:name="tag_ch2_software_model"/>
      <w:pPr>
        <w:pStyle w:val="Heading2"/>
      </w:pPr>
      <w:r>
        <w:t>Software Development Model</w:t>
      </w:r>
      <w:bookmarkEnd w:id="645815" w:name="tag_ch2_software_model"/>
    </w:p>
    <w:p>
      <w:pPr/>
      <w:r>
        <w:t>[Content synchronized from SecureCAT_Ch1_Ch2_Manuscript[never delete].docx — review and edit here]</w:t>
      </w:r>
    </w:p>
    <w:p>
      <w:bookmarkStart w:id="727213" w:name="tag_ch2_project_plan"/>
      <w:pPr>
        <w:pStyle w:val="Heading2"/>
      </w:pPr>
      <w:r>
        <w:t>Project Plan</w:t>
      </w:r>
      <w:bookmarkEnd w:id="727213" w:name="tag_ch2_project_plan"/>
    </w:p>
    <w:p>
      <w:pPr/>
      <w:r>
        <w:t>[Content synchronized from SecureCAT_Ch1_Ch2_Manuscript[never delete].docx — review and edit here]</w:t>
      </w:r>
    </w:p>
    <w:p>
      <w:bookmarkStart w:id="642208" w:name="tag_ch2_project_assignment"/>
      <w:pPr>
        <w:pStyle w:val="Heading2"/>
      </w:pPr>
      <w:r>
        <w:t>Project Assignment</w:t>
      </w:r>
      <w:bookmarkEnd w:id="642208" w:name="tag_ch2_project_assignment"/>
    </w:p>
    <w:p>
      <w:pPr/>
      <w:r>
        <w:t>[Content synchronized from SecureCAT_Ch1_Ch2_Manuscript[never delete].docx — review and edit here]</w:t>
      </w:r>
    </w:p>
    <w:p>
      <w:bookmarkStart w:id="412161" w:name="tag_ch2_population_locale"/>
      <w:pPr>
        <w:pStyle w:val="Heading2"/>
      </w:pPr>
      <w:r>
        <w:t>Population and Locale of the Study</w:t>
      </w:r>
      <w:bookmarkEnd w:id="412161" w:name="tag_ch2_population_locale"/>
    </w:p>
    <w:p>
      <w:pPr/>
      <w:r>
        <w:t>[Content synchronized from SecureCAT_Ch1_Ch2_Manuscript[never delete].docx — review and edit here]</w:t>
      </w:r>
    </w:p>
    <w:p>
      <w:bookmarkStart w:id="222821" w:name="tag_ch2_research_instruments"/>
      <w:pPr>
        <w:pStyle w:val="Heading2"/>
      </w:pPr>
      <w:r>
        <w:t>Research Instruments</w:t>
      </w:r>
      <w:bookmarkEnd w:id="222821" w:name="tag_ch2_research_instruments"/>
    </w:p>
    <w:p>
      <w:pPr/>
      <w:r>
        <w:t>[Content synchronized from SecureCAT_Ch1_Ch2_Manuscript[never delete].docx — review and edit here]</w:t>
      </w:r>
    </w:p>
    <w:p>
      <w:bookmarkStart w:id="839845" w:name="tag_ch2_data_analysis"/>
      <w:pPr>
        <w:pStyle w:val="Heading2"/>
      </w:pPr>
      <w:r>
        <w:t>Data Analysis</w:t>
      </w:r>
      <w:bookmarkEnd w:id="839845" w:name="tag_ch2_data_analysis"/>
    </w:p>
    <w:p>
      <w:pPr/>
      <w:r>
        <w:t>[Content synchronized from SecureCAT_Ch1_Ch2_Manuscript[never delete].docx — review and edit here]</w:t>
      </w:r>
    </w:p>
    <w:p>
      <w:bookmarkStart w:id="788498" w:name="tag_references_list"/>
      <w:pPr>
        <w:pStyle w:val="Heading2"/>
      </w:pPr>
      <w:r>
        <w:t>References</w:t>
      </w:r>
      <w:bookmarkEnd w:id="788498" w:name="tag_references_list"/>
    </w:p>
    <w:p>
      <w:pPr/>
      <w:r>
        <w:t>[Content synchronized from SecureCAT_Ch1_Ch2_Manuscript[never delete].docx — review and edit here]</w:t>
      </w:r>
    </w:p>
    <w:p>
      <w:bookmarkStart w:id="851851" w:name="tag_appendix_a_use_case"/>
      <w:pPr>
        <w:pStyle w:val="Heading2"/>
      </w:pPr>
      <w:r>
        <w:t>Appendix A: Use Case Diagram</w:t>
      </w:r>
      <w:bookmarkEnd w:id="851851" w:name="tag_appendix_a_use_case"/>
    </w:p>
    <w:p>
      <w:pPr/>
      <w:r>
        <w:t>[Add Use Case Diagram image from archive/drafts/Appendix_A_UseCase_Diagram.md]</w:t>
      </w:r>
    </w:p>
    <w:p>
      <w:bookmarkStart w:id="276581" w:name="tag_appendix_b_letter_conduct"/>
      <w:pPr>
        <w:pStyle w:val="Heading2"/>
      </w:pPr>
      <w:r>
        <w:t>Appendix B: Letter to Conduct</w:t>
      </w:r>
      <w:bookmarkEnd w:id="276581" w:name="tag_appendix_b_letter_conduct"/>
    </w:p>
    <w:p>
      <w:pPr/>
      <w:r>
        <w:t>[Add scanned letter from archive/]</w:t>
      </w:r>
    </w:p>
    <w:sectPr>
      <w:headerReference r:id="rId7" w:type="default"/>
      <w:headerReference r:id="rId8" w:type="first"/>
      <w:footerReference r:id="rId9" w:type="first"/>
      <w:pgSz w:h="16838" w:w="11906"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spacing w:line="240" w:lineRule="auto"/>
      <w:jc w:val="center"/>
      <w:rPr>
        <w:sz w:val="24"/>
        <w:szCs w:val="24"/>
      </w:rPr>
    </w:pPr>
    <w:r w:rsidDel="00000000" w:rsidR="00000000" w:rsidRPr="00000000">
      <w:rPr>
        <w:sz w:val="24"/>
        <w:szCs w:val="24"/>
        <w:rtl w:val="0"/>
      </w:rPr>
      <w:t xml:space="preserve">Republic of the Philippines</w:t>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-38099</wp:posOffset>
          </wp:positionV>
          <wp:extent cx="804087" cy="785813"/>
          <wp:effectExtent b="0" l="0" r="0" t="0"/>
          <wp:wrapNone/>
          <wp:docPr id="19812935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4087" cy="785813"/>
                  </a:xfrm>
                  <a:prstGeom prst="rect"/>
                  <a:ln/>
                </pic:spPr>
              </pic:pic>
            </a:graphicData>
          </a:graphic>
        </wp:anchor>
      </w:drawing>
    </w:r>
  </w:p>
  <w:p w:rsidR="00000000" w:rsidDel="00000000" w:rsidP="00000000" w:rsidRDefault="00000000" w:rsidRPr="00000000" w14:paraId="00000017">
    <w:pPr>
      <w:spacing w:line="240" w:lineRule="auto"/>
      <w:jc w:val="center"/>
      <w:rPr>
        <w:b w:val="1"/>
        <w:sz w:val="24"/>
        <w:szCs w:val="24"/>
      </w:rPr>
    </w:pPr>
    <w:r w:rsidDel="00000000" w:rsidR="00000000" w:rsidRPr="00000000">
      <w:rPr>
        <w:b w:val="1"/>
        <w:sz w:val="24"/>
        <w:szCs w:val="24"/>
        <w:rtl w:val="0"/>
      </w:rPr>
      <w:t xml:space="preserve">ILOCOS SUR POLYTECHNIC STATE COLLEGE</w:t>
    </w:r>
  </w:p>
  <w:p w:rsidR="00000000" w:rsidDel="00000000" w:rsidP="00000000" w:rsidRDefault="00000000" w:rsidRPr="00000000" w14:paraId="00000018">
    <w:pPr>
      <w:spacing w:line="240" w:lineRule="auto"/>
      <w:jc w:val="center"/>
      <w:rPr>
        <w:sz w:val="24"/>
        <w:szCs w:val="24"/>
      </w:rPr>
    </w:pPr>
    <w:r w:rsidDel="00000000" w:rsidR="00000000" w:rsidRPr="00000000">
      <w:rPr>
        <w:sz w:val="24"/>
        <w:szCs w:val="24"/>
        <w:rtl w:val="0"/>
      </w:rPr>
      <w:t xml:space="preserve">Tagudin Campus -Tagudin, Ilocos Sur</w:t>
    </w:r>
  </w:p>
  <w:p w:rsidR="00000000" w:rsidDel="00000000" w:rsidP="00000000" w:rsidRDefault="00000000" w:rsidRPr="00000000" w14:paraId="00000019">
    <w:pPr>
      <w:spacing w:line="240" w:lineRule="auto"/>
      <w:jc w:val="center"/>
      <w:rPr>
        <w:b w:val="1"/>
        <w:sz w:val="24"/>
        <w:szCs w:val="24"/>
      </w:rPr>
    </w:pPr>
    <w:r w:rsidDel="00000000" w:rsidR="00000000" w:rsidRPr="00000000">
      <w:rPr>
        <w:sz w:val="24"/>
        <w:szCs w:val="24"/>
        <w:rtl w:val="0"/>
      </w:rPr>
      <w:t xml:space="preserve">Bachelor of Science in Information and Technology</w:t>
    </w:r>
    <w:r w:rsidDel="00000000" w:rsidR="00000000" w:rsidRPr="00000000">
      <w:rPr>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p3S7wTIh6Mnn6P8s4KiRu2DFQ==">CgMxLjAyDmgubWMwNWlocHJ0ZzA3Mg5oLm84M3R2eHIzMzdxZTIOaC50d3NzMDg0ZjBieGsyDmguNGk1eW15dXFhbXNsMg1oLnhienc1Ym13MzJ2Mg5oLnFwZTVvbW4wNDY0bDIOaC5xYnBtZWl3MDVycncyDmguZm45Zjc2M29xa2RvMg5oLmQ4dzZvZndnd3JvODIOaC53eWc5c3RsZzg5dzIyDmguNnE0aTVzZnowZGhqMg5oLmRjcnp0N2IzbDlnOTIOaC5zZTU1czl2dm9yY24yDmguaHQ5aHd0MjhtanNhMg5oLnNwZmZqMjRrMHI1NjgAciExU0xGd0hrMk02OTRGWFoxWTV0RDhLZFotR09IRlpiO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2025-02-17T13:34:00Z</dcterms:created>
</cp:coreProperties>
</file>