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259C9" w:rsidRDefault="00AB01B0">
      <w:pPr>
        <w:pStyle w:val="Titel"/>
        <w:spacing w:after="100"/>
      </w:pPr>
      <w:r>
        <w:rPr>
          <w:rFonts w:ascii="Arial" w:hAnsi="Arial"/>
          <w:b/>
          <w:color w:val="000000"/>
          <w:sz w:val="48"/>
        </w:rPr>
        <w:t xml:space="preserve">Green Robo Advisor </w:t>
      </w:r>
      <w:r w:rsidR="009446C7">
        <w:rPr>
          <w:rFonts w:ascii="Arial" w:hAnsi="Arial"/>
          <w:b/>
          <w:color w:val="000000"/>
          <w:sz w:val="48"/>
        </w:rPr>
        <w:t>Guidelines</w:t>
      </w:r>
    </w:p>
    <w:p w:rsidR="00A259C9" w:rsidRDefault="00AB01B0">
      <w:pPr>
        <w:spacing w:after="280"/>
      </w:pPr>
      <w:r>
        <w:rPr>
          <w:i/>
          <w:color w:val="555555"/>
          <w:sz w:val="26"/>
        </w:rPr>
        <w:t xml:space="preserve">A practical </w:t>
      </w:r>
      <w:bookmarkStart w:id="0" w:name="_Hlk243047546"/>
      <w:r w:rsidR="009446C7">
        <w:rPr>
          <w:i/>
          <w:color w:val="555555"/>
          <w:sz w:val="26"/>
        </w:rPr>
        <w:t>implementation outline for prototype advancements</w:t>
      </w:r>
    </w:p>
    <w:bookmarkEnd w:id="0"/>
    <w:p w:rsidR="00A259C9" w:rsidRDefault="00AB01B0">
      <w:pPr>
        <w:spacing w:after="320"/>
      </w:pPr>
      <w:r>
        <w:rPr>
          <w:color w:val="555555"/>
          <w:sz w:val="19"/>
        </w:rPr>
        <w:t>Master</w:t>
      </w:r>
      <w:r w:rsidR="009446C7">
        <w:rPr>
          <w:color w:val="555555"/>
          <w:sz w:val="19"/>
        </w:rPr>
        <w:t xml:space="preserve"> International</w:t>
      </w:r>
      <w:r>
        <w:rPr>
          <w:color w:val="555555"/>
          <w:sz w:val="19"/>
        </w:rPr>
        <w:t xml:space="preserve"> Business </w:t>
      </w:r>
      <w:r w:rsidR="009446C7">
        <w:rPr>
          <w:color w:val="555555"/>
          <w:sz w:val="19"/>
        </w:rPr>
        <w:t xml:space="preserve">&amp; </w:t>
      </w:r>
      <w:r>
        <w:rPr>
          <w:color w:val="555555"/>
          <w:sz w:val="19"/>
        </w:rPr>
        <w:t>Management</w:t>
      </w:r>
      <w:r w:rsidR="009446C7">
        <w:rPr>
          <w:color w:val="555555"/>
          <w:sz w:val="19"/>
        </w:rPr>
        <w:t xml:space="preserve"> | </w:t>
      </w:r>
      <w:r w:rsidR="009446C7" w:rsidRPr="009446C7">
        <w:rPr>
          <w:color w:val="555555"/>
          <w:sz w:val="19"/>
        </w:rPr>
        <w:t>FinTech and Financial Intelligence</w:t>
      </w:r>
      <w:r>
        <w:rPr>
          <w:color w:val="555555"/>
          <w:sz w:val="19"/>
        </w:rPr>
        <w:t xml:space="preserve"> | Classroom handout | October 2026</w:t>
      </w:r>
    </w:p>
    <w:p w:rsidR="00A259C9" w:rsidRDefault="00AB01B0">
      <w:pPr>
        <w:spacing w:after="140"/>
      </w:pPr>
      <w:r>
        <w:t xml:space="preserve">This document explains how the </w:t>
      </w:r>
      <w:r w:rsidR="009446C7">
        <w:t xml:space="preserve">provided </w:t>
      </w:r>
      <w:r>
        <w:t xml:space="preserve">Green Robo Advisor prototype can be </w:t>
      </w:r>
      <w:r w:rsidR="009446C7">
        <w:t xml:space="preserve">enlarged </w:t>
      </w:r>
      <w:r>
        <w:t xml:space="preserve">step by step into </w:t>
      </w:r>
      <w:r w:rsidR="009446C7">
        <w:t xml:space="preserve">an updated </w:t>
      </w:r>
      <w:r>
        <w:t xml:space="preserve">master </w:t>
      </w:r>
      <w:r w:rsidR="009446C7">
        <w:t>version</w:t>
      </w:r>
      <w:r>
        <w:t>. It is written for students who know basic Python, pandas, and data science, but who are not professional software developers. The main idea is to improve one module at a time while keeping the connections between modules stable.</w:t>
      </w:r>
    </w:p>
    <w:p w:rsidR="00A259C9" w:rsidRDefault="00AB01B0">
      <w:pPr>
        <w:spacing w:after="240"/>
      </w:pPr>
      <w:r>
        <w:t>The recommended approach is not to replace the old prototype immediately. First run it, understand its workflow, and make small controlled changes. Then add reliability, richer investor information, more realistic data handling, additional portfolio methods, stronger diagnostics, and a clearer</w:t>
      </w:r>
      <w:r w:rsidR="009446C7">
        <w:t xml:space="preserve"> (more appealing)</w:t>
      </w:r>
      <w:r>
        <w:t xml:space="preserve"> web interface. The master solution is the reference point that shows what a coherent enlarged prototype can look like.</w:t>
      </w:r>
      <w:r w:rsidR="009446C7">
        <w:t xml:space="preserve"> The updated master version is a Minimum Viable Product (MCP) that can be used for first customer testing. </w:t>
      </w:r>
    </w:p>
    <w:p w:rsidR="00A259C9" w:rsidRDefault="00AB01B0">
      <w:pPr>
        <w:pStyle w:val="berschrift1"/>
        <w:spacing w:before="240" w:after="100"/>
      </w:pPr>
      <w:r>
        <w:rPr>
          <w:rFonts w:ascii="Arial" w:hAnsi="Arial"/>
        </w:rPr>
        <w:t>1 Purpose and learning outcomes</w:t>
      </w:r>
    </w:p>
    <w:p w:rsidR="00A259C9" w:rsidRDefault="00AB01B0">
      <w:r>
        <w:t xml:space="preserve">The </w:t>
      </w:r>
      <w:r w:rsidR="009446C7">
        <w:t xml:space="preserve">downloadable </w:t>
      </w:r>
      <w:r>
        <w:t>prototype is already a useful application: a user answers a questionnaire, selects an ETF universe and a portfolio method, and receives</w:t>
      </w:r>
      <w:r w:rsidR="009446C7">
        <w:t xml:space="preserve"> optimal</w:t>
      </w:r>
      <w:r>
        <w:t xml:space="preserve"> portfolio weights and charts. The upgrade project turns this first demonstration into a more complete teaching </w:t>
      </w:r>
      <w:r w:rsidR="009446C7">
        <w:t>case</w:t>
      </w:r>
      <w:r>
        <w:t xml:space="preserve"> for modular programming, financial analytics, and digital product design.</w:t>
      </w:r>
    </w:p>
    <w:p w:rsidR="00A259C9" w:rsidRDefault="00AB01B0">
      <w:r>
        <w:t>After working through this guide, students should be able to:</w:t>
      </w:r>
    </w:p>
    <w:p w:rsidR="00A259C9" w:rsidRDefault="00AB01B0">
      <w:pPr>
        <w:pStyle w:val="Aufzhlungszeichen"/>
        <w:spacing w:after="60"/>
        <w:ind w:hanging="216"/>
      </w:pPr>
      <w:r>
        <w:t>describe the role of the questionnaire, data, optimization, visualization, and app modules;</w:t>
      </w:r>
    </w:p>
    <w:p w:rsidR="00A259C9" w:rsidRDefault="00AB01B0">
      <w:pPr>
        <w:pStyle w:val="Aufzhlungszeichen"/>
        <w:spacing w:after="60"/>
        <w:ind w:hanging="216"/>
      </w:pPr>
      <w:r>
        <w:t>explain the input and output contract of a Python function used by another module;</w:t>
      </w:r>
    </w:p>
    <w:p w:rsidR="00A259C9" w:rsidRDefault="00AB01B0">
      <w:pPr>
        <w:pStyle w:val="Aufzhlungszeichen"/>
        <w:spacing w:after="60"/>
        <w:ind w:hanging="216"/>
      </w:pPr>
      <w:r>
        <w:t>change one assumption at a time and interpret the effect on allocation, risk, and performance;</w:t>
      </w:r>
    </w:p>
    <w:p w:rsidR="00A259C9" w:rsidRDefault="00AB01B0">
      <w:pPr>
        <w:pStyle w:val="Aufzhlungszeichen"/>
        <w:spacing w:after="60"/>
        <w:ind w:hanging="216"/>
      </w:pPr>
      <w:r>
        <w:t>use GenAI to create a small, testable patch without changing unrelated modules;</w:t>
      </w:r>
    </w:p>
    <w:p w:rsidR="00A259C9" w:rsidRDefault="00AB01B0">
      <w:pPr>
        <w:pStyle w:val="Aufzhlungszeichen"/>
        <w:spacing w:after="60"/>
        <w:ind w:hanging="216"/>
      </w:pPr>
      <w:r>
        <w:t>compare alternative portfolio algorithms and identify their assumptions;</w:t>
      </w:r>
    </w:p>
    <w:p w:rsidR="00A259C9" w:rsidRDefault="00AB01B0">
      <w:pPr>
        <w:pStyle w:val="Aufzhlungszeichen"/>
        <w:spacing w:after="60"/>
        <w:ind w:hanging="216"/>
      </w:pPr>
      <w:r>
        <w:t>design and present one meaningful extension of the prototype with a validation check and a stated limitation.</w:t>
      </w:r>
    </w:p>
    <w:p w:rsidR="00A259C9" w:rsidRDefault="00AB01B0">
      <w:pPr>
        <w:pStyle w:val="berschrift1"/>
        <w:spacing w:before="240" w:after="100"/>
      </w:pPr>
      <w:r>
        <w:rPr>
          <w:rFonts w:ascii="Arial" w:hAnsi="Arial"/>
        </w:rPr>
        <w:t>2 The prototype as the starting point</w:t>
      </w:r>
    </w:p>
    <w:p w:rsidR="00A259C9" w:rsidRDefault="00AB01B0">
      <w:r>
        <w:t>The initial project is organized around five modules. This structure should be preserved because it gives each student team a clear responsibility and makes it possible to work in parallel.</w:t>
      </w:r>
    </w:p>
    <w:tbl>
      <w:tblPr>
        <w:tblW w:w="0" w:type="auto"/>
        <w:jc w:val="center"/>
        <w:tblLayout w:type="fixed"/>
        <w:tblLook w:val="04A0" w:firstRow="1" w:lastRow="0" w:firstColumn="1" w:lastColumn="0" w:noHBand="0" w:noVBand="1"/>
      </w:tblPr>
      <w:tblGrid>
        <w:gridCol w:w="1944"/>
        <w:gridCol w:w="4752"/>
        <w:gridCol w:w="3528"/>
      </w:tblGrid>
      <w:tr w:rsidR="00A259C9">
        <w:trPr>
          <w:tblHeade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10" w:type="dxa"/>
              <w:bottom w:w="90" w:type="dxa"/>
              <w:right w:w="110" w:type="dxa"/>
            </w:tcMar>
            <w:vAlign w:val="center"/>
          </w:tcPr>
          <w:p w:rsidR="00A259C9" w:rsidRDefault="00AB01B0">
            <w:pPr>
              <w:spacing w:after="0" w:line="240" w:lineRule="auto"/>
            </w:pPr>
            <w:r>
              <w:rPr>
                <w:b/>
                <w:color w:val="FFFFFF"/>
                <w:sz w:val="18"/>
              </w:rPr>
              <w:t>Module</w:t>
            </w:r>
          </w:p>
        </w:tc>
        <w:tc>
          <w:tcPr>
            <w:tcW w:w="475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10" w:type="dxa"/>
              <w:bottom w:w="90" w:type="dxa"/>
              <w:right w:w="110" w:type="dxa"/>
            </w:tcMar>
            <w:vAlign w:val="center"/>
          </w:tcPr>
          <w:p w:rsidR="00A259C9" w:rsidRDefault="00AB01B0">
            <w:pPr>
              <w:spacing w:after="0" w:line="240" w:lineRule="auto"/>
            </w:pPr>
            <w:r>
              <w:rPr>
                <w:b/>
                <w:color w:val="FFFFFF"/>
                <w:sz w:val="18"/>
              </w:rPr>
              <w:t>What the old prototype does</w:t>
            </w:r>
          </w:p>
        </w:tc>
        <w:tc>
          <w:tcPr>
            <w:tcW w:w="3528" w:type="dxa"/>
            <w:tcBorders>
              <w:top w:val="single" w:sz="6" w:space="0" w:color="D9D9D9"/>
              <w:left w:val="single" w:sz="6" w:space="0" w:color="D9D9D9"/>
              <w:bottom w:val="single" w:sz="6" w:space="0" w:color="D9D9D9"/>
              <w:right w:val="single" w:sz="6" w:space="0" w:color="D9D9D9"/>
            </w:tcBorders>
            <w:shd w:val="clear" w:color="auto" w:fill="1F4E78"/>
            <w:tcMar>
              <w:top w:w="90" w:type="dxa"/>
              <w:left w:w="110" w:type="dxa"/>
              <w:bottom w:w="90" w:type="dxa"/>
              <w:right w:w="110" w:type="dxa"/>
            </w:tcMar>
            <w:vAlign w:val="center"/>
          </w:tcPr>
          <w:p w:rsidR="00A259C9" w:rsidRDefault="00AB01B0">
            <w:pPr>
              <w:spacing w:after="0" w:line="240" w:lineRule="auto"/>
            </w:pPr>
            <w:r>
              <w:rPr>
                <w:b/>
                <w:color w:val="FFFFFF"/>
                <w:sz w:val="18"/>
              </w:rPr>
              <w:t>Main learning question</w:t>
            </w:r>
          </w:p>
        </w:tc>
      </w:tr>
      <w:tr w:rsidR="00A259C9">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8"/>
              </w:rPr>
              <w:t>app.py</w:t>
            </w:r>
          </w:p>
        </w:tc>
        <w:tc>
          <w:tcPr>
            <w:tcW w:w="475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8"/>
              </w:rPr>
              <w:t>Connects the questionnaire, data, optimization, and charts in Streamlit.</w:t>
            </w:r>
          </w:p>
        </w:tc>
        <w:tc>
          <w:tcPr>
            <w:tcW w:w="352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8"/>
              </w:rPr>
              <w:t>How does a user interface call several modules in sequence?</w:t>
            </w:r>
          </w:p>
        </w:tc>
      </w:tr>
      <w:tr w:rsidR="00A259C9">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8"/>
              </w:rPr>
              <w:t>questionnaire.py</w:t>
            </w:r>
          </w:p>
        </w:tc>
        <w:tc>
          <w:tcPr>
            <w:tcW w:w="475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8"/>
              </w:rPr>
              <w:t>Turns radio-button answers into an educational investor profile.</w:t>
            </w:r>
          </w:p>
        </w:tc>
        <w:tc>
          <w:tcPr>
            <w:tcW w:w="3528"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8"/>
              </w:rPr>
              <w:t>How are qualitative answers translated into numbers?</w:t>
            </w:r>
          </w:p>
        </w:tc>
      </w:tr>
      <w:tr w:rsidR="00A259C9">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8"/>
              </w:rPr>
              <w:t>data_module.py</w:t>
            </w:r>
          </w:p>
        </w:tc>
        <w:tc>
          <w:tcPr>
            <w:tcW w:w="475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8"/>
              </w:rPr>
              <w:t>Loads ETF prices, cleans the data, and calculates daily log returns.</w:t>
            </w:r>
          </w:p>
        </w:tc>
        <w:tc>
          <w:tcPr>
            <w:tcW w:w="352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8"/>
              </w:rPr>
              <w:t>What makes financial data usable for analysis?</w:t>
            </w:r>
          </w:p>
        </w:tc>
      </w:tr>
      <w:tr w:rsidR="00A259C9">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8"/>
              </w:rPr>
              <w:t>optimization.py</w:t>
            </w:r>
          </w:p>
        </w:tc>
        <w:tc>
          <w:tcPr>
            <w:tcW w:w="475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8"/>
              </w:rPr>
              <w:t>Uses historical returns</w:t>
            </w:r>
            <w:r w:rsidR="00A05304">
              <w:rPr>
                <w:sz w:val="18"/>
              </w:rPr>
              <w:t xml:space="preserve"> (synthetic data or real Yahoo Finance data)</w:t>
            </w:r>
            <w:r>
              <w:rPr>
                <w:sz w:val="18"/>
              </w:rPr>
              <w:t xml:space="preserve"> and covariance estimates to calculate portfolio weights.</w:t>
            </w:r>
          </w:p>
        </w:tc>
        <w:tc>
          <w:tcPr>
            <w:tcW w:w="3528"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8"/>
              </w:rPr>
              <w:t>How does an objective function determine an allocation?</w:t>
            </w:r>
          </w:p>
        </w:tc>
      </w:tr>
      <w:tr w:rsidR="00A259C9">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8"/>
              </w:rPr>
              <w:t>visualization.py</w:t>
            </w:r>
          </w:p>
        </w:tc>
        <w:tc>
          <w:tcPr>
            <w:tcW w:w="475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8"/>
              </w:rPr>
              <w:t>Calculates portfolio returns, cumulative performance, and rolling volatility.</w:t>
            </w:r>
          </w:p>
        </w:tc>
        <w:tc>
          <w:tcPr>
            <w:tcW w:w="352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8"/>
              </w:rPr>
              <w:t xml:space="preserve">How can numerical results be made </w:t>
            </w:r>
            <w:r w:rsidR="00AD154F">
              <w:rPr>
                <w:sz w:val="18"/>
              </w:rPr>
              <w:t xml:space="preserve">economically </w:t>
            </w:r>
            <w:r>
              <w:rPr>
                <w:sz w:val="18"/>
              </w:rPr>
              <w:t>understandable?</w:t>
            </w:r>
          </w:p>
        </w:tc>
      </w:tr>
    </w:tbl>
    <w:p w:rsidR="00A259C9" w:rsidRDefault="00A259C9">
      <w:pPr>
        <w:spacing w:after="40"/>
      </w:pPr>
    </w:p>
    <w:p w:rsidR="00A259C9" w:rsidRDefault="00AB01B0">
      <w:r>
        <w:t>The basic workflow is:</w:t>
      </w:r>
    </w:p>
    <w:p w:rsidR="00A259C9" w:rsidRDefault="00AB01B0">
      <w:pPr>
        <w:spacing w:after="60"/>
        <w:ind w:left="403" w:hanging="259"/>
      </w:pPr>
      <w:r>
        <w:t>1.  collect investor answers;</w:t>
      </w:r>
    </w:p>
    <w:p w:rsidR="00A259C9" w:rsidRDefault="00AB01B0">
      <w:pPr>
        <w:spacing w:after="60"/>
        <w:ind w:left="403" w:hanging="259"/>
      </w:pPr>
      <w:r>
        <w:t>2.  load price data for the selected ETFs and benchmark;</w:t>
      </w:r>
    </w:p>
    <w:p w:rsidR="00A259C9" w:rsidRDefault="00AB01B0">
      <w:pPr>
        <w:spacing w:after="60"/>
        <w:ind w:left="403" w:hanging="259"/>
      </w:pPr>
      <w:r>
        <w:t>3.  calculate returns and estimate portfolio statistics;</w:t>
      </w:r>
    </w:p>
    <w:p w:rsidR="00A259C9" w:rsidRDefault="00AB01B0">
      <w:pPr>
        <w:spacing w:after="60"/>
        <w:ind w:left="403" w:hanging="259"/>
      </w:pPr>
      <w:r>
        <w:t>4.  optimize the portfolio under the selected objective;</w:t>
      </w:r>
    </w:p>
    <w:p w:rsidR="00A259C9" w:rsidRDefault="00AB01B0">
      <w:pPr>
        <w:spacing w:after="60"/>
        <w:ind w:left="403" w:hanging="259"/>
      </w:pPr>
      <w:r>
        <w:t>5.  display weights, performance, and risk information in the browser.</w:t>
      </w:r>
    </w:p>
    <w:p w:rsidR="00A259C9" w:rsidRDefault="00AB01B0">
      <w:r>
        <w:rPr>
          <w:b/>
        </w:rPr>
        <w:t xml:space="preserve">Important starting rule: </w:t>
      </w:r>
      <w:r>
        <w:t xml:space="preserve">run the prototype </w:t>
      </w:r>
      <w:r w:rsidRPr="00A05304">
        <w:rPr>
          <w:i/>
        </w:rPr>
        <w:t xml:space="preserve">before </w:t>
      </w:r>
      <w:r>
        <w:t xml:space="preserve">changing it. Students should know </w:t>
      </w:r>
      <w:r w:rsidRPr="00A05304">
        <w:rPr>
          <w:i/>
        </w:rPr>
        <w:t>what works, what fails</w:t>
      </w:r>
      <w:r>
        <w:t xml:space="preserve">, and </w:t>
      </w:r>
      <w:r w:rsidRPr="00A05304">
        <w:rPr>
          <w:i/>
        </w:rPr>
        <w:t>which outputs</w:t>
      </w:r>
      <w:r>
        <w:t xml:space="preserve"> are supposed to </w:t>
      </w:r>
      <w:r w:rsidRPr="00A05304">
        <w:rPr>
          <w:i/>
        </w:rPr>
        <w:t>remain unchanged</w:t>
      </w:r>
      <w:r>
        <w:t>.</w:t>
      </w:r>
    </w:p>
    <w:p w:rsidR="00A259C9" w:rsidRDefault="00AB01B0">
      <w:pPr>
        <w:pStyle w:val="berschrift1"/>
        <w:spacing w:before="240" w:after="100"/>
      </w:pPr>
      <w:r>
        <w:rPr>
          <w:rFonts w:ascii="Arial" w:hAnsi="Arial"/>
        </w:rPr>
        <w:t>3 Why the prototype can be enlarged</w:t>
      </w:r>
    </w:p>
    <w:p w:rsidR="00A259C9" w:rsidRDefault="00AB01B0">
      <w:r>
        <w:t>The</w:t>
      </w:r>
      <w:r w:rsidR="00FC6E6F">
        <w:t xml:space="preserve"> current </w:t>
      </w:r>
      <w:r>
        <w:t>prototype is intentionally small</w:t>
      </w:r>
      <w:r w:rsidR="00A05304">
        <w:t xml:space="preserve"> and limited in its performance</w:t>
      </w:r>
      <w:r>
        <w:t>. Its limitations are useful starting points for a modularization project, not mistakes that students need to hide. Each limitation can be converted into a clearly defined improvement.</w:t>
      </w:r>
    </w:p>
    <w:tbl>
      <w:tblPr>
        <w:tblW w:w="10224" w:type="dxa"/>
        <w:jc w:val="center"/>
        <w:tblLayout w:type="fixed"/>
        <w:tblLook w:val="04A0" w:firstRow="1" w:lastRow="0" w:firstColumn="1" w:lastColumn="0" w:noHBand="0" w:noVBand="1"/>
      </w:tblPr>
      <w:tblGrid>
        <w:gridCol w:w="3240"/>
        <w:gridCol w:w="3384"/>
        <w:gridCol w:w="3600"/>
      </w:tblGrid>
      <w:tr w:rsidR="00A259C9" w:rsidTr="00F65005">
        <w:trPr>
          <w:tblHeader/>
          <w:jc w:val="center"/>
        </w:trPr>
        <w:tc>
          <w:tcPr>
            <w:tcW w:w="324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10" w:type="dxa"/>
              <w:bottom w:w="90" w:type="dxa"/>
              <w:right w:w="110" w:type="dxa"/>
            </w:tcMar>
            <w:vAlign w:val="center"/>
          </w:tcPr>
          <w:p w:rsidR="00A259C9" w:rsidRDefault="00AB01B0">
            <w:pPr>
              <w:spacing w:after="0" w:line="240" w:lineRule="auto"/>
            </w:pPr>
            <w:r>
              <w:rPr>
                <w:b/>
                <w:color w:val="FFFFFF"/>
                <w:sz w:val="18"/>
              </w:rPr>
              <w:t>Starting limitation</w:t>
            </w:r>
          </w:p>
        </w:tc>
        <w:tc>
          <w:tcPr>
            <w:tcW w:w="338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10" w:type="dxa"/>
              <w:bottom w:w="90" w:type="dxa"/>
              <w:right w:w="110" w:type="dxa"/>
            </w:tcMar>
            <w:vAlign w:val="center"/>
          </w:tcPr>
          <w:p w:rsidR="00A259C9" w:rsidRDefault="00AB01B0">
            <w:pPr>
              <w:spacing w:after="0" w:line="240" w:lineRule="auto"/>
            </w:pPr>
            <w:r>
              <w:rPr>
                <w:b/>
                <w:color w:val="FFFFFF"/>
                <w:sz w:val="18"/>
              </w:rPr>
              <w:t>Why it matters</w:t>
            </w:r>
          </w:p>
        </w:tc>
        <w:tc>
          <w:tcPr>
            <w:tcW w:w="360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10" w:type="dxa"/>
              <w:bottom w:w="90" w:type="dxa"/>
              <w:right w:w="110" w:type="dxa"/>
            </w:tcMar>
            <w:vAlign w:val="center"/>
          </w:tcPr>
          <w:p w:rsidR="00A259C9" w:rsidRDefault="00AB01B0">
            <w:pPr>
              <w:spacing w:after="0" w:line="240" w:lineRule="auto"/>
            </w:pPr>
            <w:r>
              <w:rPr>
                <w:b/>
                <w:color w:val="FFFFFF"/>
                <w:sz w:val="18"/>
              </w:rPr>
              <w:t>Possible improvement</w:t>
            </w:r>
          </w:p>
        </w:tc>
      </w:tr>
      <w:tr w:rsidR="00A259C9" w:rsidTr="00F65005">
        <w:trPr>
          <w:cantSplit/>
          <w:jc w:val="center"/>
        </w:trPr>
        <w:tc>
          <w:tcPr>
            <w:tcW w:w="324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D154F">
            <w:pPr>
              <w:spacing w:after="0" w:line="245" w:lineRule="auto"/>
            </w:pPr>
            <w:r>
              <w:rPr>
                <w:sz w:val="18"/>
              </w:rPr>
              <w:t xml:space="preserve">The initial dataset only contains a small number of basic (green) ETFs. </w:t>
            </w:r>
          </w:p>
        </w:tc>
        <w:tc>
          <w:tcPr>
            <w:tcW w:w="338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2F42AA">
            <w:pPr>
              <w:spacing w:after="0" w:line="245" w:lineRule="auto"/>
            </w:pPr>
            <w:r>
              <w:rPr>
                <w:sz w:val="18"/>
              </w:rPr>
              <w:t xml:space="preserve">With more assets, the diversification effect might be </w:t>
            </w:r>
            <w:r w:rsidR="00955DEA">
              <w:rPr>
                <w:sz w:val="18"/>
              </w:rPr>
              <w:t>enlarged</w:t>
            </w:r>
            <w:r>
              <w:rPr>
                <w:sz w:val="18"/>
              </w:rPr>
              <w:t>, and the  asset allocation might return more optimal results, i.e., higher returns or lower variances (or both)</w:t>
            </w:r>
          </w:p>
        </w:tc>
        <w:tc>
          <w:tcPr>
            <w:tcW w:w="36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2F42AA">
            <w:pPr>
              <w:spacing w:after="0" w:line="245" w:lineRule="auto"/>
            </w:pPr>
            <w:r>
              <w:rPr>
                <w:sz w:val="18"/>
              </w:rPr>
              <w:t>Provide a financial analysis to increase the ETF universe</w:t>
            </w:r>
            <w:r w:rsidR="00AB01B0">
              <w:rPr>
                <w:sz w:val="18"/>
              </w:rPr>
              <w:t>.</w:t>
            </w:r>
            <w:r>
              <w:rPr>
                <w:sz w:val="18"/>
              </w:rPr>
              <w:t xml:space="preserve"> The number could be enlarged to 10 ETFs holding an adequate ESG score and fulfilling certain liquidity requirements</w:t>
            </w:r>
            <w:r w:rsidR="00955DEA">
              <w:rPr>
                <w:sz w:val="18"/>
              </w:rPr>
              <w:t>.</w:t>
            </w:r>
          </w:p>
        </w:tc>
      </w:tr>
      <w:tr w:rsidR="00A259C9" w:rsidTr="00F65005">
        <w:trPr>
          <w:cantSplit/>
          <w:jc w:val="center"/>
        </w:trPr>
        <w:tc>
          <w:tcPr>
            <w:tcW w:w="324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8"/>
              </w:rPr>
              <w:t>The investor profile contains only a small number of dimensions.</w:t>
            </w:r>
          </w:p>
        </w:tc>
        <w:tc>
          <w:tcPr>
            <w:tcW w:w="3384"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8"/>
              </w:rPr>
              <w:t>Risk tolerance, liquidity needs, and sustainability preferences are not clearly separated.</w:t>
            </w:r>
          </w:p>
        </w:tc>
        <w:tc>
          <w:tcPr>
            <w:tcW w:w="360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8"/>
              </w:rPr>
              <w:t>Add questions and document how answers are mapped to model inputs.</w:t>
            </w:r>
          </w:p>
        </w:tc>
      </w:tr>
      <w:tr w:rsidR="00A259C9" w:rsidTr="00F65005">
        <w:trPr>
          <w:cantSplit/>
          <w:jc w:val="center"/>
        </w:trPr>
        <w:tc>
          <w:tcPr>
            <w:tcW w:w="324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8"/>
              </w:rPr>
              <w:t>The optimizer has only a few objectives and limited constraints.</w:t>
            </w:r>
          </w:p>
        </w:tc>
        <w:tc>
          <w:tcPr>
            <w:tcW w:w="338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8"/>
              </w:rPr>
              <w:t>Real portfolio decisions involve</w:t>
            </w:r>
            <w:r w:rsidR="00F65005">
              <w:rPr>
                <w:sz w:val="18"/>
              </w:rPr>
              <w:t xml:space="preserve"> holding</w:t>
            </w:r>
            <w:r>
              <w:rPr>
                <w:sz w:val="18"/>
              </w:rPr>
              <w:t xml:space="preserve"> bounds, ESG preferences, target risk, and different notions of diversification.</w:t>
            </w:r>
          </w:p>
        </w:tc>
        <w:tc>
          <w:tcPr>
            <w:tcW w:w="36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8"/>
              </w:rPr>
              <w:t>Add weight bounds, an ESG floor, risk aversion,</w:t>
            </w:r>
            <w:r w:rsidR="00F65005">
              <w:rPr>
                <w:sz w:val="18"/>
              </w:rPr>
              <w:t xml:space="preserve"> and hierarchical risk parity</w:t>
            </w:r>
            <w:r>
              <w:rPr>
                <w:sz w:val="18"/>
              </w:rPr>
              <w:t xml:space="preserve"> </w:t>
            </w:r>
            <w:r w:rsidR="00F65005">
              <w:rPr>
                <w:sz w:val="18"/>
              </w:rPr>
              <w:t>(</w:t>
            </w:r>
            <w:r>
              <w:rPr>
                <w:sz w:val="18"/>
              </w:rPr>
              <w:t>HRP</w:t>
            </w:r>
            <w:r w:rsidR="00F65005">
              <w:rPr>
                <w:sz w:val="18"/>
              </w:rPr>
              <w:t>)</w:t>
            </w:r>
            <w:r>
              <w:rPr>
                <w:sz w:val="18"/>
              </w:rPr>
              <w:t>.</w:t>
            </w:r>
          </w:p>
        </w:tc>
      </w:tr>
      <w:tr w:rsidR="00A259C9" w:rsidTr="00F65005">
        <w:trPr>
          <w:cantSplit/>
          <w:jc w:val="center"/>
        </w:trPr>
        <w:tc>
          <w:tcPr>
            <w:tcW w:w="324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8"/>
              </w:rPr>
              <w:t>The first charts provide only a narrow view of performance.</w:t>
            </w:r>
          </w:p>
        </w:tc>
        <w:tc>
          <w:tcPr>
            <w:tcW w:w="3384"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8"/>
              </w:rPr>
              <w:t xml:space="preserve">A cumulative </w:t>
            </w:r>
            <w:r w:rsidR="00F65005">
              <w:rPr>
                <w:sz w:val="18"/>
              </w:rPr>
              <w:t>return</w:t>
            </w:r>
            <w:r>
              <w:rPr>
                <w:sz w:val="18"/>
              </w:rPr>
              <w:t xml:space="preserve"> does not show </w:t>
            </w:r>
            <w:r w:rsidR="00F65005">
              <w:rPr>
                <w:sz w:val="18"/>
              </w:rPr>
              <w:t xml:space="preserve">possible </w:t>
            </w:r>
            <w:r>
              <w:rPr>
                <w:sz w:val="18"/>
              </w:rPr>
              <w:t>drawdowns or changing risk.</w:t>
            </w:r>
          </w:p>
        </w:tc>
        <w:tc>
          <w:tcPr>
            <w:tcW w:w="360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8"/>
              </w:rPr>
              <w:t xml:space="preserve">Add rolling volatility, </w:t>
            </w:r>
            <w:r w:rsidR="00F65005">
              <w:rPr>
                <w:sz w:val="18"/>
              </w:rPr>
              <w:t xml:space="preserve">(max) </w:t>
            </w:r>
            <w:r>
              <w:rPr>
                <w:sz w:val="18"/>
              </w:rPr>
              <w:t>drawdown, risk contributions, and benchmark comparisons.</w:t>
            </w:r>
          </w:p>
        </w:tc>
      </w:tr>
      <w:tr w:rsidR="00A259C9" w:rsidTr="00F65005">
        <w:trPr>
          <w:cantSplit/>
          <w:jc w:val="center"/>
        </w:trPr>
        <w:tc>
          <w:tcPr>
            <w:tcW w:w="324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8"/>
              </w:rPr>
              <w:t>The user interface</w:t>
            </w:r>
            <w:r w:rsidR="00F65005">
              <w:rPr>
                <w:sz w:val="18"/>
              </w:rPr>
              <w:t xml:space="preserve"> (UI</w:t>
            </w:r>
            <w:r w:rsidR="00DF5E35">
              <w:rPr>
                <w:sz w:val="18"/>
              </w:rPr>
              <w:t>)</w:t>
            </w:r>
            <w:r>
              <w:rPr>
                <w:sz w:val="18"/>
              </w:rPr>
              <w:t xml:space="preserve"> exposes relatively few choices.</w:t>
            </w:r>
          </w:p>
        </w:tc>
        <w:tc>
          <w:tcPr>
            <w:tcW w:w="3384"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8"/>
              </w:rPr>
              <w:t>Students cannot easily explore the assumptions behind the allocation.</w:t>
            </w:r>
          </w:p>
        </w:tc>
        <w:tc>
          <w:tcPr>
            <w:tcW w:w="360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8"/>
              </w:rPr>
              <w:t>Move important assumptions</w:t>
            </w:r>
            <w:r w:rsidR="00F65005">
              <w:rPr>
                <w:sz w:val="18"/>
              </w:rPr>
              <w:t xml:space="preserve"> and parameter changes (e.g., via sliders)</w:t>
            </w:r>
            <w:r>
              <w:rPr>
                <w:sz w:val="18"/>
              </w:rPr>
              <w:t xml:space="preserve"> into the sidebar</w:t>
            </w:r>
            <w:r w:rsidR="00F65005">
              <w:rPr>
                <w:sz w:val="18"/>
              </w:rPr>
              <w:t>,</w:t>
            </w:r>
            <w:r>
              <w:rPr>
                <w:sz w:val="18"/>
              </w:rPr>
              <w:t xml:space="preserve"> add helpful error messages</w:t>
            </w:r>
            <w:r w:rsidR="00F65005">
              <w:rPr>
                <w:sz w:val="18"/>
              </w:rPr>
              <w:t xml:space="preserve"> and explanations, and create a more appealing design of your UI</w:t>
            </w:r>
          </w:p>
        </w:tc>
      </w:tr>
    </w:tbl>
    <w:p w:rsidR="00A259C9" w:rsidRDefault="00A259C9">
      <w:pPr>
        <w:spacing w:after="40"/>
      </w:pPr>
    </w:p>
    <w:p w:rsidR="00A259C9" w:rsidRDefault="00AB01B0">
      <w:r>
        <w:br w:type="page"/>
      </w:r>
    </w:p>
    <w:p w:rsidR="00A259C9" w:rsidRDefault="00AB01B0">
      <w:pPr>
        <w:pStyle w:val="berschrift1"/>
        <w:spacing w:before="240" w:after="100"/>
      </w:pPr>
      <w:r>
        <w:rPr>
          <w:rFonts w:ascii="Arial" w:hAnsi="Arial"/>
        </w:rPr>
        <w:lastRenderedPageBreak/>
        <w:t xml:space="preserve">4 </w:t>
      </w:r>
      <w:r w:rsidR="00DF5E35">
        <w:rPr>
          <w:rFonts w:ascii="Arial" w:hAnsi="Arial"/>
        </w:rPr>
        <w:t>Possible</w:t>
      </w:r>
      <w:r>
        <w:rPr>
          <w:rFonts w:ascii="Arial" w:hAnsi="Arial"/>
        </w:rPr>
        <w:t xml:space="preserve"> changes in the </w:t>
      </w:r>
      <w:r w:rsidR="00DF5E35">
        <w:rPr>
          <w:rFonts w:ascii="Arial" w:hAnsi="Arial"/>
        </w:rPr>
        <w:t xml:space="preserve">updated </w:t>
      </w:r>
      <w:r>
        <w:rPr>
          <w:rFonts w:ascii="Arial" w:hAnsi="Arial"/>
        </w:rPr>
        <w:t>master solution</w:t>
      </w:r>
    </w:p>
    <w:p w:rsidR="00A259C9" w:rsidRDefault="00AB01B0">
      <w:r>
        <w:t xml:space="preserve">The </w:t>
      </w:r>
      <w:r w:rsidR="00DF5E35">
        <w:t xml:space="preserve">updated </w:t>
      </w:r>
      <w:r>
        <w:t xml:space="preserve">master solution keeps the original modular structure but strengthens every part of the pipeline. </w:t>
      </w:r>
      <w:r w:rsidR="00DF5E35">
        <w:t xml:space="preserve">The solution should serve as a first testable MVP that could be distributed to a first customer sample.  </w:t>
      </w:r>
      <w:r>
        <w:t xml:space="preserve">The table below </w:t>
      </w:r>
      <w:r w:rsidR="00DF5E35">
        <w:t>serves as a starting point for possible improvements</w:t>
      </w:r>
      <w:r>
        <w:t xml:space="preserve">: it shows which adjustment in the </w:t>
      </w:r>
      <w:r w:rsidR="00DF5E35">
        <w:t xml:space="preserve">current </w:t>
      </w:r>
      <w:r>
        <w:t xml:space="preserve">prototype </w:t>
      </w:r>
      <w:r w:rsidR="00DF5E35">
        <w:t xml:space="preserve">might </w:t>
      </w:r>
      <w:r>
        <w:t xml:space="preserve">lead to </w:t>
      </w:r>
      <w:r w:rsidR="00DF5E35">
        <w:t>possible</w:t>
      </w:r>
      <w:r>
        <w:t xml:space="preserve"> feature</w:t>
      </w:r>
      <w:r w:rsidR="00DF5E35">
        <w:t>s</w:t>
      </w:r>
      <w:r>
        <w:t xml:space="preserve"> in the updated version.</w:t>
      </w:r>
    </w:p>
    <w:tbl>
      <w:tblPr>
        <w:tblW w:w="10224" w:type="dxa"/>
        <w:jc w:val="center"/>
        <w:tblLayout w:type="fixed"/>
        <w:tblLook w:val="04A0" w:firstRow="1" w:lastRow="0" w:firstColumn="1" w:lastColumn="0" w:noHBand="0" w:noVBand="1"/>
      </w:tblPr>
      <w:tblGrid>
        <w:gridCol w:w="1368"/>
        <w:gridCol w:w="2448"/>
        <w:gridCol w:w="3600"/>
        <w:gridCol w:w="2808"/>
      </w:tblGrid>
      <w:tr w:rsidR="00A259C9" w:rsidTr="00767F76">
        <w:trPr>
          <w:tblHeader/>
          <w:jc w:val="center"/>
        </w:trPr>
        <w:tc>
          <w:tcPr>
            <w:tcW w:w="1368" w:type="dxa"/>
            <w:tcBorders>
              <w:top w:val="single" w:sz="6" w:space="0" w:color="D9D9D9"/>
              <w:left w:val="single" w:sz="6" w:space="0" w:color="D9D9D9"/>
              <w:bottom w:val="single" w:sz="6" w:space="0" w:color="D9D9D9"/>
              <w:right w:val="single" w:sz="6" w:space="0" w:color="D9D9D9"/>
            </w:tcBorders>
            <w:shd w:val="clear" w:color="auto" w:fill="1F4E78"/>
            <w:tcMar>
              <w:top w:w="90" w:type="dxa"/>
              <w:left w:w="110" w:type="dxa"/>
              <w:bottom w:w="90" w:type="dxa"/>
              <w:right w:w="110" w:type="dxa"/>
            </w:tcMar>
            <w:vAlign w:val="center"/>
          </w:tcPr>
          <w:p w:rsidR="00A259C9" w:rsidRDefault="00AB01B0">
            <w:pPr>
              <w:spacing w:after="0" w:line="240" w:lineRule="auto"/>
            </w:pPr>
            <w:r>
              <w:rPr>
                <w:b/>
                <w:color w:val="FFFFFF"/>
                <w:sz w:val="17"/>
              </w:rPr>
              <w:t>Area</w:t>
            </w:r>
          </w:p>
        </w:tc>
        <w:tc>
          <w:tcPr>
            <w:tcW w:w="2448" w:type="dxa"/>
            <w:tcBorders>
              <w:top w:val="single" w:sz="6" w:space="0" w:color="D9D9D9"/>
              <w:left w:val="single" w:sz="6" w:space="0" w:color="D9D9D9"/>
              <w:bottom w:val="single" w:sz="6" w:space="0" w:color="D9D9D9"/>
              <w:right w:val="single" w:sz="6" w:space="0" w:color="D9D9D9"/>
            </w:tcBorders>
            <w:shd w:val="clear" w:color="auto" w:fill="1F4E78"/>
            <w:tcMar>
              <w:top w:w="90" w:type="dxa"/>
              <w:left w:w="110" w:type="dxa"/>
              <w:bottom w:w="90" w:type="dxa"/>
              <w:right w:w="110" w:type="dxa"/>
            </w:tcMar>
            <w:vAlign w:val="center"/>
          </w:tcPr>
          <w:p w:rsidR="00A259C9" w:rsidRDefault="0068687C">
            <w:pPr>
              <w:spacing w:after="0" w:line="240" w:lineRule="auto"/>
            </w:pPr>
            <w:r>
              <w:rPr>
                <w:b/>
                <w:color w:val="FFFFFF"/>
                <w:sz w:val="17"/>
              </w:rPr>
              <w:t xml:space="preserve">Current </w:t>
            </w:r>
            <w:r w:rsidR="00AB01B0">
              <w:rPr>
                <w:b/>
                <w:color w:val="FFFFFF"/>
                <w:sz w:val="17"/>
              </w:rPr>
              <w:t>prototype</w:t>
            </w:r>
          </w:p>
        </w:tc>
        <w:tc>
          <w:tcPr>
            <w:tcW w:w="360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10" w:type="dxa"/>
              <w:bottom w:w="90" w:type="dxa"/>
              <w:right w:w="110" w:type="dxa"/>
            </w:tcMar>
            <w:vAlign w:val="center"/>
          </w:tcPr>
          <w:p w:rsidR="00A259C9" w:rsidRDefault="00AB01B0">
            <w:pPr>
              <w:spacing w:after="0" w:line="240" w:lineRule="auto"/>
            </w:pPr>
            <w:r>
              <w:rPr>
                <w:b/>
                <w:color w:val="FFFFFF"/>
                <w:sz w:val="17"/>
              </w:rPr>
              <w:t>Adjustment</w:t>
            </w:r>
          </w:p>
        </w:tc>
        <w:tc>
          <w:tcPr>
            <w:tcW w:w="2808" w:type="dxa"/>
            <w:tcBorders>
              <w:top w:val="single" w:sz="6" w:space="0" w:color="D9D9D9"/>
              <w:left w:val="single" w:sz="6" w:space="0" w:color="D9D9D9"/>
              <w:bottom w:val="single" w:sz="6" w:space="0" w:color="D9D9D9"/>
              <w:right w:val="single" w:sz="6" w:space="0" w:color="D9D9D9"/>
            </w:tcBorders>
            <w:shd w:val="clear" w:color="auto" w:fill="1F4E78"/>
            <w:tcMar>
              <w:top w:w="90" w:type="dxa"/>
              <w:left w:w="110" w:type="dxa"/>
              <w:bottom w:w="90" w:type="dxa"/>
              <w:right w:w="110" w:type="dxa"/>
            </w:tcMar>
            <w:vAlign w:val="center"/>
          </w:tcPr>
          <w:p w:rsidR="00A259C9" w:rsidRDefault="00AB01B0">
            <w:pPr>
              <w:spacing w:after="0" w:line="240" w:lineRule="auto"/>
            </w:pPr>
            <w:r>
              <w:rPr>
                <w:b/>
                <w:color w:val="FFFFFF"/>
                <w:sz w:val="17"/>
              </w:rPr>
              <w:t>Master result</w:t>
            </w:r>
          </w:p>
        </w:tc>
      </w:tr>
      <w:tr w:rsidR="00A259C9" w:rsidTr="00767F76">
        <w:trPr>
          <w:cantSplit/>
          <w:jc w:val="center"/>
        </w:trPr>
        <w:tc>
          <w:tcPr>
            <w:tcW w:w="13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Data</w:t>
            </w:r>
          </w:p>
        </w:tc>
        <w:tc>
          <w:tcPr>
            <w:tcW w:w="244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68687C">
            <w:pPr>
              <w:spacing w:after="0" w:line="245" w:lineRule="auto"/>
            </w:pPr>
            <w:r>
              <w:rPr>
                <w:sz w:val="17"/>
              </w:rPr>
              <w:t>Only 5 basic ETFs</w:t>
            </w:r>
          </w:p>
        </w:tc>
        <w:tc>
          <w:tcPr>
            <w:tcW w:w="36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Separate live, automatic, and offline loading; clean dates and missing values; include benchmark handling.</w:t>
            </w:r>
          </w:p>
        </w:tc>
        <w:tc>
          <w:tcPr>
            <w:tcW w:w="280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The app can be used with Yahoo Finance or deterministic sample data.</w:t>
            </w:r>
          </w:p>
        </w:tc>
      </w:tr>
      <w:tr w:rsidR="00A259C9" w:rsidTr="00767F76">
        <w:trPr>
          <w:cantSplit/>
          <w:jc w:val="center"/>
        </w:trPr>
        <w:tc>
          <w:tcPr>
            <w:tcW w:w="1368"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Metadata</w:t>
            </w:r>
          </w:p>
        </w:tc>
        <w:tc>
          <w:tcPr>
            <w:tcW w:w="2448"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ETF data are mainly used as price series.</w:t>
            </w:r>
          </w:p>
        </w:tc>
        <w:tc>
          <w:tcPr>
            <w:tcW w:w="360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Add asset class, region, rating, and an educational ESG score.</w:t>
            </w:r>
          </w:p>
        </w:tc>
        <w:tc>
          <w:tcPr>
            <w:tcW w:w="2808"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Students can connect portfolio construction with product information.</w:t>
            </w:r>
          </w:p>
        </w:tc>
      </w:tr>
      <w:tr w:rsidR="00A259C9" w:rsidTr="00767F76">
        <w:trPr>
          <w:cantSplit/>
          <w:jc w:val="center"/>
        </w:trPr>
        <w:tc>
          <w:tcPr>
            <w:tcW w:w="13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Questionnaire</w:t>
            </w:r>
          </w:p>
        </w:tc>
        <w:tc>
          <w:tcPr>
            <w:tcW w:w="244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A compact risk profile.</w:t>
            </w:r>
          </w:p>
        </w:tc>
        <w:tc>
          <w:tcPr>
            <w:tcW w:w="36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Add risk capacity, liquidity horizon, and ESG preference as separate concepts.</w:t>
            </w:r>
          </w:p>
        </w:tc>
        <w:tc>
          <w:tcPr>
            <w:tcW w:w="280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The profile becomes easier to explain and extend.</w:t>
            </w:r>
          </w:p>
        </w:tc>
      </w:tr>
      <w:tr w:rsidR="00A259C9" w:rsidTr="00767F76">
        <w:trPr>
          <w:cantSplit/>
          <w:jc w:val="center"/>
        </w:trPr>
        <w:tc>
          <w:tcPr>
            <w:tcW w:w="1368"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Optimization</w:t>
            </w:r>
          </w:p>
        </w:tc>
        <w:tc>
          <w:tcPr>
            <w:tcW w:w="2448"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A small set of return and risk methods.</w:t>
            </w:r>
          </w:p>
        </w:tc>
        <w:tc>
          <w:tcPr>
            <w:tcW w:w="360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 xml:space="preserve">Add bounds, risk aversion, ESG constraints, risk contributions, and alternative </w:t>
            </w:r>
            <w:r w:rsidR="00767F76">
              <w:rPr>
                <w:sz w:val="17"/>
              </w:rPr>
              <w:t>methods such as HRP, or even Machine Learning Forecasts, e.g., for returns or volatility</w:t>
            </w:r>
            <w:r>
              <w:rPr>
                <w:sz w:val="17"/>
              </w:rPr>
              <w:t>.</w:t>
            </w:r>
          </w:p>
        </w:tc>
        <w:tc>
          <w:tcPr>
            <w:tcW w:w="2808"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The app demonstrates constrained portfolio construction.</w:t>
            </w:r>
          </w:p>
        </w:tc>
      </w:tr>
      <w:tr w:rsidR="00A259C9" w:rsidTr="00767F76">
        <w:trPr>
          <w:cantSplit/>
          <w:jc w:val="center"/>
        </w:trPr>
        <w:tc>
          <w:tcPr>
            <w:tcW w:w="13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Diagnostics</w:t>
            </w:r>
          </w:p>
        </w:tc>
        <w:tc>
          <w:tcPr>
            <w:tcW w:w="244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Cumulative performance and rolling volatility.</w:t>
            </w:r>
          </w:p>
        </w:tc>
        <w:tc>
          <w:tcPr>
            <w:tcW w:w="36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Add drawdown, benchmark comparison, and risk contribution views.</w:t>
            </w:r>
          </w:p>
        </w:tc>
        <w:tc>
          <w:tcPr>
            <w:tcW w:w="280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Students can discuss both return and investor experience.</w:t>
            </w:r>
          </w:p>
        </w:tc>
      </w:tr>
      <w:tr w:rsidR="00A259C9" w:rsidTr="00767F76">
        <w:trPr>
          <w:cantSplit/>
          <w:jc w:val="center"/>
        </w:trPr>
        <w:tc>
          <w:tcPr>
            <w:tcW w:w="1368"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Interface</w:t>
            </w:r>
          </w:p>
        </w:tc>
        <w:tc>
          <w:tcPr>
            <w:tcW w:w="2448"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Basic controls and limited error handling.</w:t>
            </w:r>
          </w:p>
        </w:tc>
        <w:tc>
          <w:tcPr>
            <w:tcW w:w="360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Use a sidebar, data-source display, readable warnings, and more settings.</w:t>
            </w:r>
          </w:p>
        </w:tc>
        <w:tc>
          <w:tcPr>
            <w:tcW w:w="2808"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The application becomes easier to explore in class.</w:t>
            </w:r>
          </w:p>
        </w:tc>
      </w:tr>
    </w:tbl>
    <w:p w:rsidR="00A259C9" w:rsidRDefault="00A259C9">
      <w:pPr>
        <w:spacing w:after="40"/>
      </w:pPr>
    </w:p>
    <w:p w:rsidR="00A259C9" w:rsidRDefault="00AB01B0">
      <w:pPr>
        <w:pStyle w:val="berschrift1"/>
        <w:spacing w:before="240" w:after="100"/>
      </w:pPr>
      <w:r>
        <w:rPr>
          <w:rFonts w:ascii="Arial" w:hAnsi="Arial"/>
        </w:rPr>
        <w:t xml:space="preserve">5 The </w:t>
      </w:r>
      <w:r w:rsidR="000B58E2">
        <w:rPr>
          <w:rFonts w:ascii="Arial" w:hAnsi="Arial"/>
        </w:rPr>
        <w:t>modularized</w:t>
      </w:r>
      <w:r>
        <w:rPr>
          <w:rFonts w:ascii="Arial" w:hAnsi="Arial"/>
        </w:rPr>
        <w:t xml:space="preserve"> path from</w:t>
      </w:r>
      <w:r w:rsidR="000B58E2">
        <w:rPr>
          <w:rFonts w:ascii="Arial" w:hAnsi="Arial"/>
        </w:rPr>
        <w:t xml:space="preserve"> current</w:t>
      </w:r>
      <w:r>
        <w:rPr>
          <w:rFonts w:ascii="Arial" w:hAnsi="Arial"/>
        </w:rPr>
        <w:t xml:space="preserve"> prototype to master solution</w:t>
      </w:r>
    </w:p>
    <w:p w:rsidR="00A259C9" w:rsidRDefault="00AB01B0">
      <w:r>
        <w:t>Teams should work in the following order. Each phase produces a visible result and creates a stable base for the next phase.</w:t>
      </w:r>
    </w:p>
    <w:tbl>
      <w:tblPr>
        <w:tblW w:w="0" w:type="auto"/>
        <w:jc w:val="center"/>
        <w:tblLayout w:type="fixed"/>
        <w:tblLook w:val="04A0" w:firstRow="1" w:lastRow="0" w:firstColumn="1" w:lastColumn="0" w:noHBand="0" w:noVBand="1"/>
      </w:tblPr>
      <w:tblGrid>
        <w:gridCol w:w="1296"/>
        <w:gridCol w:w="3888"/>
        <w:gridCol w:w="2376"/>
        <w:gridCol w:w="2664"/>
      </w:tblGrid>
      <w:tr w:rsidR="00A259C9">
        <w:trPr>
          <w:tblHeade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1F4E78"/>
            <w:tcMar>
              <w:top w:w="90" w:type="dxa"/>
              <w:left w:w="110" w:type="dxa"/>
              <w:bottom w:w="90" w:type="dxa"/>
              <w:right w:w="110" w:type="dxa"/>
            </w:tcMar>
            <w:vAlign w:val="center"/>
          </w:tcPr>
          <w:p w:rsidR="00A259C9" w:rsidRDefault="00AB01B0">
            <w:pPr>
              <w:spacing w:after="0" w:line="240" w:lineRule="auto"/>
            </w:pPr>
            <w:r>
              <w:rPr>
                <w:b/>
                <w:color w:val="FFFFFF"/>
                <w:sz w:val="17"/>
              </w:rPr>
              <w:t>Phase</w:t>
            </w:r>
          </w:p>
        </w:tc>
        <w:tc>
          <w:tcPr>
            <w:tcW w:w="3888" w:type="dxa"/>
            <w:tcBorders>
              <w:top w:val="single" w:sz="6" w:space="0" w:color="D9D9D9"/>
              <w:left w:val="single" w:sz="6" w:space="0" w:color="D9D9D9"/>
              <w:bottom w:val="single" w:sz="6" w:space="0" w:color="D9D9D9"/>
              <w:right w:val="single" w:sz="6" w:space="0" w:color="D9D9D9"/>
            </w:tcBorders>
            <w:shd w:val="clear" w:color="auto" w:fill="1F4E78"/>
            <w:tcMar>
              <w:top w:w="90" w:type="dxa"/>
              <w:left w:w="110" w:type="dxa"/>
              <w:bottom w:w="90" w:type="dxa"/>
              <w:right w:w="110" w:type="dxa"/>
            </w:tcMar>
            <w:vAlign w:val="center"/>
          </w:tcPr>
          <w:p w:rsidR="00A259C9" w:rsidRDefault="00AB01B0">
            <w:pPr>
              <w:spacing w:after="0" w:line="240" w:lineRule="auto"/>
            </w:pPr>
            <w:r>
              <w:rPr>
                <w:b/>
                <w:color w:val="FFFFFF"/>
                <w:sz w:val="17"/>
              </w:rPr>
              <w:t>Main task</w:t>
            </w:r>
          </w:p>
        </w:tc>
        <w:tc>
          <w:tcPr>
            <w:tcW w:w="2376" w:type="dxa"/>
            <w:tcBorders>
              <w:top w:val="single" w:sz="6" w:space="0" w:color="D9D9D9"/>
              <w:left w:val="single" w:sz="6" w:space="0" w:color="D9D9D9"/>
              <w:bottom w:val="single" w:sz="6" w:space="0" w:color="D9D9D9"/>
              <w:right w:val="single" w:sz="6" w:space="0" w:color="D9D9D9"/>
            </w:tcBorders>
            <w:shd w:val="clear" w:color="auto" w:fill="1F4E78"/>
            <w:tcMar>
              <w:top w:w="90" w:type="dxa"/>
              <w:left w:w="110" w:type="dxa"/>
              <w:bottom w:w="90" w:type="dxa"/>
              <w:right w:w="110" w:type="dxa"/>
            </w:tcMar>
            <w:vAlign w:val="center"/>
          </w:tcPr>
          <w:p w:rsidR="00A259C9" w:rsidRDefault="00AB01B0">
            <w:pPr>
              <w:spacing w:after="0" w:line="240" w:lineRule="auto"/>
            </w:pPr>
            <w:r>
              <w:rPr>
                <w:b/>
                <w:color w:val="FFFFFF"/>
                <w:sz w:val="17"/>
              </w:rPr>
              <w:t>Module focus</w:t>
            </w:r>
          </w:p>
        </w:tc>
        <w:tc>
          <w:tcPr>
            <w:tcW w:w="266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10" w:type="dxa"/>
              <w:bottom w:w="90" w:type="dxa"/>
              <w:right w:w="110" w:type="dxa"/>
            </w:tcMar>
            <w:vAlign w:val="center"/>
          </w:tcPr>
          <w:p w:rsidR="00A259C9" w:rsidRDefault="00AB01B0">
            <w:pPr>
              <w:spacing w:after="0" w:line="240" w:lineRule="auto"/>
            </w:pPr>
            <w:r>
              <w:rPr>
                <w:b/>
                <w:color w:val="FFFFFF"/>
                <w:sz w:val="17"/>
              </w:rPr>
              <w:t>Evidence that it works</w:t>
            </w:r>
          </w:p>
        </w:tc>
      </w:tr>
      <w:tr w:rsidR="00A259C9">
        <w:trPr>
          <w:cantSplit/>
          <w:jc w:val="center"/>
        </w:trPr>
        <w:tc>
          <w:tcPr>
            <w:tcW w:w="129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0 Baseline</w:t>
            </w:r>
          </w:p>
        </w:tc>
        <w:tc>
          <w:tcPr>
            <w:tcW w:w="388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Run the old app and record the initial allocation and charts.</w:t>
            </w:r>
          </w:p>
        </w:tc>
        <w:tc>
          <w:tcPr>
            <w:tcW w:w="237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All modules</w:t>
            </w:r>
          </w:p>
        </w:tc>
        <w:tc>
          <w:tcPr>
            <w:tcW w:w="266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The original app opens and produces a result.</w:t>
            </w:r>
          </w:p>
        </w:tc>
      </w:tr>
      <w:tr w:rsidR="00A259C9">
        <w:trPr>
          <w:cantSplit/>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1 Stabilize</w:t>
            </w:r>
          </w:p>
        </w:tc>
        <w:tc>
          <w:tcPr>
            <w:tcW w:w="3888"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Preserve function names and return structures; add a simple command-line check.</w:t>
            </w:r>
          </w:p>
        </w:tc>
        <w:tc>
          <w:tcPr>
            <w:tcW w:w="2376"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Interfaces and run_demo.py</w:t>
            </w:r>
          </w:p>
        </w:tc>
        <w:tc>
          <w:tcPr>
            <w:tcW w:w="2664"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The pipeline runs without the browser.</w:t>
            </w:r>
          </w:p>
        </w:tc>
      </w:tr>
      <w:tr w:rsidR="00A259C9">
        <w:trPr>
          <w:cantSplit/>
          <w:jc w:val="center"/>
        </w:trPr>
        <w:tc>
          <w:tcPr>
            <w:tcW w:w="129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2 Improve data</w:t>
            </w:r>
          </w:p>
        </w:tc>
        <w:tc>
          <w:tcPr>
            <w:tcW w:w="388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Add source selection, fallback data, benchmark alignment, and metadata.</w:t>
            </w:r>
          </w:p>
        </w:tc>
        <w:tc>
          <w:tcPr>
            <w:tcW w:w="237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data_module.py and config.py</w:t>
            </w:r>
          </w:p>
        </w:tc>
        <w:tc>
          <w:tcPr>
            <w:tcW w:w="266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The app reports whether data are live or sample data.</w:t>
            </w:r>
          </w:p>
        </w:tc>
      </w:tr>
      <w:tr w:rsidR="00A259C9">
        <w:trPr>
          <w:cantSplit/>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3 Improve profile</w:t>
            </w:r>
          </w:p>
        </w:tc>
        <w:tc>
          <w:tcPr>
            <w:tcW w:w="3888"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Add one or more questions and map answers to explicit profile fields.</w:t>
            </w:r>
          </w:p>
        </w:tc>
        <w:tc>
          <w:tcPr>
            <w:tcW w:w="2376"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questionnaire.py</w:t>
            </w:r>
          </w:p>
        </w:tc>
        <w:tc>
          <w:tcPr>
            <w:tcW w:w="2664"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The profile metrics change when answers change.</w:t>
            </w:r>
          </w:p>
        </w:tc>
      </w:tr>
      <w:tr w:rsidR="00A259C9">
        <w:trPr>
          <w:cantSplit/>
          <w:jc w:val="center"/>
        </w:trPr>
        <w:tc>
          <w:tcPr>
            <w:tcW w:w="129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4 Improve optimization</w:t>
            </w:r>
          </w:p>
        </w:tc>
        <w:tc>
          <w:tcPr>
            <w:tcW w:w="388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Add constraints and compare at least two objectives.</w:t>
            </w:r>
          </w:p>
        </w:tc>
        <w:tc>
          <w:tcPr>
            <w:tcW w:w="237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optimization.py</w:t>
            </w:r>
          </w:p>
        </w:tc>
        <w:tc>
          <w:tcPr>
            <w:tcW w:w="266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Weights sum to one and satisfy documented bounds.</w:t>
            </w:r>
          </w:p>
        </w:tc>
      </w:tr>
      <w:tr w:rsidR="00A259C9">
        <w:trPr>
          <w:cantSplit/>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5 Improve diagnostics</w:t>
            </w:r>
          </w:p>
        </w:tc>
        <w:tc>
          <w:tcPr>
            <w:tcW w:w="3888"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Add cumulative growth, volatility, drawdown, and risk contributions.</w:t>
            </w:r>
          </w:p>
        </w:tc>
        <w:tc>
          <w:tcPr>
            <w:tcW w:w="2376"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visualization.py</w:t>
            </w:r>
          </w:p>
        </w:tc>
        <w:tc>
          <w:tcPr>
            <w:tcW w:w="2664"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 xml:space="preserve">Charts use the same dates and can be </w:t>
            </w:r>
            <w:r w:rsidR="000B58E2">
              <w:rPr>
                <w:sz w:val="17"/>
              </w:rPr>
              <w:t xml:space="preserve">easily </w:t>
            </w:r>
            <w:r>
              <w:rPr>
                <w:sz w:val="17"/>
              </w:rPr>
              <w:t>interpreted.</w:t>
            </w:r>
          </w:p>
        </w:tc>
      </w:tr>
      <w:tr w:rsidR="00A259C9">
        <w:trPr>
          <w:cantSplit/>
          <w:jc w:val="center"/>
        </w:trPr>
        <w:tc>
          <w:tcPr>
            <w:tcW w:w="129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6 Improve interface</w:t>
            </w:r>
          </w:p>
        </w:tc>
        <w:tc>
          <w:tcPr>
            <w:tcW w:w="388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Expose assumptions</w:t>
            </w:r>
            <w:r w:rsidR="000B58E2">
              <w:rPr>
                <w:sz w:val="17"/>
              </w:rPr>
              <w:t xml:space="preserve"> and adjustable parameters</w:t>
            </w:r>
            <w:r>
              <w:rPr>
                <w:sz w:val="17"/>
              </w:rPr>
              <w:t xml:space="preserve"> in the sidebar and handle infeasible settings.</w:t>
            </w:r>
          </w:p>
        </w:tc>
        <w:tc>
          <w:tcPr>
            <w:tcW w:w="237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app.py</w:t>
            </w:r>
          </w:p>
        </w:tc>
        <w:tc>
          <w:tcPr>
            <w:tcW w:w="266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A non-technical user can explore the model without editing code.</w:t>
            </w:r>
          </w:p>
        </w:tc>
      </w:tr>
      <w:tr w:rsidR="00A259C9">
        <w:trPr>
          <w:cantSplit/>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7 Validate</w:t>
            </w:r>
          </w:p>
        </w:tc>
        <w:tc>
          <w:tcPr>
            <w:tcW w:w="3888"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Add a</w:t>
            </w:r>
            <w:r w:rsidR="000B58E2">
              <w:rPr>
                <w:sz w:val="17"/>
              </w:rPr>
              <w:t xml:space="preserve"> documented</w:t>
            </w:r>
            <w:r>
              <w:rPr>
                <w:sz w:val="17"/>
              </w:rPr>
              <w:t xml:space="preserve"> test for </w:t>
            </w:r>
            <w:r w:rsidR="000B58E2">
              <w:rPr>
                <w:sz w:val="17"/>
              </w:rPr>
              <w:t>each</w:t>
            </w:r>
            <w:r>
              <w:rPr>
                <w:sz w:val="17"/>
              </w:rPr>
              <w:t xml:space="preserve"> team feature.</w:t>
            </w:r>
          </w:p>
        </w:tc>
        <w:tc>
          <w:tcPr>
            <w:tcW w:w="2376"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tests/</w:t>
            </w:r>
            <w:r w:rsidR="000B58E2">
              <w:rPr>
                <w:sz w:val="17"/>
              </w:rPr>
              <w:t xml:space="preserve"> (create a new folder) </w:t>
            </w:r>
          </w:p>
        </w:tc>
        <w:tc>
          <w:tcPr>
            <w:tcW w:w="2664"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The test result is shown during the final presentation.</w:t>
            </w:r>
          </w:p>
        </w:tc>
      </w:tr>
    </w:tbl>
    <w:p w:rsidR="00A259C9" w:rsidRDefault="00A259C9">
      <w:pPr>
        <w:spacing w:after="40"/>
      </w:pPr>
    </w:p>
    <w:p w:rsidR="00A259C9" w:rsidRDefault="00AB01B0">
      <w:pPr>
        <w:pStyle w:val="berschrift1"/>
        <w:spacing w:before="240" w:after="100"/>
      </w:pPr>
      <w:r>
        <w:rPr>
          <w:rFonts w:ascii="Arial" w:hAnsi="Arial"/>
        </w:rPr>
        <w:lastRenderedPageBreak/>
        <w:t>6 Module contracts that must remain stable</w:t>
      </w:r>
    </w:p>
    <w:p w:rsidR="00A259C9" w:rsidRDefault="00AB01B0">
      <w:r>
        <w:t>Students may improve the inside of a function, but they should not casually change the interface used by other modules. The following contracts are the practical meaning of modularization in this project.</w:t>
      </w:r>
    </w:p>
    <w:tbl>
      <w:tblPr>
        <w:tblW w:w="0" w:type="auto"/>
        <w:jc w:val="center"/>
        <w:tblLayout w:type="fixed"/>
        <w:tblLook w:val="04A0" w:firstRow="1" w:lastRow="0" w:firstColumn="1" w:lastColumn="0" w:noHBand="0" w:noVBand="1"/>
      </w:tblPr>
      <w:tblGrid>
        <w:gridCol w:w="1800"/>
        <w:gridCol w:w="3024"/>
        <w:gridCol w:w="3528"/>
        <w:gridCol w:w="1872"/>
      </w:tblGrid>
      <w:tr w:rsidR="00A259C9">
        <w:trPr>
          <w:tblHeade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10" w:type="dxa"/>
              <w:bottom w:w="90" w:type="dxa"/>
              <w:right w:w="110" w:type="dxa"/>
            </w:tcMar>
            <w:vAlign w:val="center"/>
          </w:tcPr>
          <w:p w:rsidR="00A259C9" w:rsidRDefault="00AB01B0">
            <w:pPr>
              <w:spacing w:after="0" w:line="240" w:lineRule="auto"/>
            </w:pPr>
            <w:r>
              <w:rPr>
                <w:b/>
                <w:color w:val="FFFFFF"/>
                <w:sz w:val="17"/>
              </w:rPr>
              <w:t>Module</w:t>
            </w:r>
          </w:p>
        </w:tc>
        <w:tc>
          <w:tcPr>
            <w:tcW w:w="302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10" w:type="dxa"/>
              <w:bottom w:w="90" w:type="dxa"/>
              <w:right w:w="110" w:type="dxa"/>
            </w:tcMar>
            <w:vAlign w:val="center"/>
          </w:tcPr>
          <w:p w:rsidR="00A259C9" w:rsidRDefault="00AB01B0">
            <w:pPr>
              <w:spacing w:after="0" w:line="240" w:lineRule="auto"/>
            </w:pPr>
            <w:r>
              <w:rPr>
                <w:b/>
                <w:color w:val="FFFFFF"/>
                <w:sz w:val="17"/>
              </w:rPr>
              <w:t>Input</w:t>
            </w:r>
          </w:p>
        </w:tc>
        <w:tc>
          <w:tcPr>
            <w:tcW w:w="3528" w:type="dxa"/>
            <w:tcBorders>
              <w:top w:val="single" w:sz="6" w:space="0" w:color="D9D9D9"/>
              <w:left w:val="single" w:sz="6" w:space="0" w:color="D9D9D9"/>
              <w:bottom w:val="single" w:sz="6" w:space="0" w:color="D9D9D9"/>
              <w:right w:val="single" w:sz="6" w:space="0" w:color="D9D9D9"/>
            </w:tcBorders>
            <w:shd w:val="clear" w:color="auto" w:fill="1F4E78"/>
            <w:tcMar>
              <w:top w:w="90" w:type="dxa"/>
              <w:left w:w="110" w:type="dxa"/>
              <w:bottom w:w="90" w:type="dxa"/>
              <w:right w:w="110" w:type="dxa"/>
            </w:tcMar>
            <w:vAlign w:val="center"/>
          </w:tcPr>
          <w:p w:rsidR="00A259C9" w:rsidRDefault="00AB01B0">
            <w:pPr>
              <w:spacing w:after="0" w:line="240" w:lineRule="auto"/>
            </w:pPr>
            <w:r>
              <w:rPr>
                <w:b/>
                <w:color w:val="FFFFFF"/>
                <w:sz w:val="17"/>
              </w:rPr>
              <w:t>Output expected by the app</w:t>
            </w:r>
          </w:p>
        </w:tc>
        <w:tc>
          <w:tcPr>
            <w:tcW w:w="187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10" w:type="dxa"/>
              <w:bottom w:w="90" w:type="dxa"/>
              <w:right w:w="110" w:type="dxa"/>
            </w:tcMar>
            <w:vAlign w:val="center"/>
          </w:tcPr>
          <w:p w:rsidR="00A259C9" w:rsidRDefault="00AB01B0">
            <w:pPr>
              <w:spacing w:after="0" w:line="240" w:lineRule="auto"/>
            </w:pPr>
            <w:r>
              <w:rPr>
                <w:b/>
                <w:color w:val="FFFFFF"/>
                <w:sz w:val="17"/>
              </w:rPr>
              <w:t>Safe changes</w:t>
            </w:r>
          </w:p>
        </w:tc>
      </w:tr>
      <w:tr w:rsidR="00A259C9">
        <w:trPr>
          <w:cantSplit/>
          <w:jc w:val="center"/>
        </w:trPr>
        <w:tc>
          <w:tcPr>
            <w:tcW w:w="18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questionnaire.py</w:t>
            </w:r>
          </w:p>
        </w:tc>
        <w:tc>
          <w:tcPr>
            <w:tcW w:w="302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A dictionary of answer IDs and selected answer values.</w:t>
            </w:r>
          </w:p>
        </w:tc>
        <w:tc>
          <w:tcPr>
            <w:tcW w:w="352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An InvestorProfile object with risk, return, liquidity, and ESG-related fields.</w:t>
            </w:r>
          </w:p>
        </w:tc>
        <w:tc>
          <w:tcPr>
            <w:tcW w:w="187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Add fields or questions while keeping existing fields available.</w:t>
            </w:r>
          </w:p>
        </w:tc>
      </w:tr>
      <w:tr w:rsidR="00A259C9">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data_module.py</w:t>
            </w:r>
          </w:p>
        </w:tc>
        <w:tc>
          <w:tcPr>
            <w:tcW w:w="3024"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Tickers, benchmark, start date, and data source.</w:t>
            </w:r>
          </w:p>
        </w:tc>
        <w:tc>
          <w:tcPr>
            <w:tcW w:w="3528"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A dictionary containing asset prices, asset returns, benchmark data, metadata, and data_source.</w:t>
            </w:r>
          </w:p>
        </w:tc>
        <w:tc>
          <w:tcPr>
            <w:tcW w:w="187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Add columns or sources without removing keys used by app.py.</w:t>
            </w:r>
          </w:p>
        </w:tc>
      </w:tr>
      <w:tr w:rsidR="00A259C9">
        <w:trPr>
          <w:cantSplit/>
          <w:jc w:val="center"/>
        </w:trPr>
        <w:tc>
          <w:tcPr>
            <w:tcW w:w="18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optimization.py</w:t>
            </w:r>
          </w:p>
        </w:tc>
        <w:tc>
          <w:tcPr>
            <w:tcW w:w="302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Return table and portfolio settings.</w:t>
            </w:r>
          </w:p>
        </w:tc>
        <w:tc>
          <w:tcPr>
            <w:tcW w:w="352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A result dictionary containing weights, expected return, volatility, and risk contributions.</w:t>
            </w:r>
          </w:p>
        </w:tc>
        <w:tc>
          <w:tcPr>
            <w:tcW w:w="187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Add a method or constraint while preserving the result structure.</w:t>
            </w:r>
          </w:p>
        </w:tc>
      </w:tr>
      <w:tr w:rsidR="00A259C9">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visualization.py</w:t>
            </w:r>
          </w:p>
        </w:tc>
        <w:tc>
          <w:tcPr>
            <w:tcW w:w="3024"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Dated return Series and portfolio weights.</w:t>
            </w:r>
          </w:p>
        </w:tc>
        <w:tc>
          <w:tcPr>
            <w:tcW w:w="3528"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Dated Series or DataFrames ready for charts.</w:t>
            </w:r>
          </w:p>
        </w:tc>
        <w:tc>
          <w:tcPr>
            <w:tcW w:w="187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Add a new diagnostic without changing the meaning of existing functions.</w:t>
            </w:r>
          </w:p>
        </w:tc>
      </w:tr>
      <w:tr w:rsidR="00A259C9">
        <w:trPr>
          <w:cantSplit/>
          <w:jc w:val="center"/>
        </w:trPr>
        <w:tc>
          <w:tcPr>
            <w:tcW w:w="18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app.py</w:t>
            </w:r>
          </w:p>
        </w:tc>
        <w:tc>
          <w:tcPr>
            <w:tcW w:w="302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User choices from the browser.</w:t>
            </w:r>
          </w:p>
        </w:tc>
        <w:tc>
          <w:tcPr>
            <w:tcW w:w="352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A complete user flow and readable output.</w:t>
            </w:r>
          </w:p>
        </w:tc>
        <w:tc>
          <w:tcPr>
            <w:tcW w:w="187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Improve layout, help text, and validation.</w:t>
            </w:r>
          </w:p>
        </w:tc>
      </w:tr>
    </w:tbl>
    <w:p w:rsidR="00A259C9" w:rsidRDefault="00A259C9">
      <w:pPr>
        <w:spacing w:after="40"/>
      </w:pPr>
    </w:p>
    <w:p w:rsidR="00A259C9" w:rsidRDefault="00AB01B0">
      <w:r>
        <w:rPr>
          <w:b/>
        </w:rPr>
        <w:t xml:space="preserve">A simple test for a proposed change: </w:t>
      </w:r>
      <w:r>
        <w:t>could the other modules still call this function without knowing how its internal code was changed</w:t>
      </w:r>
      <w:r w:rsidR="00956EA9">
        <w:t xml:space="preserve"> (encapsulation principle)</w:t>
      </w:r>
      <w:r>
        <w:t>? If not, the interface needs to be discussed before coding.</w:t>
      </w:r>
    </w:p>
    <w:p w:rsidR="00A259C9" w:rsidRDefault="00AB01B0">
      <w:pPr>
        <w:pStyle w:val="berschrift1"/>
        <w:spacing w:before="240" w:after="100"/>
      </w:pPr>
      <w:r>
        <w:rPr>
          <w:rFonts w:ascii="Arial" w:hAnsi="Arial"/>
        </w:rPr>
        <w:t>7 Installation and first checks</w:t>
      </w:r>
    </w:p>
    <w:p w:rsidR="00A259C9" w:rsidRDefault="00AB01B0">
      <w:r>
        <w:t xml:space="preserve">The </w:t>
      </w:r>
      <w:r w:rsidR="00956EA9">
        <w:t>current</w:t>
      </w:r>
      <w:r>
        <w:t xml:space="preserve"> prototype and the master solution use the same basic workflow. The commands below assume that students open Anaconda Prompt or a terminal in the project folder.</w:t>
      </w:r>
    </w:p>
    <w:p w:rsidR="00A259C9" w:rsidRPr="00956EA9" w:rsidRDefault="00AB01B0">
      <w:pPr>
        <w:spacing w:after="0" w:line="240" w:lineRule="auto"/>
        <w:ind w:left="360" w:right="216"/>
        <w:rPr>
          <w:sz w:val="24"/>
        </w:rPr>
      </w:pPr>
      <w:proofErr w:type="spellStart"/>
      <w:r w:rsidRPr="00956EA9">
        <w:rPr>
          <w:rFonts w:ascii="Consolas" w:hAnsi="Consolas"/>
          <w:color w:val="333333"/>
          <w:sz w:val="20"/>
        </w:rPr>
        <w:t>conda</w:t>
      </w:r>
      <w:proofErr w:type="spellEnd"/>
      <w:r w:rsidRPr="00956EA9">
        <w:rPr>
          <w:rFonts w:ascii="Consolas" w:hAnsi="Consolas"/>
          <w:color w:val="333333"/>
          <w:sz w:val="20"/>
        </w:rPr>
        <w:t xml:space="preserve"> env create -f environment.yml</w:t>
      </w:r>
    </w:p>
    <w:p w:rsidR="00A259C9" w:rsidRPr="00956EA9" w:rsidRDefault="00AB01B0">
      <w:pPr>
        <w:spacing w:after="0" w:line="240" w:lineRule="auto"/>
        <w:ind w:left="360" w:right="216"/>
        <w:rPr>
          <w:sz w:val="24"/>
        </w:rPr>
      </w:pPr>
      <w:r w:rsidRPr="00956EA9">
        <w:rPr>
          <w:rFonts w:ascii="Consolas" w:hAnsi="Consolas"/>
          <w:color w:val="333333"/>
          <w:sz w:val="20"/>
        </w:rPr>
        <w:t>conda activate green-robo-advisor</w:t>
      </w:r>
    </w:p>
    <w:p w:rsidR="00A259C9" w:rsidRPr="00956EA9" w:rsidRDefault="00AB01B0">
      <w:pPr>
        <w:spacing w:after="0" w:line="240" w:lineRule="auto"/>
        <w:ind w:left="360" w:right="216"/>
        <w:rPr>
          <w:sz w:val="24"/>
        </w:rPr>
      </w:pPr>
      <w:r w:rsidRPr="00956EA9">
        <w:rPr>
          <w:rFonts w:ascii="Consolas" w:hAnsi="Consolas"/>
          <w:color w:val="333333"/>
          <w:sz w:val="20"/>
        </w:rPr>
        <w:t>python run_demo.py</w:t>
      </w:r>
    </w:p>
    <w:p w:rsidR="00A259C9" w:rsidRPr="00956EA9" w:rsidRDefault="00AB01B0">
      <w:pPr>
        <w:spacing w:after="0" w:line="240" w:lineRule="auto"/>
        <w:ind w:left="360" w:right="216"/>
        <w:rPr>
          <w:sz w:val="24"/>
        </w:rPr>
      </w:pPr>
      <w:r w:rsidRPr="00956EA9">
        <w:rPr>
          <w:rFonts w:ascii="Consolas" w:hAnsi="Consolas"/>
          <w:color w:val="333333"/>
          <w:sz w:val="20"/>
        </w:rPr>
        <w:t xml:space="preserve">python -m </w:t>
      </w:r>
      <w:proofErr w:type="spellStart"/>
      <w:r w:rsidRPr="00956EA9">
        <w:rPr>
          <w:rFonts w:ascii="Consolas" w:hAnsi="Consolas"/>
          <w:color w:val="333333"/>
          <w:sz w:val="20"/>
        </w:rPr>
        <w:t>streamlit</w:t>
      </w:r>
      <w:proofErr w:type="spellEnd"/>
      <w:r w:rsidRPr="00956EA9">
        <w:rPr>
          <w:rFonts w:ascii="Consolas" w:hAnsi="Consolas"/>
          <w:color w:val="333333"/>
          <w:sz w:val="20"/>
        </w:rPr>
        <w:t xml:space="preserve"> run green_robo_advisor/app.py</w:t>
      </w:r>
    </w:p>
    <w:p w:rsidR="00A259C9" w:rsidRPr="00956EA9" w:rsidRDefault="00A259C9">
      <w:pPr>
        <w:spacing w:after="60"/>
        <w:rPr>
          <w:sz w:val="24"/>
        </w:rPr>
      </w:pPr>
    </w:p>
    <w:p w:rsidR="00A259C9" w:rsidRDefault="00AB01B0">
      <w:r>
        <w:t xml:space="preserve">The first two commands create and activate the </w:t>
      </w:r>
      <w:r w:rsidR="00956EA9">
        <w:t xml:space="preserve">virtual </w:t>
      </w:r>
      <w:r>
        <w:t>environment</w:t>
      </w:r>
      <w:r w:rsidR="00956EA9">
        <w:t xml:space="preserve"> (“safe </w:t>
      </w:r>
      <w:proofErr w:type="spellStart"/>
      <w:r w:rsidR="00956EA9">
        <w:t>harbour</w:t>
      </w:r>
      <w:proofErr w:type="spellEnd"/>
      <w:r w:rsidR="00956EA9">
        <w:t>” environment)</w:t>
      </w:r>
      <w:r>
        <w:t>. The third command checks the main pipeline without opening a browser. The final command starts the Streamlit application. The terminal must remain open while the local app is running.</w:t>
      </w:r>
    </w:p>
    <w:p w:rsidR="00956EA9" w:rsidRDefault="00AB01B0" w:rsidP="00956EA9">
      <w:pPr>
        <w:pStyle w:val="Aufzhlungszeichen"/>
        <w:spacing w:after="60"/>
        <w:ind w:hanging="216"/>
      </w:pPr>
      <w:r>
        <w:t xml:space="preserve">If Yahoo Finance fails, use </w:t>
      </w:r>
      <w:r w:rsidR="00956EA9">
        <w:t>synthetic sample data</w:t>
      </w:r>
      <w:r>
        <w:t xml:space="preserve">. </w:t>
      </w:r>
    </w:p>
    <w:p w:rsidR="00A259C9" w:rsidRDefault="00AB01B0" w:rsidP="00956EA9">
      <w:pPr>
        <w:pStyle w:val="Aufzhlungszeichen"/>
        <w:spacing w:after="60"/>
        <w:ind w:hanging="216"/>
      </w:pPr>
      <w:r>
        <w:t>If the browser shows an old result after a code change, save the file, use Streamlit's rerun control, or stop and restart the command.</w:t>
      </w:r>
    </w:p>
    <w:p w:rsidR="00A259C9" w:rsidRDefault="00AB01B0">
      <w:pPr>
        <w:pStyle w:val="berschrift1"/>
        <w:spacing w:before="240" w:after="100"/>
      </w:pPr>
      <w:r>
        <w:rPr>
          <w:rFonts w:ascii="Arial" w:hAnsi="Arial"/>
        </w:rPr>
        <w:t>8 Easy experiments before changing code</w:t>
      </w:r>
    </w:p>
    <w:p w:rsidR="00A259C9" w:rsidRDefault="00AB01B0">
      <w:r>
        <w:t>Students should first explore the settings already exposed by the web app. The purpose is to develop intuition before changing a function. Record the setting, the portfolio weights, the expected risk, and one interpretation.</w:t>
      </w:r>
    </w:p>
    <w:tbl>
      <w:tblPr>
        <w:tblW w:w="0" w:type="auto"/>
        <w:jc w:val="center"/>
        <w:tblLayout w:type="fixed"/>
        <w:tblLook w:val="04A0" w:firstRow="1" w:lastRow="0" w:firstColumn="1" w:lastColumn="0" w:noHBand="0" w:noVBand="1"/>
      </w:tblPr>
      <w:tblGrid>
        <w:gridCol w:w="1800"/>
        <w:gridCol w:w="3960"/>
        <w:gridCol w:w="4464"/>
      </w:tblGrid>
      <w:tr w:rsidR="00A259C9">
        <w:trPr>
          <w:tblHeade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10" w:type="dxa"/>
              <w:bottom w:w="90" w:type="dxa"/>
              <w:right w:w="110" w:type="dxa"/>
            </w:tcMar>
            <w:vAlign w:val="center"/>
          </w:tcPr>
          <w:p w:rsidR="00A259C9" w:rsidRDefault="00AB01B0">
            <w:pPr>
              <w:spacing w:after="0" w:line="240" w:lineRule="auto"/>
            </w:pPr>
            <w:r>
              <w:rPr>
                <w:b/>
                <w:color w:val="FFFFFF"/>
                <w:sz w:val="17"/>
              </w:rPr>
              <w:t>Setting</w:t>
            </w:r>
          </w:p>
        </w:tc>
        <w:tc>
          <w:tcPr>
            <w:tcW w:w="396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10" w:type="dxa"/>
              <w:bottom w:w="90" w:type="dxa"/>
              <w:right w:w="110" w:type="dxa"/>
            </w:tcMar>
            <w:vAlign w:val="center"/>
          </w:tcPr>
          <w:p w:rsidR="00A259C9" w:rsidRDefault="00AB01B0">
            <w:pPr>
              <w:spacing w:after="0" w:line="240" w:lineRule="auto"/>
            </w:pPr>
            <w:r>
              <w:rPr>
                <w:b/>
                <w:color w:val="FFFFFF"/>
                <w:sz w:val="17"/>
              </w:rPr>
              <w:t>Small experiment</w:t>
            </w:r>
          </w:p>
        </w:tc>
        <w:tc>
          <w:tcPr>
            <w:tcW w:w="446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10" w:type="dxa"/>
              <w:bottom w:w="90" w:type="dxa"/>
              <w:right w:w="110" w:type="dxa"/>
            </w:tcMar>
            <w:vAlign w:val="center"/>
          </w:tcPr>
          <w:p w:rsidR="00A259C9" w:rsidRDefault="00AB01B0">
            <w:pPr>
              <w:spacing w:after="0" w:line="240" w:lineRule="auto"/>
            </w:pPr>
            <w:r>
              <w:rPr>
                <w:b/>
                <w:color w:val="FFFFFF"/>
                <w:sz w:val="17"/>
              </w:rPr>
              <w:t>What students can observe</w:t>
            </w:r>
          </w:p>
        </w:tc>
      </w:tr>
      <w:tr w:rsidR="00A259C9">
        <w:trPr>
          <w:cantSplit/>
          <w:jc w:val="center"/>
        </w:trPr>
        <w:tc>
          <w:tcPr>
            <w:tcW w:w="18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Price-data source</w:t>
            </w:r>
          </w:p>
        </w:tc>
        <w:tc>
          <w:tcPr>
            <w:tcW w:w="396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Compare sample and Yahoo Finance data with the same dates.</w:t>
            </w:r>
          </w:p>
        </w:tc>
        <w:tc>
          <w:tcPr>
            <w:tcW w:w="446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Historical estimates and resulting weights can change because the data source and time period</w:t>
            </w:r>
            <w:r w:rsidR="00747BFC">
              <w:rPr>
                <w:sz w:val="17"/>
              </w:rPr>
              <w:t xml:space="preserve"> may</w:t>
            </w:r>
            <w:r>
              <w:rPr>
                <w:sz w:val="17"/>
              </w:rPr>
              <w:t xml:space="preserve"> differ.</w:t>
            </w:r>
          </w:p>
        </w:tc>
      </w:tr>
      <w:tr w:rsidR="00A259C9">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lastRenderedPageBreak/>
              <w:t>Start date</w:t>
            </w:r>
          </w:p>
        </w:tc>
        <w:tc>
          <w:tcPr>
            <w:tcW w:w="396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Move the start date forward by one or two years.</w:t>
            </w:r>
          </w:p>
        </w:tc>
        <w:tc>
          <w:tcPr>
            <w:tcW w:w="4464"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The optimizer uses a different historical sample and may estimate different return and risk relationships.</w:t>
            </w:r>
          </w:p>
        </w:tc>
      </w:tr>
      <w:tr w:rsidR="00A259C9">
        <w:trPr>
          <w:cantSplit/>
          <w:jc w:val="center"/>
        </w:trPr>
        <w:tc>
          <w:tcPr>
            <w:tcW w:w="18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ETF universe</w:t>
            </w:r>
          </w:p>
        </w:tc>
        <w:tc>
          <w:tcPr>
            <w:tcW w:w="396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Remove one equity ETF or one bond ETF.</w:t>
            </w:r>
          </w:p>
        </w:tc>
        <w:tc>
          <w:tcPr>
            <w:tcW w:w="446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The opportunity set changes even though the questionnaire stays the same.</w:t>
            </w:r>
          </w:p>
        </w:tc>
      </w:tr>
      <w:tr w:rsidR="00A259C9">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Optimization method</w:t>
            </w:r>
          </w:p>
        </w:tc>
        <w:tc>
          <w:tcPr>
            <w:tcW w:w="396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 xml:space="preserve">Compare maximum Sharpe, minimum variance, </w:t>
            </w:r>
            <w:r w:rsidR="00747BFC">
              <w:rPr>
                <w:sz w:val="17"/>
              </w:rPr>
              <w:t xml:space="preserve">and </w:t>
            </w:r>
            <w:r>
              <w:rPr>
                <w:sz w:val="17"/>
              </w:rPr>
              <w:t>risk parity.</w:t>
            </w:r>
          </w:p>
        </w:tc>
        <w:tc>
          <w:tcPr>
            <w:tcW w:w="4464"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Different objectives produce different meanings of a good portfolio.</w:t>
            </w:r>
          </w:p>
        </w:tc>
      </w:tr>
      <w:tr w:rsidR="00A259C9">
        <w:trPr>
          <w:cantSplit/>
          <w:jc w:val="center"/>
        </w:trPr>
        <w:tc>
          <w:tcPr>
            <w:tcW w:w="18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Maximum weight</w:t>
            </w:r>
          </w:p>
        </w:tc>
        <w:tc>
          <w:tcPr>
            <w:tcW w:w="396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Move the cap from 0.60 to 0.30 or 0.80.</w:t>
            </w:r>
          </w:p>
        </w:tc>
        <w:tc>
          <w:tcPr>
            <w:tcW w:w="446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A lower cap encourages diversification; a higher cap permits concentration.</w:t>
            </w:r>
          </w:p>
        </w:tc>
      </w:tr>
      <w:tr w:rsidR="00A259C9">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Minimum weight</w:t>
            </w:r>
          </w:p>
        </w:tc>
        <w:tc>
          <w:tcPr>
            <w:tcW w:w="396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Set a small minimum such as 0.05.</w:t>
            </w:r>
          </w:p>
        </w:tc>
        <w:tc>
          <w:tcPr>
            <w:tcW w:w="4464"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Every selected ETF receives an allocation, but feasibility becomes more difficult.</w:t>
            </w:r>
          </w:p>
        </w:tc>
      </w:tr>
      <w:tr w:rsidR="00A259C9">
        <w:trPr>
          <w:cantSplit/>
          <w:jc w:val="center"/>
        </w:trPr>
        <w:tc>
          <w:tcPr>
            <w:tcW w:w="18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ESG floor</w:t>
            </w:r>
          </w:p>
        </w:tc>
        <w:tc>
          <w:tcPr>
            <w:tcW w:w="396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Increase the minimum weighted ESG score gradually.</w:t>
            </w:r>
          </w:p>
        </w:tc>
        <w:tc>
          <w:tcPr>
            <w:tcW w:w="446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The feasible portfolio may shift toward higher-scoring assets or become infeasible.</w:t>
            </w:r>
          </w:p>
        </w:tc>
      </w:tr>
      <w:tr w:rsidR="00A259C9">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Risk aversion</w:t>
            </w:r>
          </w:p>
        </w:tc>
        <w:tc>
          <w:tcPr>
            <w:tcW w:w="396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Compare 0.5, 3.0, and 8.0 in mean-variance mode.</w:t>
            </w:r>
          </w:p>
        </w:tc>
        <w:tc>
          <w:tcPr>
            <w:tcW w:w="4464"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Higher risk aversion gives more importance to estimated variance relative to return.</w:t>
            </w:r>
          </w:p>
        </w:tc>
      </w:tr>
      <w:tr w:rsidR="00A259C9">
        <w:trPr>
          <w:cantSplit/>
          <w:jc w:val="center"/>
        </w:trPr>
        <w:tc>
          <w:tcPr>
            <w:tcW w:w="18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Risk-free rate</w:t>
            </w:r>
          </w:p>
        </w:tc>
        <w:tc>
          <w:tcPr>
            <w:tcW w:w="396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Compare 0.00 and 0.04 in maximum Sharpe mode.</w:t>
            </w:r>
          </w:p>
        </w:tc>
        <w:tc>
          <w:tcPr>
            <w:tcW w:w="446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The preferred portfolio can change because excess return is measured differently.</w:t>
            </w:r>
          </w:p>
        </w:tc>
      </w:tr>
    </w:tbl>
    <w:p w:rsidR="00A259C9" w:rsidRDefault="00A259C9">
      <w:pPr>
        <w:spacing w:after="40"/>
      </w:pPr>
    </w:p>
    <w:p w:rsidR="00A259C9" w:rsidRDefault="00AB01B0">
      <w:r>
        <w:rPr>
          <w:b/>
        </w:rPr>
        <w:t xml:space="preserve">Interpretation warning: </w:t>
      </w:r>
      <w:r>
        <w:t>a change in the allocation is not automatically an improvement. Students should ask which objective changed, which estimate changed, and whether the result is economically meaningful or only a consequence of noisy historical data.</w:t>
      </w:r>
    </w:p>
    <w:p w:rsidR="00A259C9" w:rsidRDefault="00AB01B0">
      <w:pPr>
        <w:pStyle w:val="berschrift1"/>
        <w:spacing w:before="240" w:after="100"/>
      </w:pPr>
      <w:r>
        <w:rPr>
          <w:rFonts w:ascii="Arial" w:hAnsi="Arial"/>
        </w:rPr>
        <w:t>9 Small code changes that lead toward the master solution</w:t>
      </w:r>
    </w:p>
    <w:tbl>
      <w:tblPr>
        <w:tblW w:w="0" w:type="auto"/>
        <w:jc w:val="center"/>
        <w:tblLayout w:type="fixed"/>
        <w:tblLook w:val="04A0" w:firstRow="1" w:lastRow="0" w:firstColumn="1" w:lastColumn="0" w:noHBand="0" w:noVBand="1"/>
      </w:tblPr>
      <w:tblGrid>
        <w:gridCol w:w="1800"/>
        <w:gridCol w:w="4608"/>
        <w:gridCol w:w="3816"/>
      </w:tblGrid>
      <w:tr w:rsidR="00A259C9">
        <w:trPr>
          <w:tblHeade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10" w:type="dxa"/>
              <w:bottom w:w="90" w:type="dxa"/>
              <w:right w:w="110" w:type="dxa"/>
            </w:tcMar>
            <w:vAlign w:val="center"/>
          </w:tcPr>
          <w:p w:rsidR="00A259C9" w:rsidRDefault="00AB01B0">
            <w:pPr>
              <w:spacing w:after="0" w:line="240" w:lineRule="auto"/>
            </w:pPr>
            <w:r>
              <w:rPr>
                <w:b/>
                <w:color w:val="FFFFFF"/>
                <w:sz w:val="17"/>
              </w:rPr>
              <w:t>File</w:t>
            </w:r>
          </w:p>
        </w:tc>
        <w:tc>
          <w:tcPr>
            <w:tcW w:w="4608" w:type="dxa"/>
            <w:tcBorders>
              <w:top w:val="single" w:sz="6" w:space="0" w:color="D9D9D9"/>
              <w:left w:val="single" w:sz="6" w:space="0" w:color="D9D9D9"/>
              <w:bottom w:val="single" w:sz="6" w:space="0" w:color="D9D9D9"/>
              <w:right w:val="single" w:sz="6" w:space="0" w:color="D9D9D9"/>
            </w:tcBorders>
            <w:shd w:val="clear" w:color="auto" w:fill="1F4E78"/>
            <w:tcMar>
              <w:top w:w="90" w:type="dxa"/>
              <w:left w:w="110" w:type="dxa"/>
              <w:bottom w:w="90" w:type="dxa"/>
              <w:right w:w="110" w:type="dxa"/>
            </w:tcMar>
            <w:vAlign w:val="center"/>
          </w:tcPr>
          <w:p w:rsidR="00A259C9" w:rsidRDefault="00AB01B0">
            <w:pPr>
              <w:spacing w:after="0" w:line="240" w:lineRule="auto"/>
            </w:pPr>
            <w:r>
              <w:rPr>
                <w:b/>
                <w:color w:val="FFFFFF"/>
                <w:sz w:val="17"/>
              </w:rPr>
              <w:t>Beginner-friendly adjustment</w:t>
            </w:r>
          </w:p>
        </w:tc>
        <w:tc>
          <w:tcPr>
            <w:tcW w:w="3816" w:type="dxa"/>
            <w:tcBorders>
              <w:top w:val="single" w:sz="6" w:space="0" w:color="D9D9D9"/>
              <w:left w:val="single" w:sz="6" w:space="0" w:color="D9D9D9"/>
              <w:bottom w:val="single" w:sz="6" w:space="0" w:color="D9D9D9"/>
              <w:right w:val="single" w:sz="6" w:space="0" w:color="D9D9D9"/>
            </w:tcBorders>
            <w:shd w:val="clear" w:color="auto" w:fill="1F4E78"/>
            <w:tcMar>
              <w:top w:w="90" w:type="dxa"/>
              <w:left w:w="110" w:type="dxa"/>
              <w:bottom w:w="90" w:type="dxa"/>
              <w:right w:w="110" w:type="dxa"/>
            </w:tcMar>
            <w:vAlign w:val="center"/>
          </w:tcPr>
          <w:p w:rsidR="00A259C9" w:rsidRDefault="00AB01B0">
            <w:pPr>
              <w:spacing w:after="0" w:line="240" w:lineRule="auto"/>
            </w:pPr>
            <w:r>
              <w:rPr>
                <w:b/>
                <w:color w:val="FFFFFF"/>
                <w:sz w:val="17"/>
              </w:rPr>
              <w:t>Master feature it prepares</w:t>
            </w:r>
          </w:p>
        </w:tc>
      </w:tr>
      <w:tr w:rsidR="00A259C9">
        <w:trPr>
          <w:cantSplit/>
          <w:jc w:val="center"/>
        </w:trPr>
        <w:tc>
          <w:tcPr>
            <w:tcW w:w="18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config.py</w:t>
            </w:r>
          </w:p>
        </w:tc>
        <w:tc>
          <w:tcPr>
            <w:tcW w:w="460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Change default tickers, benchmark, trading days, or descriptive metadata.</w:t>
            </w:r>
          </w:p>
        </w:tc>
        <w:tc>
          <w:tcPr>
            <w:tcW w:w="381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A transparent central configuration and a richer ETF universe.</w:t>
            </w:r>
          </w:p>
        </w:tc>
      </w:tr>
      <w:tr w:rsidR="00A259C9">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questionnaire.py</w:t>
            </w:r>
          </w:p>
        </w:tc>
        <w:tc>
          <w:tcPr>
            <w:tcW w:w="4608"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Change one score threshold or add one question about liquidity needs.</w:t>
            </w:r>
          </w:p>
        </w:tc>
        <w:tc>
          <w:tcPr>
            <w:tcW w:w="3816"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A more explicit InvestorProfile and better separation of risk tolerance from risk capacity.</w:t>
            </w:r>
          </w:p>
        </w:tc>
      </w:tr>
      <w:tr w:rsidR="00A259C9">
        <w:trPr>
          <w:cantSplit/>
          <w:jc w:val="center"/>
        </w:trPr>
        <w:tc>
          <w:tcPr>
            <w:tcW w:w="18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data_module.py</w:t>
            </w:r>
          </w:p>
        </w:tc>
        <w:tc>
          <w:tcPr>
            <w:tcW w:w="460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Add a CSV option, a data-source label, or a check for missing tickers.</w:t>
            </w:r>
          </w:p>
        </w:tc>
        <w:tc>
          <w:tcPr>
            <w:tcW w:w="381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Reliable live/offline data handling and visible data provenance.</w:t>
            </w:r>
          </w:p>
        </w:tc>
      </w:tr>
      <w:tr w:rsidR="00A259C9">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data_module.py</w:t>
            </w:r>
          </w:p>
        </w:tc>
        <w:tc>
          <w:tcPr>
            <w:tcW w:w="4608"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Change one synthetic drift or volatility assumption and compare the result.</w:t>
            </w:r>
          </w:p>
        </w:tc>
        <w:tc>
          <w:tcPr>
            <w:tcW w:w="3816"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An understanding of how assumptions influence optimization.</w:t>
            </w:r>
          </w:p>
        </w:tc>
      </w:tr>
      <w:tr w:rsidR="00A259C9">
        <w:trPr>
          <w:cantSplit/>
          <w:jc w:val="center"/>
        </w:trPr>
        <w:tc>
          <w:tcPr>
            <w:tcW w:w="18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optimization.py</w:t>
            </w:r>
          </w:p>
        </w:tc>
        <w:tc>
          <w:tcPr>
            <w:tcW w:w="460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Add or change a maximum weight constraint.</w:t>
            </w:r>
          </w:p>
        </w:tc>
        <w:tc>
          <w:tcPr>
            <w:tcW w:w="381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A feasible-set perspective on portfolio construction.</w:t>
            </w:r>
          </w:p>
        </w:tc>
      </w:tr>
      <w:tr w:rsidR="00A259C9">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optimization.py</w:t>
            </w:r>
          </w:p>
        </w:tc>
        <w:tc>
          <w:tcPr>
            <w:tcW w:w="4608"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Calculate each ETF's contribution to total portfolio risk.</w:t>
            </w:r>
          </w:p>
        </w:tc>
        <w:tc>
          <w:tcPr>
            <w:tcW w:w="3816"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The risk contribution table and chart in the master solution.</w:t>
            </w:r>
          </w:p>
        </w:tc>
      </w:tr>
      <w:tr w:rsidR="00A259C9">
        <w:trPr>
          <w:cantSplit/>
          <w:jc w:val="center"/>
        </w:trPr>
        <w:tc>
          <w:tcPr>
            <w:tcW w:w="18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visualization.py</w:t>
            </w:r>
          </w:p>
        </w:tc>
        <w:tc>
          <w:tcPr>
            <w:tcW w:w="460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Add a drawdown function or a benchmark comparison.</w:t>
            </w:r>
          </w:p>
        </w:tc>
        <w:tc>
          <w:tcPr>
            <w:tcW w:w="381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Diagnostics beyond a single cumulative-return chart.</w:t>
            </w:r>
          </w:p>
        </w:tc>
      </w:tr>
      <w:tr w:rsidR="00A259C9">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app.py</w:t>
            </w:r>
          </w:p>
        </w:tc>
        <w:tc>
          <w:tcPr>
            <w:tcW w:w="4608"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 xml:space="preserve">Move a model assumption </w:t>
            </w:r>
            <w:r w:rsidR="00511D36">
              <w:rPr>
                <w:sz w:val="17"/>
              </w:rPr>
              <w:t xml:space="preserve">and parameters </w:t>
            </w:r>
            <w:r>
              <w:rPr>
                <w:sz w:val="17"/>
              </w:rPr>
              <w:t>into the sidebar and show a warning when settings are infeasible.</w:t>
            </w:r>
          </w:p>
        </w:tc>
        <w:tc>
          <w:tcPr>
            <w:tcW w:w="3816"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A more transparent and usable web interface.</w:t>
            </w:r>
          </w:p>
        </w:tc>
      </w:tr>
      <w:tr w:rsidR="00A259C9">
        <w:trPr>
          <w:cantSplit/>
          <w:jc w:val="center"/>
        </w:trPr>
        <w:tc>
          <w:tcPr>
            <w:tcW w:w="18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tests/</w:t>
            </w:r>
          </w:p>
        </w:tc>
        <w:tc>
          <w:tcPr>
            <w:tcW w:w="460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Test that weights sum to one and that no weight violates its bounds.</w:t>
            </w:r>
          </w:p>
        </w:tc>
        <w:tc>
          <w:tcPr>
            <w:tcW w:w="381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511D36">
            <w:pPr>
              <w:spacing w:after="0" w:line="245" w:lineRule="auto"/>
            </w:pPr>
            <w:r>
              <w:rPr>
                <w:sz w:val="17"/>
              </w:rPr>
              <w:t>A</w:t>
            </w:r>
            <w:r w:rsidR="00AB01B0">
              <w:rPr>
                <w:sz w:val="17"/>
              </w:rPr>
              <w:t xml:space="preserve"> </w:t>
            </w:r>
            <w:r>
              <w:rPr>
                <w:sz w:val="17"/>
              </w:rPr>
              <w:t>“</w:t>
            </w:r>
            <w:r w:rsidR="00AB01B0">
              <w:rPr>
                <w:sz w:val="17"/>
              </w:rPr>
              <w:t>smoke</w:t>
            </w:r>
            <w:r>
              <w:rPr>
                <w:sz w:val="17"/>
              </w:rPr>
              <w:t xml:space="preserve"> </w:t>
            </w:r>
            <w:r w:rsidR="00AB01B0">
              <w:rPr>
                <w:sz w:val="17"/>
              </w:rPr>
              <w:t>test</w:t>
            </w:r>
            <w:r>
              <w:rPr>
                <w:sz w:val="17"/>
              </w:rPr>
              <w:t>”</w:t>
            </w:r>
            <w:r w:rsidR="00AB01B0">
              <w:rPr>
                <w:sz w:val="17"/>
              </w:rPr>
              <w:t xml:space="preserve"> and validation logic of the master solution.</w:t>
            </w:r>
          </w:p>
        </w:tc>
      </w:tr>
    </w:tbl>
    <w:p w:rsidR="00A259C9" w:rsidRDefault="00A259C9">
      <w:pPr>
        <w:spacing w:after="40"/>
      </w:pPr>
    </w:p>
    <w:p w:rsidR="00A259C9" w:rsidRDefault="00AB01B0">
      <w:pPr>
        <w:pStyle w:val="berschrift1"/>
        <w:spacing w:before="240" w:after="100"/>
      </w:pPr>
      <w:r>
        <w:rPr>
          <w:rFonts w:ascii="Arial" w:hAnsi="Arial"/>
        </w:rPr>
        <w:lastRenderedPageBreak/>
        <w:t>10 Suggested GenAI workflow</w:t>
      </w:r>
    </w:p>
    <w:p w:rsidR="00A259C9" w:rsidRDefault="00511D36">
      <w:r w:rsidRPr="00511D36">
        <w:t>GenAI may be used in the course as a coding assistant and to clarify quantitative-finance concepts; it should support</w:t>
      </w:r>
      <w:r>
        <w:t xml:space="preserve">, </w:t>
      </w:r>
      <w:r w:rsidRPr="00511D36">
        <w:t>not replac</w:t>
      </w:r>
      <w:r>
        <w:t xml:space="preserve">e, </w:t>
      </w:r>
      <w:r w:rsidRPr="00511D36">
        <w:t>students’ own understanding and critical engagement.</w:t>
      </w:r>
      <w:r>
        <w:t xml:space="preserve"> P</w:t>
      </w:r>
      <w:r w:rsidR="00AB01B0">
        <w:t>rompts specify the module, the existing function contract, the desired change, and the validation step.</w:t>
      </w:r>
    </w:p>
    <w:p w:rsidR="00A259C9" w:rsidRDefault="00AB01B0">
      <w:pPr>
        <w:pStyle w:val="berschrift2"/>
        <w:spacing w:before="160" w:after="100"/>
      </w:pPr>
      <w:r>
        <w:rPr>
          <w:rFonts w:ascii="Arial" w:hAnsi="Arial"/>
        </w:rPr>
        <w:t>10.1 Prompt for a small module change</w:t>
      </w:r>
    </w:p>
    <w:p w:rsidR="00A259C9" w:rsidRDefault="00AB01B0">
      <w:pPr>
        <w:spacing w:after="0" w:line="240" w:lineRule="auto"/>
        <w:ind w:left="360" w:right="216"/>
      </w:pPr>
      <w:r>
        <w:rPr>
          <w:rFonts w:ascii="Consolas" w:hAnsi="Consolas"/>
          <w:color w:val="333333"/>
          <w:sz w:val="17"/>
        </w:rPr>
        <w:t>I am extending a classroom Python robo advisor.</w:t>
      </w:r>
    </w:p>
    <w:p w:rsidR="00A259C9" w:rsidRDefault="00AB01B0">
      <w:pPr>
        <w:spacing w:after="0" w:line="240" w:lineRule="auto"/>
        <w:ind w:left="360" w:right="216"/>
      </w:pPr>
      <w:r>
        <w:rPr>
          <w:rFonts w:ascii="Consolas" w:hAnsi="Consolas"/>
          <w:color w:val="333333"/>
          <w:sz w:val="17"/>
        </w:rPr>
        <w:t>Work only in questionnaire.py.</w:t>
      </w:r>
    </w:p>
    <w:p w:rsidR="00A259C9" w:rsidRDefault="00AB01B0">
      <w:pPr>
        <w:spacing w:after="0" w:line="240" w:lineRule="auto"/>
        <w:ind w:left="360" w:right="216"/>
      </w:pPr>
      <w:r>
        <w:rPr>
          <w:rFonts w:ascii="Consolas" w:hAnsi="Consolas"/>
          <w:color w:val="333333"/>
          <w:sz w:val="17"/>
        </w:rPr>
        <w:t>Add one question about liquidity.</w:t>
      </w:r>
    </w:p>
    <w:p w:rsidR="00A259C9" w:rsidRDefault="00AB01B0">
      <w:pPr>
        <w:spacing w:after="0" w:line="240" w:lineRule="auto"/>
        <w:ind w:left="360" w:right="216"/>
      </w:pPr>
      <w:r>
        <w:rPr>
          <w:rFonts w:ascii="Consolas" w:hAnsi="Consolas"/>
          <w:color w:val="333333"/>
          <w:sz w:val="17"/>
        </w:rPr>
        <w:t>Keep all existing function names, parameters, and return fields unchanged.</w:t>
      </w:r>
    </w:p>
    <w:p w:rsidR="00A259C9" w:rsidRDefault="00AB01B0">
      <w:pPr>
        <w:spacing w:after="0" w:line="240" w:lineRule="auto"/>
        <w:ind w:left="360" w:right="216"/>
      </w:pPr>
      <w:r>
        <w:rPr>
          <w:rFonts w:ascii="Consolas" w:hAnsi="Consolas"/>
          <w:color w:val="333333"/>
          <w:sz w:val="17"/>
        </w:rPr>
        <w:t>Return a small patch and explain each changed line for a beginner.</w:t>
      </w:r>
    </w:p>
    <w:p w:rsidR="00A259C9" w:rsidRDefault="00AB01B0">
      <w:pPr>
        <w:spacing w:after="0" w:line="240" w:lineRule="auto"/>
        <w:ind w:left="360" w:right="216"/>
      </w:pPr>
      <w:r>
        <w:rPr>
          <w:rFonts w:ascii="Consolas" w:hAnsi="Consolas"/>
          <w:color w:val="333333"/>
          <w:sz w:val="17"/>
        </w:rPr>
        <w:t>Also suggest one test that checks the new question changes the profile.</w:t>
      </w:r>
    </w:p>
    <w:p w:rsidR="00A259C9" w:rsidRDefault="00A259C9">
      <w:pPr>
        <w:spacing w:after="60"/>
      </w:pPr>
    </w:p>
    <w:p w:rsidR="00A259C9" w:rsidRDefault="00AB01B0">
      <w:pPr>
        <w:pStyle w:val="berschrift2"/>
        <w:spacing w:before="160" w:after="100"/>
      </w:pPr>
      <w:r>
        <w:rPr>
          <w:rFonts w:ascii="Arial" w:hAnsi="Arial"/>
        </w:rPr>
        <w:t>10.2 Prompt for debugging</w:t>
      </w:r>
    </w:p>
    <w:p w:rsidR="00A259C9" w:rsidRDefault="00AB01B0">
      <w:pPr>
        <w:spacing w:after="0" w:line="240" w:lineRule="auto"/>
        <w:ind w:left="360" w:right="216"/>
      </w:pPr>
      <w:r>
        <w:rPr>
          <w:rFonts w:ascii="Consolas" w:hAnsi="Consolas"/>
          <w:color w:val="333333"/>
          <w:sz w:val="17"/>
        </w:rPr>
        <w:t>The command python run_demo.py produces this error:</w:t>
      </w:r>
    </w:p>
    <w:p w:rsidR="00A259C9" w:rsidRDefault="00AB01B0">
      <w:pPr>
        <w:spacing w:after="0" w:line="240" w:lineRule="auto"/>
        <w:ind w:left="360" w:right="216"/>
      </w:pPr>
      <w:r>
        <w:rPr>
          <w:rFonts w:ascii="Consolas" w:hAnsi="Consolas"/>
          <w:color w:val="333333"/>
          <w:sz w:val="17"/>
        </w:rPr>
        <w:t>[paste the complete error message]</w:t>
      </w:r>
    </w:p>
    <w:p w:rsidR="00A259C9" w:rsidRDefault="00AB01B0">
      <w:pPr>
        <w:spacing w:after="0" w:line="240" w:lineRule="auto"/>
        <w:ind w:left="360" w:right="216"/>
      </w:pPr>
      <w:r>
        <w:rPr>
          <w:rFonts w:ascii="Consolas" w:hAnsi="Consolas"/>
          <w:color w:val="333333"/>
          <w:sz w:val="17"/>
        </w:rPr>
        <w:t>Here is the relevant function:</w:t>
      </w:r>
    </w:p>
    <w:p w:rsidR="00A259C9" w:rsidRDefault="00AB01B0">
      <w:pPr>
        <w:spacing w:after="0" w:line="240" w:lineRule="auto"/>
        <w:ind w:left="360" w:right="216"/>
      </w:pPr>
      <w:r>
        <w:rPr>
          <w:rFonts w:ascii="Consolas" w:hAnsi="Consolas"/>
          <w:color w:val="333333"/>
          <w:sz w:val="17"/>
        </w:rPr>
        <w:t>[paste only the relevant function]</w:t>
      </w:r>
    </w:p>
    <w:p w:rsidR="00A259C9" w:rsidRDefault="00AB01B0">
      <w:pPr>
        <w:spacing w:after="0" w:line="240" w:lineRule="auto"/>
        <w:ind w:left="360" w:right="216"/>
      </w:pPr>
      <w:r>
        <w:rPr>
          <w:rFonts w:ascii="Consolas" w:hAnsi="Consolas"/>
          <w:color w:val="333333"/>
          <w:sz w:val="17"/>
        </w:rPr>
        <w:t>Explain the likely cause in simple language.</w:t>
      </w:r>
    </w:p>
    <w:p w:rsidR="00A259C9" w:rsidRDefault="00AB01B0">
      <w:pPr>
        <w:spacing w:after="0" w:line="240" w:lineRule="auto"/>
        <w:ind w:left="360" w:right="216"/>
      </w:pPr>
      <w:r>
        <w:rPr>
          <w:rFonts w:ascii="Consolas" w:hAnsi="Consolas"/>
          <w:color w:val="333333"/>
          <w:sz w:val="17"/>
        </w:rPr>
        <w:t>Propose the smallest fix and state which input and output types should be checked.</w:t>
      </w:r>
    </w:p>
    <w:p w:rsidR="00A259C9" w:rsidRDefault="00A259C9">
      <w:pPr>
        <w:spacing w:after="60"/>
      </w:pPr>
    </w:p>
    <w:p w:rsidR="00A259C9" w:rsidRDefault="00AB01B0">
      <w:pPr>
        <w:pStyle w:val="berschrift2"/>
        <w:spacing w:before="160" w:after="100"/>
      </w:pPr>
      <w:r>
        <w:rPr>
          <w:rFonts w:ascii="Arial" w:hAnsi="Arial"/>
        </w:rPr>
        <w:t>10.3 Prompt for a new algorithm</w:t>
      </w:r>
    </w:p>
    <w:p w:rsidR="00A259C9" w:rsidRDefault="00AB01B0">
      <w:pPr>
        <w:spacing w:after="0" w:line="240" w:lineRule="auto"/>
        <w:ind w:left="360" w:right="216"/>
      </w:pPr>
      <w:r>
        <w:rPr>
          <w:rFonts w:ascii="Consolas" w:hAnsi="Consolas"/>
          <w:color w:val="333333"/>
          <w:sz w:val="17"/>
        </w:rPr>
        <w:t>Add a hierarchical risk parity</w:t>
      </w:r>
      <w:r w:rsidR="00F374F6">
        <w:rPr>
          <w:rFonts w:ascii="Consolas" w:hAnsi="Consolas"/>
          <w:color w:val="333333"/>
          <w:sz w:val="17"/>
        </w:rPr>
        <w:t xml:space="preserve"> (HRP)</w:t>
      </w:r>
      <w:r>
        <w:rPr>
          <w:rFonts w:ascii="Consolas" w:hAnsi="Consolas"/>
          <w:color w:val="333333"/>
          <w:sz w:val="17"/>
        </w:rPr>
        <w:t xml:space="preserve"> method to optimization.py.</w:t>
      </w:r>
    </w:p>
    <w:p w:rsidR="00A259C9" w:rsidRDefault="00AB01B0">
      <w:pPr>
        <w:spacing w:after="0" w:line="240" w:lineRule="auto"/>
        <w:ind w:left="360" w:right="216"/>
      </w:pPr>
      <w:r>
        <w:rPr>
          <w:rFonts w:ascii="Consolas" w:hAnsi="Consolas"/>
          <w:color w:val="333333"/>
          <w:sz w:val="17"/>
        </w:rPr>
        <w:t>Keep the existing optimize_portfolio return dictionary unchanged.</w:t>
      </w:r>
    </w:p>
    <w:p w:rsidR="00A259C9" w:rsidRDefault="00AB01B0">
      <w:pPr>
        <w:spacing w:after="0" w:line="240" w:lineRule="auto"/>
        <w:ind w:left="360" w:right="216"/>
      </w:pPr>
      <w:r>
        <w:rPr>
          <w:rFonts w:ascii="Consolas" w:hAnsi="Consolas"/>
          <w:color w:val="333333"/>
          <w:sz w:val="17"/>
        </w:rPr>
        <w:t>Explain the algorithm in plain language before writing code.</w:t>
      </w:r>
    </w:p>
    <w:p w:rsidR="00A259C9" w:rsidRDefault="00AB01B0">
      <w:pPr>
        <w:spacing w:after="0" w:line="240" w:lineRule="auto"/>
        <w:ind w:left="360" w:right="216"/>
      </w:pPr>
      <w:r>
        <w:rPr>
          <w:rFonts w:ascii="Consolas" w:hAnsi="Consolas"/>
          <w:color w:val="333333"/>
          <w:sz w:val="17"/>
        </w:rPr>
        <w:t>Use only information available in the training sample.</w:t>
      </w:r>
    </w:p>
    <w:p w:rsidR="00A259C9" w:rsidRDefault="00AB01B0">
      <w:pPr>
        <w:spacing w:after="0" w:line="240" w:lineRule="auto"/>
        <w:ind w:left="360" w:right="216"/>
      </w:pPr>
      <w:r>
        <w:rPr>
          <w:rFonts w:ascii="Consolas" w:hAnsi="Consolas"/>
          <w:color w:val="333333"/>
          <w:sz w:val="17"/>
        </w:rPr>
        <w:t>Add a feasibility check and one test for valid non-negative weights.</w:t>
      </w:r>
    </w:p>
    <w:p w:rsidR="00A259C9" w:rsidRDefault="00A259C9">
      <w:pPr>
        <w:spacing w:after="60"/>
      </w:pPr>
    </w:p>
    <w:p w:rsidR="00A259C9" w:rsidRDefault="00AB01B0">
      <w:pPr>
        <w:pStyle w:val="Aufzhlungszeichen"/>
        <w:spacing w:after="60"/>
        <w:ind w:hanging="216"/>
      </w:pPr>
      <w:r>
        <w:t>Students should inspect every generated line, run the smoke test, and be able to explain the result without the AI tool.</w:t>
      </w:r>
    </w:p>
    <w:p w:rsidR="00A259C9" w:rsidRDefault="00F374F6">
      <w:pPr>
        <w:pStyle w:val="Aufzhlungszeichen"/>
        <w:spacing w:after="60"/>
        <w:ind w:hanging="216"/>
      </w:pPr>
      <w:r>
        <w:t xml:space="preserve">Important Note: </w:t>
      </w:r>
      <w:r w:rsidR="00AB01B0">
        <w:t>Students should not paste passwords, API keys, private data, or unrelated course files into a GenAI tool.</w:t>
      </w:r>
    </w:p>
    <w:p w:rsidR="00A259C9" w:rsidRDefault="00AB01B0">
      <w:pPr>
        <w:pStyle w:val="Aufzhlungszeichen"/>
        <w:spacing w:after="60"/>
        <w:ind w:hanging="216"/>
      </w:pPr>
      <w:r>
        <w:t>A good submission includes the prompt, the accepted change, the test result, and one limitation.</w:t>
      </w:r>
    </w:p>
    <w:p w:rsidR="00A259C9" w:rsidRDefault="00AB01B0">
      <w:pPr>
        <w:pStyle w:val="berschrift1"/>
        <w:spacing w:before="240" w:after="100"/>
      </w:pPr>
      <w:r>
        <w:rPr>
          <w:rFonts w:ascii="Arial" w:hAnsi="Arial"/>
        </w:rPr>
        <w:t>11 Final modularization project options</w:t>
      </w:r>
    </w:p>
    <w:p w:rsidR="00A259C9" w:rsidRDefault="00AB01B0">
      <w:r>
        <w:t>Each team should choose one coherent feature rather than attempting to build a complete commercial robo advisor. The feature should be visible in the app or command-line output, remain connected to an existing module contract, and be explainable in five minutes.</w:t>
      </w:r>
    </w:p>
    <w:tbl>
      <w:tblPr>
        <w:tblW w:w="0" w:type="auto"/>
        <w:jc w:val="center"/>
        <w:tblLayout w:type="fixed"/>
        <w:tblLook w:val="04A0" w:firstRow="1" w:lastRow="0" w:firstColumn="1" w:lastColumn="0" w:noHBand="0" w:noVBand="1"/>
      </w:tblPr>
      <w:tblGrid>
        <w:gridCol w:w="1512"/>
        <w:gridCol w:w="3960"/>
        <w:gridCol w:w="3240"/>
        <w:gridCol w:w="1800"/>
      </w:tblGrid>
      <w:tr w:rsidR="00A259C9">
        <w:trPr>
          <w:tblHeade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10" w:type="dxa"/>
              <w:bottom w:w="90" w:type="dxa"/>
              <w:right w:w="110" w:type="dxa"/>
            </w:tcMar>
            <w:vAlign w:val="center"/>
          </w:tcPr>
          <w:p w:rsidR="00A259C9" w:rsidRDefault="00AB01B0">
            <w:pPr>
              <w:spacing w:after="0" w:line="240" w:lineRule="auto"/>
            </w:pPr>
            <w:r>
              <w:rPr>
                <w:b/>
                <w:color w:val="FFFFFF"/>
                <w:sz w:val="17"/>
              </w:rPr>
              <w:t>Track</w:t>
            </w:r>
          </w:p>
        </w:tc>
        <w:tc>
          <w:tcPr>
            <w:tcW w:w="396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10" w:type="dxa"/>
              <w:bottom w:w="90" w:type="dxa"/>
              <w:right w:w="110" w:type="dxa"/>
            </w:tcMar>
            <w:vAlign w:val="center"/>
          </w:tcPr>
          <w:p w:rsidR="00A259C9" w:rsidRDefault="00AB01B0">
            <w:pPr>
              <w:spacing w:after="0" w:line="240" w:lineRule="auto"/>
            </w:pPr>
            <w:r>
              <w:rPr>
                <w:b/>
                <w:color w:val="FFFFFF"/>
                <w:sz w:val="17"/>
              </w:rPr>
              <w:t>Possible</w:t>
            </w:r>
            <w:r w:rsidR="00F374F6">
              <w:rPr>
                <w:b/>
                <w:color w:val="FFFFFF"/>
                <w:sz w:val="17"/>
              </w:rPr>
              <w:t xml:space="preserve"> (not mandatory)</w:t>
            </w:r>
            <w:r>
              <w:rPr>
                <w:b/>
                <w:color w:val="FFFFFF"/>
                <w:sz w:val="17"/>
              </w:rPr>
              <w:t xml:space="preserve"> extension</w:t>
            </w:r>
          </w:p>
        </w:tc>
        <w:tc>
          <w:tcPr>
            <w:tcW w:w="324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10" w:type="dxa"/>
              <w:bottom w:w="90" w:type="dxa"/>
              <w:right w:w="110" w:type="dxa"/>
            </w:tcMar>
            <w:vAlign w:val="center"/>
          </w:tcPr>
          <w:p w:rsidR="00A259C9" w:rsidRDefault="00AB01B0">
            <w:pPr>
              <w:spacing w:after="0" w:line="240" w:lineRule="auto"/>
            </w:pPr>
            <w:r>
              <w:rPr>
                <w:b/>
                <w:color w:val="FFFFFF"/>
                <w:sz w:val="17"/>
              </w:rPr>
              <w:t>Minimum deliverable</w:t>
            </w:r>
          </w:p>
        </w:tc>
        <w:tc>
          <w:tcPr>
            <w:tcW w:w="180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10" w:type="dxa"/>
              <w:bottom w:w="90" w:type="dxa"/>
              <w:right w:w="110" w:type="dxa"/>
            </w:tcMar>
            <w:vAlign w:val="center"/>
          </w:tcPr>
          <w:p w:rsidR="00A259C9" w:rsidRDefault="00AB01B0">
            <w:pPr>
              <w:spacing w:after="0" w:line="240" w:lineRule="auto"/>
            </w:pPr>
            <w:r>
              <w:rPr>
                <w:b/>
                <w:color w:val="FFFFFF"/>
                <w:sz w:val="17"/>
              </w:rPr>
              <w:t>Difficulty</w:t>
            </w:r>
          </w:p>
        </w:tc>
      </w:tr>
      <w:tr w:rsidR="00A259C9">
        <w:trPr>
          <w:cantSplit/>
          <w:jc w:val="center"/>
        </w:trPr>
        <w:tc>
          <w:tcPr>
            <w:tcW w:w="151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Questionnaire</w:t>
            </w:r>
          </w:p>
        </w:tc>
        <w:tc>
          <w:tcPr>
            <w:tcW w:w="396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 xml:space="preserve">Add financial goal, </w:t>
            </w:r>
            <w:r w:rsidR="00F374F6">
              <w:rPr>
                <w:sz w:val="17"/>
              </w:rPr>
              <w:t>backup</w:t>
            </w:r>
            <w:r>
              <w:rPr>
                <w:sz w:val="17"/>
              </w:rPr>
              <w:t xml:space="preserve"> liquidity, investment horizon, loss capacity, income stability, or impact preferences.</w:t>
            </w:r>
          </w:p>
        </w:tc>
        <w:tc>
          <w:tcPr>
            <w:tcW w:w="324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New question, documented mapping, and before-after profile example.</w:t>
            </w:r>
          </w:p>
        </w:tc>
        <w:tc>
          <w:tcPr>
            <w:tcW w:w="18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Basic to applied</w:t>
            </w:r>
          </w:p>
        </w:tc>
      </w:tr>
      <w:tr w:rsidR="00A259C9">
        <w:trPr>
          <w:cantSplit/>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Data</w:t>
            </w:r>
          </w:p>
        </w:tc>
        <w:tc>
          <w:tcPr>
            <w:tcW w:w="396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Add another ETF, CSV upload, sector information, a second benchmark, macro indicators, or a data-quality report.</w:t>
            </w:r>
          </w:p>
        </w:tc>
        <w:tc>
          <w:tcPr>
            <w:tcW w:w="324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Documented source, validation of missing values, and visible result in the app.</w:t>
            </w:r>
          </w:p>
        </w:tc>
        <w:tc>
          <w:tcPr>
            <w:tcW w:w="180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Basic to applied</w:t>
            </w:r>
          </w:p>
        </w:tc>
      </w:tr>
      <w:tr w:rsidR="00A259C9">
        <w:trPr>
          <w:cantSplit/>
          <w:jc w:val="center"/>
        </w:trPr>
        <w:tc>
          <w:tcPr>
            <w:tcW w:w="151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Optimization</w:t>
            </w:r>
          </w:p>
        </w:tc>
        <w:tc>
          <w:tcPr>
            <w:tcW w:w="396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Add target volatility, turnover penalty, transaction costs, a new ESG constraint, or a full constrained objective.</w:t>
            </w:r>
            <w:r w:rsidR="00F374F6">
              <w:rPr>
                <w:sz w:val="17"/>
              </w:rPr>
              <w:t xml:space="preserve"> </w:t>
            </w:r>
            <w:r w:rsidR="00F374F6">
              <w:rPr>
                <w:sz w:val="17"/>
              </w:rPr>
              <w:t>Add full-scale optimization</w:t>
            </w:r>
            <w:r w:rsidR="00F374F6">
              <w:rPr>
                <w:sz w:val="17"/>
              </w:rPr>
              <w:t>.</w:t>
            </w:r>
          </w:p>
        </w:tc>
        <w:tc>
          <w:tcPr>
            <w:tcW w:w="324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A method that returns valid weights and a comparison with an existing method.</w:t>
            </w:r>
          </w:p>
        </w:tc>
        <w:tc>
          <w:tcPr>
            <w:tcW w:w="18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Applied to analytical</w:t>
            </w:r>
          </w:p>
        </w:tc>
      </w:tr>
      <w:tr w:rsidR="00A259C9">
        <w:trPr>
          <w:cantSplit/>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Risk algorithms</w:t>
            </w:r>
          </w:p>
        </w:tc>
        <w:tc>
          <w:tcPr>
            <w:tcW w:w="396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Implement equal risk contribution, hierarchical risk parity, shrinkage covariance, factor risk, or Black-</w:t>
            </w:r>
            <w:proofErr w:type="spellStart"/>
            <w:r>
              <w:rPr>
                <w:sz w:val="17"/>
              </w:rPr>
              <w:t>Litterman</w:t>
            </w:r>
            <w:proofErr w:type="spellEnd"/>
            <w:r>
              <w:rPr>
                <w:sz w:val="17"/>
              </w:rPr>
              <w:t>-style views.</w:t>
            </w:r>
            <w:r w:rsidR="00F374F6">
              <w:rPr>
                <w:sz w:val="17"/>
              </w:rPr>
              <w:t xml:space="preserve"> </w:t>
            </w:r>
          </w:p>
        </w:tc>
        <w:tc>
          <w:tcPr>
            <w:tcW w:w="324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Plain-language explanation, valid weights, and one sanity check.</w:t>
            </w:r>
          </w:p>
        </w:tc>
        <w:tc>
          <w:tcPr>
            <w:tcW w:w="180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Applied to advanced</w:t>
            </w:r>
          </w:p>
        </w:tc>
      </w:tr>
      <w:tr w:rsidR="00A259C9">
        <w:trPr>
          <w:cantSplit/>
          <w:jc w:val="center"/>
        </w:trPr>
        <w:tc>
          <w:tcPr>
            <w:tcW w:w="151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lastRenderedPageBreak/>
              <w:t>Machine learning</w:t>
            </w:r>
          </w:p>
        </w:tc>
        <w:tc>
          <w:tcPr>
            <w:tcW w:w="396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 xml:space="preserve">Forecast </w:t>
            </w:r>
            <w:r w:rsidR="00F374F6">
              <w:rPr>
                <w:sz w:val="17"/>
              </w:rPr>
              <w:t xml:space="preserve">returns or </w:t>
            </w:r>
            <w:r>
              <w:rPr>
                <w:sz w:val="17"/>
              </w:rPr>
              <w:t>volatility, classify market regimes</w:t>
            </w:r>
            <w:r w:rsidR="00F374F6">
              <w:rPr>
                <w:sz w:val="17"/>
              </w:rPr>
              <w:t xml:space="preserve">, cluster risk profiles, </w:t>
            </w:r>
            <w:r>
              <w:rPr>
                <w:sz w:val="17"/>
              </w:rPr>
              <w:t>or predict a risk indicator.</w:t>
            </w:r>
          </w:p>
        </w:tc>
        <w:tc>
          <w:tcPr>
            <w:tcW w:w="324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Leakage-safe train-test split, out-of-sample metric, and limitations.</w:t>
            </w:r>
          </w:p>
        </w:tc>
        <w:tc>
          <w:tcPr>
            <w:tcW w:w="18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Advanced</w:t>
            </w:r>
          </w:p>
        </w:tc>
      </w:tr>
      <w:tr w:rsidR="00A259C9">
        <w:trPr>
          <w:cantSplit/>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Visualization</w:t>
            </w:r>
          </w:p>
        </w:tc>
        <w:tc>
          <w:tcPr>
            <w:tcW w:w="396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Add correlation heatmap, efficient frontier, rolling Sharpe ratio, allocation history, or an interactive Plotly view.</w:t>
            </w:r>
          </w:p>
        </w:tc>
        <w:tc>
          <w:tcPr>
            <w:tcW w:w="324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Readable chart with interpretation and consistent dates.</w:t>
            </w:r>
          </w:p>
        </w:tc>
        <w:tc>
          <w:tcPr>
            <w:tcW w:w="180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Basic to applied</w:t>
            </w:r>
          </w:p>
        </w:tc>
      </w:tr>
      <w:tr w:rsidR="00A259C9">
        <w:trPr>
          <w:cantSplit/>
          <w:jc w:val="center"/>
        </w:trPr>
        <w:tc>
          <w:tcPr>
            <w:tcW w:w="151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Web interface</w:t>
            </w:r>
          </w:p>
        </w:tc>
        <w:tc>
          <w:tcPr>
            <w:tcW w:w="396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Add tabs, help text, downloads, reset controls, comparison of two runs, or session-state storage</w:t>
            </w:r>
            <w:r w:rsidR="00F374F6">
              <w:rPr>
                <w:sz w:val="17"/>
              </w:rPr>
              <w:t>, and update the web interface design</w:t>
            </w:r>
            <w:r>
              <w:rPr>
                <w:sz w:val="17"/>
              </w:rPr>
              <w:t>.</w:t>
            </w:r>
          </w:p>
        </w:tc>
        <w:tc>
          <w:tcPr>
            <w:tcW w:w="324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A clearer user flow and a short usability rationale.</w:t>
            </w:r>
          </w:p>
        </w:tc>
        <w:tc>
          <w:tcPr>
            <w:tcW w:w="18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Basic to applied</w:t>
            </w:r>
          </w:p>
        </w:tc>
      </w:tr>
    </w:tbl>
    <w:p w:rsidR="00A259C9" w:rsidRDefault="00A259C9">
      <w:pPr>
        <w:spacing w:after="40"/>
      </w:pPr>
    </w:p>
    <w:p w:rsidR="00A259C9" w:rsidRDefault="00AB01B0">
      <w:pPr>
        <w:pStyle w:val="berschrift1"/>
        <w:spacing w:before="240" w:after="100"/>
      </w:pPr>
      <w:r>
        <w:rPr>
          <w:rFonts w:ascii="Arial" w:hAnsi="Arial"/>
        </w:rPr>
        <w:t>12 Advanced extensions and their teaching value</w:t>
      </w:r>
    </w:p>
    <w:p w:rsidR="00A259C9" w:rsidRDefault="00AB01B0">
      <w:pPr>
        <w:pStyle w:val="berschrift2"/>
        <w:spacing w:before="160" w:after="100"/>
      </w:pPr>
      <w:r>
        <w:rPr>
          <w:rFonts w:ascii="Arial" w:hAnsi="Arial"/>
        </w:rPr>
        <w:t>12.1 Full constrained optimization</w:t>
      </w:r>
    </w:p>
    <w:p w:rsidR="00A259C9" w:rsidRDefault="00AB01B0">
      <w:r>
        <w:t>Students can formulate a portfolio problem with several conditions at once: weights sum to one, each weight lies between a minimum and maximum, the portfolio meets a target return or risk level, and the weighted ESG score exceeds a minimum. The main learning point is that optimization is not only a formula. It is also the design of a feasible set. A model can fail because the constraints are mutually incompatible.</w:t>
      </w:r>
    </w:p>
    <w:p w:rsidR="00A259C9" w:rsidRDefault="00AB01B0">
      <w:pPr>
        <w:pStyle w:val="berschrift2"/>
        <w:spacing w:before="160" w:after="100"/>
      </w:pPr>
      <w:r>
        <w:rPr>
          <w:rFonts w:ascii="Arial" w:hAnsi="Arial"/>
        </w:rPr>
        <w:t>12.2 Hierarchical risk parity</w:t>
      </w:r>
    </w:p>
    <w:p w:rsidR="00A259C9" w:rsidRDefault="00AB01B0">
      <w:r>
        <w:t>HRP first studies the relationships between assets, groups similar assets, and then allocates risk across the resulting groups. It offers a useful contrast to mean-variance optimization because it does not rely on precisely estimating expected returns. Students should compare the clusters, the weights, and the risk contributions rather than presenting HRP as universally superior.</w:t>
      </w:r>
    </w:p>
    <w:p w:rsidR="00A259C9" w:rsidRDefault="00AB01B0">
      <w:pPr>
        <w:pStyle w:val="berschrift2"/>
        <w:spacing w:before="160" w:after="100"/>
      </w:pPr>
      <w:r>
        <w:rPr>
          <w:rFonts w:ascii="Arial" w:hAnsi="Arial"/>
        </w:rPr>
        <w:t>12.3 Machine learning</w:t>
      </w:r>
    </w:p>
    <w:p w:rsidR="00A259C9" w:rsidRDefault="00AB01B0">
      <w:r>
        <w:t>A machine learning extension should begin with a clearly defined prediction problem. For example, a team might forecast next-month volatility or classify whether volatility will be above its historical median. The team must separate training and test periods, avoid using future information, compare with a simple baseline, and explain why predictive accuracy does not automatically create a better investment portfolio.</w:t>
      </w:r>
    </w:p>
    <w:p w:rsidR="00A259C9" w:rsidRDefault="00AB01B0">
      <w:pPr>
        <w:pStyle w:val="berschrift2"/>
        <w:spacing w:before="160" w:after="100"/>
      </w:pPr>
      <w:r>
        <w:rPr>
          <w:rFonts w:ascii="Arial" w:hAnsi="Arial"/>
        </w:rPr>
        <w:t>12.4 Interactive visualizations</w:t>
      </w:r>
    </w:p>
    <w:p w:rsidR="00A259C9" w:rsidRDefault="00AB01B0">
      <w:r>
        <w:t>Plotly can be used as an optional interface improvement for hover values, zooming, range selection, and downloadable charts. For beginners, the native Streamlit charts are easier to maintain. If Plotly is used, students should pass the date values and numeric series explicitly and test that the row number is not accidentally plotted as the y-value.</w:t>
      </w:r>
    </w:p>
    <w:p w:rsidR="00A259C9" w:rsidRDefault="00AB01B0">
      <w:pPr>
        <w:pStyle w:val="berschrift1"/>
        <w:spacing w:before="240" w:after="100"/>
      </w:pPr>
      <w:r>
        <w:rPr>
          <w:rFonts w:ascii="Arial" w:hAnsi="Arial"/>
        </w:rPr>
        <w:t>13 Recommended project workflow</w:t>
      </w:r>
    </w:p>
    <w:p w:rsidR="00A259C9" w:rsidRDefault="00AB01B0">
      <w:pPr>
        <w:spacing w:after="60"/>
        <w:ind w:left="403" w:hanging="259"/>
      </w:pPr>
      <w:r>
        <w:t>1.  Write a one-paragraph problem statement: which user decision or learning problem should improve?</w:t>
      </w:r>
    </w:p>
    <w:p w:rsidR="00A259C9" w:rsidRDefault="00AB01B0">
      <w:pPr>
        <w:spacing w:after="60"/>
        <w:ind w:left="403" w:hanging="259"/>
      </w:pPr>
      <w:r>
        <w:t>2.  Name the module that should change and write its input-output contract before coding.</w:t>
      </w:r>
    </w:p>
    <w:p w:rsidR="00A259C9" w:rsidRDefault="00AB01B0">
      <w:pPr>
        <w:spacing w:after="60"/>
        <w:ind w:left="403" w:hanging="259"/>
      </w:pPr>
      <w:r>
        <w:t>3.  Create the smallest working baseline before adding complexity.</w:t>
      </w:r>
    </w:p>
    <w:p w:rsidR="00A259C9" w:rsidRDefault="00AB01B0">
      <w:pPr>
        <w:spacing w:after="60"/>
        <w:ind w:left="403" w:hanging="259"/>
      </w:pPr>
      <w:r>
        <w:t>4.  Ask GenAI for a limited patch and inspect the proposed changes.</w:t>
      </w:r>
    </w:p>
    <w:p w:rsidR="00A259C9" w:rsidRDefault="00AB01B0">
      <w:pPr>
        <w:spacing w:after="60"/>
        <w:ind w:left="403" w:hanging="259"/>
      </w:pPr>
      <w:r>
        <w:t>5.  Run the command-line test and at least one targeted test.</w:t>
      </w:r>
    </w:p>
    <w:p w:rsidR="00A259C9" w:rsidRDefault="00AB01B0">
      <w:pPr>
        <w:spacing w:after="60"/>
        <w:ind w:left="403" w:hanging="259"/>
      </w:pPr>
      <w:r>
        <w:t>6.  Run the app with the same settings as the old version and compare the result.</w:t>
      </w:r>
    </w:p>
    <w:p w:rsidR="00A259C9" w:rsidRDefault="00AB01B0">
      <w:pPr>
        <w:spacing w:after="60"/>
        <w:ind w:left="403" w:hanging="259"/>
      </w:pPr>
      <w:r>
        <w:t>7.  Record assumptions, data limitations, and one reason why the result might not generalize.</w:t>
      </w:r>
    </w:p>
    <w:p w:rsidR="00A259C9" w:rsidRDefault="00AB01B0">
      <w:pPr>
        <w:spacing w:after="60"/>
        <w:ind w:left="403" w:hanging="259"/>
      </w:pPr>
      <w:r>
        <w:t xml:space="preserve">8.  Prepare </w:t>
      </w:r>
      <w:r w:rsidR="00F374F6">
        <w:t xml:space="preserve">documentation </w:t>
      </w:r>
      <w:r>
        <w:t>with a before-after example.</w:t>
      </w:r>
    </w:p>
    <w:p w:rsidR="00A259C9" w:rsidRDefault="00AB01B0">
      <w:pPr>
        <w:pStyle w:val="berschrift1"/>
        <w:spacing w:before="240" w:after="100"/>
      </w:pPr>
      <w:r>
        <w:rPr>
          <w:rFonts w:ascii="Arial" w:hAnsi="Arial"/>
        </w:rPr>
        <w:lastRenderedPageBreak/>
        <w:t>14 Validation checklist</w:t>
      </w:r>
    </w:p>
    <w:tbl>
      <w:tblPr>
        <w:tblW w:w="0" w:type="auto"/>
        <w:jc w:val="center"/>
        <w:tblLayout w:type="fixed"/>
        <w:tblLook w:val="04A0" w:firstRow="1" w:lastRow="0" w:firstColumn="1" w:lastColumn="0" w:noHBand="0" w:noVBand="1"/>
      </w:tblPr>
      <w:tblGrid>
        <w:gridCol w:w="1656"/>
        <w:gridCol w:w="4464"/>
        <w:gridCol w:w="4248"/>
      </w:tblGrid>
      <w:tr w:rsidR="00A259C9">
        <w:trPr>
          <w:tblHeader/>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1F4E78"/>
            <w:tcMar>
              <w:top w:w="90" w:type="dxa"/>
              <w:left w:w="110" w:type="dxa"/>
              <w:bottom w:w="90" w:type="dxa"/>
              <w:right w:w="110" w:type="dxa"/>
            </w:tcMar>
            <w:vAlign w:val="center"/>
          </w:tcPr>
          <w:p w:rsidR="00A259C9" w:rsidRDefault="00AB01B0">
            <w:pPr>
              <w:spacing w:after="0" w:line="240" w:lineRule="auto"/>
            </w:pPr>
            <w:r>
              <w:rPr>
                <w:b/>
                <w:color w:val="FFFFFF"/>
                <w:sz w:val="17"/>
              </w:rPr>
              <w:t>Check</w:t>
            </w:r>
          </w:p>
        </w:tc>
        <w:tc>
          <w:tcPr>
            <w:tcW w:w="446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10" w:type="dxa"/>
              <w:bottom w:w="90" w:type="dxa"/>
              <w:right w:w="110" w:type="dxa"/>
            </w:tcMar>
            <w:vAlign w:val="center"/>
          </w:tcPr>
          <w:p w:rsidR="00A259C9" w:rsidRDefault="00AB01B0">
            <w:pPr>
              <w:spacing w:after="0" w:line="240" w:lineRule="auto"/>
            </w:pPr>
            <w:r>
              <w:rPr>
                <w:b/>
                <w:color w:val="FFFFFF"/>
                <w:sz w:val="17"/>
              </w:rPr>
              <w:t>Question to answer</w:t>
            </w:r>
          </w:p>
        </w:tc>
        <w:tc>
          <w:tcPr>
            <w:tcW w:w="4248" w:type="dxa"/>
            <w:tcBorders>
              <w:top w:val="single" w:sz="6" w:space="0" w:color="D9D9D9"/>
              <w:left w:val="single" w:sz="6" w:space="0" w:color="D9D9D9"/>
              <w:bottom w:val="single" w:sz="6" w:space="0" w:color="D9D9D9"/>
              <w:right w:val="single" w:sz="6" w:space="0" w:color="D9D9D9"/>
            </w:tcBorders>
            <w:shd w:val="clear" w:color="auto" w:fill="1F4E78"/>
            <w:tcMar>
              <w:top w:w="90" w:type="dxa"/>
              <w:left w:w="110" w:type="dxa"/>
              <w:bottom w:w="90" w:type="dxa"/>
              <w:right w:w="110" w:type="dxa"/>
            </w:tcMar>
            <w:vAlign w:val="center"/>
          </w:tcPr>
          <w:p w:rsidR="00A259C9" w:rsidRDefault="00AB01B0">
            <w:pPr>
              <w:spacing w:after="0" w:line="240" w:lineRule="auto"/>
            </w:pPr>
            <w:r>
              <w:rPr>
                <w:b/>
                <w:color w:val="FFFFFF"/>
                <w:sz w:val="17"/>
              </w:rPr>
              <w:t>Expected evidence</w:t>
            </w:r>
          </w:p>
        </w:tc>
      </w:tr>
      <w:tr w:rsidR="00A259C9">
        <w:trPr>
          <w:cantSplit/>
          <w:jc w:val="center"/>
        </w:trPr>
        <w:tc>
          <w:tcPr>
            <w:tcW w:w="165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Environment</w:t>
            </w:r>
          </w:p>
        </w:tc>
        <w:tc>
          <w:tcPr>
            <w:tcW w:w="446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Can another student create the environment from environment.yml?</w:t>
            </w:r>
          </w:p>
        </w:tc>
        <w:tc>
          <w:tcPr>
            <w:tcW w:w="424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Installation command completes without manual package additions.</w:t>
            </w:r>
          </w:p>
        </w:tc>
      </w:tr>
      <w:tr w:rsidR="00A259C9">
        <w:trPr>
          <w:cantSplit/>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Pipeline</w:t>
            </w:r>
          </w:p>
        </w:tc>
        <w:tc>
          <w:tcPr>
            <w:tcW w:w="4464"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Does the core workflow run without opening the browser?</w:t>
            </w:r>
          </w:p>
        </w:tc>
        <w:tc>
          <w:tcPr>
            <w:tcW w:w="4248"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python run_demo.py completes and prints a result.</w:t>
            </w:r>
          </w:p>
        </w:tc>
      </w:tr>
      <w:tr w:rsidR="00A259C9">
        <w:trPr>
          <w:cantSplit/>
          <w:jc w:val="center"/>
        </w:trPr>
        <w:tc>
          <w:tcPr>
            <w:tcW w:w="165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Data</w:t>
            </w:r>
          </w:p>
        </w:tc>
        <w:tc>
          <w:tcPr>
            <w:tcW w:w="446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Are dates aligned and missing values handled?</w:t>
            </w:r>
          </w:p>
        </w:tc>
        <w:tc>
          <w:tcPr>
            <w:tcW w:w="424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No unexpected NaN values in the common return sample.</w:t>
            </w:r>
          </w:p>
        </w:tc>
      </w:tr>
      <w:tr w:rsidR="00A259C9">
        <w:trPr>
          <w:cantSplit/>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Weights</w:t>
            </w:r>
          </w:p>
        </w:tc>
        <w:tc>
          <w:tcPr>
            <w:tcW w:w="4464"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Do portfolio weights sum to one and respect bounds?</w:t>
            </w:r>
          </w:p>
        </w:tc>
        <w:tc>
          <w:tcPr>
            <w:tcW w:w="4248"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A test or printed check confirms the invariants.</w:t>
            </w:r>
          </w:p>
        </w:tc>
      </w:tr>
      <w:tr w:rsidR="00A259C9">
        <w:trPr>
          <w:cantSplit/>
          <w:jc w:val="center"/>
        </w:trPr>
        <w:tc>
          <w:tcPr>
            <w:tcW w:w="165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ESG</w:t>
            </w:r>
          </w:p>
        </w:tc>
        <w:tc>
          <w:tcPr>
            <w:tcW w:w="446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Does an ESG floor change or constrain the solution?</w:t>
            </w:r>
          </w:p>
        </w:tc>
        <w:tc>
          <w:tcPr>
            <w:tcW w:w="424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The weighted score and feasibility message are visible.</w:t>
            </w:r>
          </w:p>
        </w:tc>
      </w:tr>
      <w:tr w:rsidR="00A259C9">
        <w:trPr>
          <w:cantSplit/>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Charts</w:t>
            </w:r>
          </w:p>
        </w:tc>
        <w:tc>
          <w:tcPr>
            <w:tcW w:w="4464"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Do all charts use the same date range and meaningful y-values?</w:t>
            </w:r>
          </w:p>
        </w:tc>
        <w:tc>
          <w:tcPr>
            <w:tcW w:w="4248"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Growth starts near one, volatility is a percentage-like value, and drawdown is at or below zero.</w:t>
            </w:r>
          </w:p>
        </w:tc>
      </w:tr>
      <w:tr w:rsidR="00A259C9">
        <w:trPr>
          <w:cantSplit/>
          <w:jc w:val="center"/>
        </w:trPr>
        <w:tc>
          <w:tcPr>
            <w:tcW w:w="165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ML</w:t>
            </w:r>
          </w:p>
        </w:tc>
        <w:tc>
          <w:tcPr>
            <w:tcW w:w="446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 xml:space="preserve">Is the evaluation out of sample and </w:t>
            </w:r>
            <w:r w:rsidR="00280325">
              <w:rPr>
                <w:sz w:val="17"/>
              </w:rPr>
              <w:t>robust</w:t>
            </w:r>
            <w:r>
              <w:rPr>
                <w:sz w:val="17"/>
              </w:rPr>
              <w:t>?</w:t>
            </w:r>
          </w:p>
        </w:tc>
        <w:tc>
          <w:tcPr>
            <w:tcW w:w="424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rsidR="00A259C9" w:rsidRDefault="00AB01B0">
            <w:pPr>
              <w:spacing w:after="0" w:line="245" w:lineRule="auto"/>
            </w:pPr>
            <w:r>
              <w:rPr>
                <w:sz w:val="17"/>
              </w:rPr>
              <w:t>The time split and baseline metric are documented.</w:t>
            </w:r>
          </w:p>
        </w:tc>
      </w:tr>
      <w:tr w:rsidR="00A259C9">
        <w:trPr>
          <w:cantSplit/>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Interface</w:t>
            </w:r>
          </w:p>
        </w:tc>
        <w:tc>
          <w:tcPr>
            <w:tcW w:w="4464"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Can a user understand what to change and why?</w:t>
            </w:r>
          </w:p>
        </w:tc>
        <w:tc>
          <w:tcPr>
            <w:tcW w:w="4248" w:type="dxa"/>
            <w:tcBorders>
              <w:top w:val="single" w:sz="6" w:space="0" w:color="D9D9D9"/>
              <w:left w:val="single" w:sz="6" w:space="0" w:color="D9D9D9"/>
              <w:bottom w:val="single" w:sz="6" w:space="0" w:color="D9D9D9"/>
              <w:right w:val="single" w:sz="6" w:space="0" w:color="D9D9D9"/>
            </w:tcBorders>
            <w:shd w:val="clear" w:color="auto" w:fill="EEF5FB"/>
            <w:tcMar>
              <w:top w:w="90" w:type="dxa"/>
              <w:left w:w="110" w:type="dxa"/>
              <w:bottom w:w="90" w:type="dxa"/>
              <w:right w:w="110" w:type="dxa"/>
            </w:tcMar>
            <w:vAlign w:val="center"/>
          </w:tcPr>
          <w:p w:rsidR="00A259C9" w:rsidRDefault="00AB01B0">
            <w:pPr>
              <w:spacing w:after="0" w:line="245" w:lineRule="auto"/>
            </w:pPr>
            <w:r>
              <w:rPr>
                <w:sz w:val="17"/>
              </w:rPr>
              <w:t>Help text, labels, and errors are understandable without reading the code.</w:t>
            </w:r>
          </w:p>
        </w:tc>
      </w:tr>
    </w:tbl>
    <w:p w:rsidR="00A259C9" w:rsidRDefault="00A259C9">
      <w:pPr>
        <w:spacing w:after="40"/>
      </w:pPr>
    </w:p>
    <w:p w:rsidR="00A259C9" w:rsidRDefault="00AB01B0">
      <w:pPr>
        <w:pStyle w:val="berschrift1"/>
        <w:spacing w:before="240" w:after="100"/>
      </w:pPr>
      <w:r>
        <w:rPr>
          <w:rFonts w:ascii="Arial" w:hAnsi="Arial"/>
        </w:rPr>
        <w:t>1</w:t>
      </w:r>
      <w:r w:rsidR="00FA6208">
        <w:rPr>
          <w:rFonts w:ascii="Arial" w:hAnsi="Arial"/>
        </w:rPr>
        <w:t>5</w:t>
      </w:r>
      <w:r>
        <w:rPr>
          <w:rFonts w:ascii="Arial" w:hAnsi="Arial"/>
        </w:rPr>
        <w:t xml:space="preserve"> Educational and financial disclaimer</w:t>
      </w:r>
    </w:p>
    <w:p w:rsidR="00A259C9" w:rsidRDefault="00AB01B0">
      <w:r>
        <w:t xml:space="preserve">This project is a teaching prototype for modular software development, portfolio analytics, </w:t>
      </w:r>
      <w:r w:rsidR="00FA6208">
        <w:t xml:space="preserve">FinTech prototype implementation, </w:t>
      </w:r>
      <w:r>
        <w:t>and financial intelligence</w:t>
      </w:r>
      <w:r w:rsidR="00FA6208">
        <w:t xml:space="preserve"> adaptation</w:t>
      </w:r>
      <w:r>
        <w:t>. The questionnaire is not a regulated suitability or appropriateness assessment. ESG scores, expected returns, volatility estimates, and optimization results are simplified or historical estimates. They are not individualized investment advice, a recommendation to buy or sell securities, or a guarantee of future performance.</w:t>
      </w:r>
    </w:p>
    <w:p w:rsidR="00A259C9" w:rsidRDefault="00AB01B0">
      <w:r>
        <w:t xml:space="preserve">The strongest student projects will therefore explain both what their extension adds and what it cannot establish. A more complex algorithm is not automatically a better </w:t>
      </w:r>
      <w:proofErr w:type="spellStart"/>
      <w:r>
        <w:t>robo</w:t>
      </w:r>
      <w:proofErr w:type="spellEnd"/>
      <w:r>
        <w:t xml:space="preserve"> advisor.</w:t>
      </w:r>
      <w:r w:rsidR="00FA6208">
        <w:t xml:space="preserve"> Chances are high that complex algorithm implementation might fail.</w:t>
      </w:r>
      <w:r>
        <w:t xml:space="preserve"> A useful improvement is one that m</w:t>
      </w:r>
      <w:r w:rsidR="00FA6208">
        <w:t>irrors</w:t>
      </w:r>
      <w:r>
        <w:t xml:space="preserve"> the user decision, model assumption, validation result, and limitation </w:t>
      </w:r>
      <w:r w:rsidR="00FA6208">
        <w:t>more clearly</w:t>
      </w:r>
      <w:r>
        <w:t>.</w:t>
      </w:r>
    </w:p>
    <w:p w:rsidR="00A259C9" w:rsidRDefault="00AB01B0">
      <w:pPr>
        <w:pStyle w:val="berschrift1"/>
        <w:spacing w:before="240" w:after="100"/>
      </w:pPr>
      <w:r>
        <w:rPr>
          <w:rFonts w:ascii="Arial" w:hAnsi="Arial"/>
        </w:rPr>
        <w:t>1</w:t>
      </w:r>
      <w:r w:rsidR="00FA6208">
        <w:rPr>
          <w:rFonts w:ascii="Arial" w:hAnsi="Arial"/>
        </w:rPr>
        <w:t>6</w:t>
      </w:r>
      <w:r>
        <w:rPr>
          <w:rFonts w:ascii="Arial" w:hAnsi="Arial"/>
        </w:rPr>
        <w:t xml:space="preserve"> Final student submission checklist</w:t>
      </w:r>
    </w:p>
    <w:p w:rsidR="00A259C9" w:rsidRDefault="00AB01B0">
      <w:pPr>
        <w:pStyle w:val="Aufzhlungszeichen"/>
        <w:spacing w:after="60"/>
        <w:ind w:hanging="216"/>
      </w:pPr>
      <w:r>
        <w:t xml:space="preserve">The </w:t>
      </w:r>
      <w:r w:rsidR="00FA6208">
        <w:t>current</w:t>
      </w:r>
      <w:r>
        <w:t xml:space="preserve"> prototype and the changed version can both be started.</w:t>
      </w:r>
    </w:p>
    <w:p w:rsidR="00A259C9" w:rsidRDefault="00AB01B0">
      <w:pPr>
        <w:pStyle w:val="Aufzhlungszeichen"/>
        <w:spacing w:after="60"/>
        <w:ind w:hanging="216"/>
      </w:pPr>
      <w:r>
        <w:t>The team can name the affected module and explain its contract.</w:t>
      </w:r>
    </w:p>
    <w:p w:rsidR="00A259C9" w:rsidRDefault="00AB01B0">
      <w:pPr>
        <w:pStyle w:val="Aufzhlungszeichen"/>
        <w:spacing w:after="60"/>
        <w:ind w:hanging="216"/>
      </w:pPr>
      <w:r>
        <w:t>The feature is visible in the app or command-line output.</w:t>
      </w:r>
    </w:p>
    <w:p w:rsidR="00A259C9" w:rsidRDefault="00AB01B0">
      <w:pPr>
        <w:pStyle w:val="Aufzhlungszeichen"/>
        <w:spacing w:after="60"/>
        <w:ind w:hanging="216"/>
      </w:pPr>
      <w:r>
        <w:t>The change was tested with the same data and setting</w:t>
      </w:r>
      <w:r w:rsidR="00FA6208">
        <w:t xml:space="preserve"> changes</w:t>
      </w:r>
      <w:r>
        <w:t xml:space="preserve"> where possible.</w:t>
      </w:r>
    </w:p>
    <w:p w:rsidR="00A259C9" w:rsidRDefault="00AB01B0">
      <w:pPr>
        <w:pStyle w:val="Aufzhlungszeichen"/>
        <w:spacing w:after="60"/>
        <w:ind w:hanging="216"/>
      </w:pPr>
      <w:r>
        <w:t xml:space="preserve">The team can show one </w:t>
      </w:r>
      <w:r w:rsidR="00FA6208">
        <w:t>before-and-after</w:t>
      </w:r>
      <w:r>
        <w:t xml:space="preserve"> comparison.</w:t>
      </w:r>
    </w:p>
    <w:p w:rsidR="00A259C9" w:rsidRDefault="00AB01B0">
      <w:pPr>
        <w:pStyle w:val="Aufzhlungszeichen"/>
        <w:spacing w:after="60"/>
        <w:ind w:hanging="216"/>
      </w:pPr>
      <w:r>
        <w:t>The team has documented one assumption and one limitation</w:t>
      </w:r>
      <w:r w:rsidR="00FA6208">
        <w:t xml:space="preserve"> per module</w:t>
      </w:r>
      <w:r>
        <w:t>.</w:t>
      </w:r>
    </w:p>
    <w:p w:rsidR="00A259C9" w:rsidRDefault="00AB01B0">
      <w:pPr>
        <w:pStyle w:val="Aufzhlungszeichen"/>
        <w:spacing w:after="60"/>
        <w:ind w:hanging="216"/>
      </w:pPr>
      <w:r>
        <w:t>The final code remains understa</w:t>
      </w:r>
      <w:bookmarkStart w:id="1" w:name="_GoBack"/>
      <w:bookmarkEnd w:id="1"/>
      <w:r>
        <w:t xml:space="preserve">ndable to </w:t>
      </w:r>
      <w:r w:rsidR="00FA6208">
        <w:t xml:space="preserve">all other </w:t>
      </w:r>
      <w:r>
        <w:t>student</w:t>
      </w:r>
      <w:r w:rsidR="00FA6208">
        <w:t>s in the group</w:t>
      </w:r>
      <w:r>
        <w:t>.</w:t>
      </w:r>
    </w:p>
    <w:sectPr w:rsidR="00A259C9"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11FA7" w:rsidRDefault="00C11FA7">
      <w:pPr>
        <w:spacing w:after="0" w:line="240" w:lineRule="auto"/>
      </w:pPr>
      <w:r>
        <w:separator/>
      </w:r>
    </w:p>
  </w:endnote>
  <w:endnote w:type="continuationSeparator" w:id="0">
    <w:p w:rsidR="00C11FA7" w:rsidRDefault="00C11F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B01B0" w:rsidRDefault="00AB01B0">
    <w:pPr>
      <w:pStyle w:val="Fuzeile"/>
      <w:jc w:val="center"/>
    </w:pPr>
    <w:r>
      <w:rPr>
        <w:color w:val="555555"/>
        <w:sz w:val="17"/>
      </w:rPr>
      <w:t>Green Robo Advisor | FinTech and Financial Intelligence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11FA7" w:rsidRDefault="00C11FA7">
      <w:pPr>
        <w:spacing w:after="0" w:line="240" w:lineRule="auto"/>
      </w:pPr>
      <w:r>
        <w:separator/>
      </w:r>
    </w:p>
  </w:footnote>
  <w:footnote w:type="continuationSeparator" w:id="0">
    <w:p w:rsidR="00C11FA7" w:rsidRDefault="00C11F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58E2"/>
    <w:rsid w:val="0015074B"/>
    <w:rsid w:val="00280325"/>
    <w:rsid w:val="0029639D"/>
    <w:rsid w:val="002F42AA"/>
    <w:rsid w:val="00326F90"/>
    <w:rsid w:val="00511D36"/>
    <w:rsid w:val="0068687C"/>
    <w:rsid w:val="00747BFC"/>
    <w:rsid w:val="00767F76"/>
    <w:rsid w:val="009446C7"/>
    <w:rsid w:val="00955DEA"/>
    <w:rsid w:val="00956EA9"/>
    <w:rsid w:val="00A05304"/>
    <w:rsid w:val="00A259C9"/>
    <w:rsid w:val="00AA1D8D"/>
    <w:rsid w:val="00AB01B0"/>
    <w:rsid w:val="00AD154F"/>
    <w:rsid w:val="00B47730"/>
    <w:rsid w:val="00C11FA7"/>
    <w:rsid w:val="00CB0664"/>
    <w:rsid w:val="00DF5E35"/>
    <w:rsid w:val="00E24DC2"/>
    <w:rsid w:val="00F374F6"/>
    <w:rsid w:val="00F65005"/>
    <w:rsid w:val="00FA6208"/>
    <w:rsid w:val="00FC693F"/>
    <w:rsid w:val="00FC6E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62896C"/>
  <w14:defaultImageDpi w14:val="300"/>
  <w15:docId w15:val="{84F74CC8-C473-4CDC-ACC3-E85BB7A96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FC693F"/>
    <w:pPr>
      <w:spacing w:after="120" w:line="259" w:lineRule="auto"/>
    </w:pPr>
    <w:rPr>
      <w:rFonts w:ascii="Arial" w:hAnsi="Arial"/>
      <w:color w:val="000000"/>
      <w:sz w:val="21"/>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sz w:val="23"/>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B24C4E-3981-4681-BB21-28E61D2C64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3104</Words>
  <Characters>19556</Characters>
  <Application>Microsoft Office Word</Application>
  <DocSecurity>0</DocSecurity>
  <Lines>162</Lines>
  <Paragraphs>45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22615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Marcus Becker</cp:lastModifiedBy>
  <cp:revision>21</cp:revision>
  <dcterms:created xsi:type="dcterms:W3CDTF">2026-10-16T10:50:00Z</dcterms:created>
  <dcterms:modified xsi:type="dcterms:W3CDTF">2026-10-16T19:51:00Z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37fc1780376e1d1cd024f4fd54c7882a51040dd595dc5dc6fccfb71de8650b4c</vt:lpwstr>
  </property>
</Properties>
</file>