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78A41" w14:textId="77777777" w:rsidR="00776D18" w:rsidRPr="0055391A" w:rsidRDefault="0055391A" w:rsidP="000355E8">
      <w:pPr>
        <w:spacing w:after="360"/>
        <w:jc w:val="center"/>
        <w:rPr>
          <w:rFonts w:ascii="Helvetica" w:hAnsi="Helvetica"/>
          <w:b/>
          <w:sz w:val="28"/>
          <w:szCs w:val="28"/>
        </w:rPr>
      </w:pPr>
      <w:r w:rsidRPr="0055391A">
        <w:rPr>
          <w:rFonts w:ascii="Helvetica" w:hAnsi="Helvetica"/>
          <w:b/>
          <w:sz w:val="28"/>
          <w:szCs w:val="28"/>
        </w:rPr>
        <w:t xml:space="preserve">Services and </w:t>
      </w:r>
      <w:r w:rsidR="00776D18" w:rsidRPr="00B90C5F">
        <w:rPr>
          <w:rFonts w:ascii="Helvetica" w:hAnsi="Helvetica"/>
          <w:b/>
          <w:sz w:val="28"/>
          <w:szCs w:val="28"/>
        </w:rPr>
        <w:t>Products</w:t>
      </w:r>
    </w:p>
    <w:p w14:paraId="274FD986" w14:textId="78678FC3" w:rsidR="00776D18" w:rsidRPr="008D4264" w:rsidRDefault="001247E2" w:rsidP="00776D18">
      <w:pPr>
        <w:spacing w:after="240"/>
        <w:rPr>
          <w:rFonts w:ascii="Helvetica" w:hAnsi="Helvetica"/>
        </w:rPr>
      </w:pPr>
      <w:r>
        <w:rPr>
          <w:rFonts w:ascii="Helvetica" w:hAnsi="Helvetica"/>
          <w:b/>
        </w:rPr>
        <w:t xml:space="preserve">Policy Relevant </w:t>
      </w:r>
      <w:r w:rsidR="00776D18" w:rsidRPr="00B90C5F">
        <w:rPr>
          <w:rFonts w:ascii="Helvetica" w:hAnsi="Helvetica"/>
          <w:b/>
        </w:rPr>
        <w:t>Syntheses of Findings from Field Studies:</w:t>
      </w:r>
      <w:r w:rsidR="008D4264">
        <w:rPr>
          <w:rFonts w:ascii="Helvetica" w:hAnsi="Helvetica"/>
        </w:rPr>
        <w:t xml:space="preserve">  </w:t>
      </w:r>
      <w:r w:rsidR="000355E8">
        <w:rPr>
          <w:rFonts w:ascii="Helvetica" w:hAnsi="Helvetica"/>
        </w:rPr>
        <w:t xml:space="preserve">The scientific results of </w:t>
      </w:r>
      <w:r w:rsidR="00ED160E">
        <w:rPr>
          <w:rFonts w:ascii="Helvetica" w:hAnsi="Helvetica"/>
        </w:rPr>
        <w:t xml:space="preserve">atmospheric chemistry </w:t>
      </w:r>
      <w:r w:rsidR="000355E8">
        <w:rPr>
          <w:rFonts w:ascii="Helvetica" w:hAnsi="Helvetica"/>
        </w:rPr>
        <w:t xml:space="preserve">field studies are </w:t>
      </w:r>
      <w:r w:rsidR="00ED160E">
        <w:rPr>
          <w:rFonts w:ascii="Helvetica" w:hAnsi="Helvetica"/>
        </w:rPr>
        <w:t xml:space="preserve">generally </w:t>
      </w:r>
      <w:r w:rsidR="000355E8">
        <w:rPr>
          <w:rFonts w:ascii="Helvetica" w:hAnsi="Helvetica"/>
        </w:rPr>
        <w:t xml:space="preserve">reported in a multitude of journals </w:t>
      </w:r>
      <w:r w:rsidR="00ED160E">
        <w:rPr>
          <w:rFonts w:ascii="Helvetica" w:hAnsi="Helvetica"/>
        </w:rPr>
        <w:t xml:space="preserve">in papers </w:t>
      </w:r>
      <w:r w:rsidR="000355E8">
        <w:rPr>
          <w:rFonts w:ascii="Helvetica" w:hAnsi="Helvetica"/>
        </w:rPr>
        <w:t xml:space="preserve">written by the individual participating scientists.  While effective for advancing science, this situation makes it difficult for policy makers to be fully informed and </w:t>
      </w:r>
      <w:r w:rsidR="00B9690F">
        <w:rPr>
          <w:rFonts w:ascii="Helvetica" w:hAnsi="Helvetica"/>
        </w:rPr>
        <w:t xml:space="preserve">to </w:t>
      </w:r>
      <w:r w:rsidR="000355E8">
        <w:rPr>
          <w:rFonts w:ascii="Helvetica" w:hAnsi="Helvetica"/>
        </w:rPr>
        <w:t xml:space="preserve">bring the latest scientific results into the </w:t>
      </w:r>
      <w:r w:rsidR="00B9690F">
        <w:rPr>
          <w:rFonts w:ascii="Helvetica" w:hAnsi="Helvetica"/>
        </w:rPr>
        <w:t>design of</w:t>
      </w:r>
      <w:r w:rsidR="00ED160E">
        <w:rPr>
          <w:rFonts w:ascii="Helvetica" w:hAnsi="Helvetica"/>
        </w:rPr>
        <w:t xml:space="preserve"> air quality and climate change </w:t>
      </w:r>
      <w:r w:rsidR="00B9690F">
        <w:rPr>
          <w:rFonts w:ascii="Helvetica" w:hAnsi="Helvetica"/>
        </w:rPr>
        <w:t>policies</w:t>
      </w:r>
      <w:r w:rsidR="00ED160E">
        <w:rPr>
          <w:rFonts w:ascii="Helvetica" w:hAnsi="Helvetica"/>
        </w:rPr>
        <w:t xml:space="preserve">.  </w:t>
      </w:r>
      <w:r w:rsidR="00B9690F">
        <w:rPr>
          <w:rFonts w:ascii="Helvetica" w:hAnsi="Helvetica"/>
        </w:rPr>
        <w:t>Policy relevant s</w:t>
      </w:r>
      <w:r w:rsidR="00ED160E">
        <w:rPr>
          <w:rFonts w:ascii="Helvetica" w:hAnsi="Helvetica"/>
        </w:rPr>
        <w:t>yntheses of the field study r</w:t>
      </w:r>
      <w:r w:rsidR="000355E8">
        <w:rPr>
          <w:rFonts w:ascii="Helvetica" w:hAnsi="Helvetica"/>
        </w:rPr>
        <w:t xml:space="preserve">esults serve to overcome this difficulty.  </w:t>
      </w:r>
      <w:r w:rsidR="00ED160E">
        <w:rPr>
          <w:rFonts w:ascii="Helvetica" w:hAnsi="Helvetica"/>
        </w:rPr>
        <w:t xml:space="preserve">David Parrish has considerable experience synthesizing the </w:t>
      </w:r>
      <w:r>
        <w:rPr>
          <w:rFonts w:ascii="Helvetica" w:hAnsi="Helvetica"/>
        </w:rPr>
        <w:t xml:space="preserve">policy relevant </w:t>
      </w:r>
      <w:r w:rsidR="00ED160E">
        <w:rPr>
          <w:rFonts w:ascii="Helvetica" w:hAnsi="Helvetica"/>
        </w:rPr>
        <w:t xml:space="preserve">findings from </w:t>
      </w:r>
      <w:r w:rsidR="001868E6">
        <w:rPr>
          <w:rFonts w:ascii="Helvetica" w:hAnsi="Helvetica"/>
        </w:rPr>
        <w:t xml:space="preserve">several </w:t>
      </w:r>
      <w:r w:rsidR="00ED160E">
        <w:rPr>
          <w:rFonts w:ascii="Helvetica" w:hAnsi="Helvetica"/>
        </w:rPr>
        <w:t>field studies,</w:t>
      </w:r>
      <w:r w:rsidR="000355E8">
        <w:rPr>
          <w:rFonts w:ascii="Helvetica" w:hAnsi="Helvetica"/>
        </w:rPr>
        <w:t xml:space="preserve"> includ</w:t>
      </w:r>
      <w:r w:rsidR="00ED160E">
        <w:rPr>
          <w:rFonts w:ascii="Helvetica" w:hAnsi="Helvetica"/>
        </w:rPr>
        <w:t>ing</w:t>
      </w:r>
      <w:r w:rsidR="000355E8">
        <w:rPr>
          <w:rFonts w:ascii="Helvetica" w:hAnsi="Helvetica"/>
        </w:rPr>
        <w:t>:</w:t>
      </w:r>
    </w:p>
    <w:p w14:paraId="3D58B176" w14:textId="275C593D" w:rsidR="008D4264" w:rsidRPr="008D4264" w:rsidRDefault="008D4264" w:rsidP="000355E8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/>
        <w:ind w:left="720" w:hanging="3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Parrish, D.</w:t>
      </w:r>
      <w:r w:rsidRPr="00B90C5F">
        <w:rPr>
          <w:rFonts w:ascii="Helvetica" w:hAnsi="Helvetica"/>
          <w:color w:val="000000"/>
        </w:rPr>
        <w:t>D</w:t>
      </w:r>
      <w:r>
        <w:rPr>
          <w:rFonts w:ascii="Helvetica" w:hAnsi="Helvetica"/>
          <w:color w:val="000000"/>
        </w:rPr>
        <w:t xml:space="preserve">. </w:t>
      </w:r>
      <w:r w:rsidRPr="00B90C5F">
        <w:rPr>
          <w:rFonts w:ascii="Helvetica" w:hAnsi="Helvetica"/>
          <w:color w:val="000000"/>
        </w:rPr>
        <w:t>(20</w:t>
      </w:r>
      <w:r>
        <w:rPr>
          <w:rFonts w:ascii="Helvetica" w:hAnsi="Helvetica"/>
          <w:color w:val="000000"/>
        </w:rPr>
        <w:t>14</w:t>
      </w:r>
      <w:r w:rsidR="00824DD9">
        <w:rPr>
          <w:rFonts w:ascii="Helvetica" w:hAnsi="Helvetica"/>
          <w:color w:val="000000"/>
        </w:rPr>
        <w:t>a</w:t>
      </w:r>
      <w:r w:rsidRPr="00B90C5F">
        <w:rPr>
          <w:rFonts w:ascii="Helvetica" w:hAnsi="Helvetica"/>
          <w:color w:val="000000"/>
        </w:rPr>
        <w:t xml:space="preserve">), </w:t>
      </w:r>
      <w:r w:rsidRPr="008D4264">
        <w:rPr>
          <w:rFonts w:ascii="Helvetica" w:hAnsi="Helvetica"/>
          <w:bCs/>
          <w:color w:val="000000"/>
        </w:rPr>
        <w:t>Synthesis of Policy Relevant Findings from the CalNex 2010 Field Study</w:t>
      </w:r>
      <w:r>
        <w:rPr>
          <w:rFonts w:ascii="Helvetica" w:hAnsi="Helvetica"/>
          <w:bCs/>
          <w:color w:val="000000"/>
        </w:rPr>
        <w:t xml:space="preserve">, </w:t>
      </w:r>
      <w:r w:rsidRPr="008D4264">
        <w:rPr>
          <w:rFonts w:ascii="Helvetica" w:hAnsi="Helvetica"/>
          <w:bCs/>
          <w:i/>
          <w:color w:val="000000"/>
        </w:rPr>
        <w:t>Final Report to the Research Division of the California Air Resources Board</w:t>
      </w:r>
      <w:r>
        <w:rPr>
          <w:rFonts w:ascii="Helvetica" w:hAnsi="Helvetica"/>
          <w:bCs/>
          <w:i/>
          <w:color w:val="000000"/>
        </w:rPr>
        <w:t xml:space="preserve"> (CARB).</w:t>
      </w:r>
      <w:r w:rsidRPr="008D4264">
        <w:rPr>
          <w:rFonts w:ascii="Helvetica" w:hAnsi="Helvetica"/>
          <w:b/>
          <w:bCs/>
          <w:color w:val="000000"/>
        </w:rPr>
        <w:t xml:space="preserve"> </w:t>
      </w:r>
      <w:r w:rsidRPr="008D4264">
        <w:rPr>
          <w:rFonts w:ascii="Helvetica" w:hAnsi="Helvetica"/>
          <w:bCs/>
          <w:color w:val="000000"/>
        </w:rPr>
        <w:t xml:space="preserve"> </w:t>
      </w:r>
    </w:p>
    <w:p w14:paraId="0E9CD629" w14:textId="4BEAF5F3" w:rsidR="00776D18" w:rsidRDefault="008D4264" w:rsidP="000355E8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/>
        <w:ind w:left="720" w:hanging="3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Parrish, D.</w:t>
      </w:r>
      <w:r w:rsidR="00776D18" w:rsidRPr="00B90C5F">
        <w:rPr>
          <w:rFonts w:ascii="Helvetica" w:hAnsi="Helvetica"/>
          <w:color w:val="000000"/>
        </w:rPr>
        <w:t>D., et al. (2009</w:t>
      </w:r>
      <w:r w:rsidR="00824DD9">
        <w:rPr>
          <w:rFonts w:ascii="Helvetica" w:hAnsi="Helvetica"/>
          <w:color w:val="000000"/>
        </w:rPr>
        <w:t>a</w:t>
      </w:r>
      <w:r w:rsidR="00776D18" w:rsidRPr="00B90C5F">
        <w:rPr>
          <w:rFonts w:ascii="Helvetica" w:hAnsi="Helvetica"/>
          <w:color w:val="000000"/>
        </w:rPr>
        <w:t xml:space="preserve">), Overview of the Second Texas Air Quality Study (TexAQS II) and the Gulf of Mexico Atmospheric Composition and Climate Study (GoMACCS), </w:t>
      </w:r>
      <w:r w:rsidR="00776D18" w:rsidRPr="00B90C5F">
        <w:rPr>
          <w:rFonts w:ascii="Helvetica" w:hAnsi="Helvetica"/>
          <w:i/>
          <w:iCs/>
          <w:color w:val="000000"/>
        </w:rPr>
        <w:t>J. Geophys. Res.</w:t>
      </w:r>
      <w:r w:rsidR="00776D18" w:rsidRPr="00B90C5F">
        <w:rPr>
          <w:rFonts w:ascii="Helvetica" w:hAnsi="Helvetica"/>
          <w:color w:val="000000"/>
        </w:rPr>
        <w:t xml:space="preserve">, </w:t>
      </w:r>
      <w:r w:rsidR="00776D18" w:rsidRPr="00B90C5F">
        <w:rPr>
          <w:rFonts w:ascii="Helvetica" w:hAnsi="Helvetica"/>
          <w:i/>
          <w:iCs/>
          <w:color w:val="000000"/>
        </w:rPr>
        <w:t>114</w:t>
      </w:r>
      <w:r w:rsidR="00776D18" w:rsidRPr="00B90C5F">
        <w:rPr>
          <w:rFonts w:ascii="Helvetica" w:hAnsi="Helvetica"/>
          <w:color w:val="000000"/>
        </w:rPr>
        <w:t>, D00F13, doi:10.1029/2009JD011842.</w:t>
      </w:r>
    </w:p>
    <w:p w14:paraId="31D091A7" w14:textId="77777777" w:rsidR="008D4264" w:rsidRPr="008D4264" w:rsidRDefault="008D4264" w:rsidP="000355E8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/>
        <w:ind w:left="720" w:hanging="360"/>
        <w:rPr>
          <w:rFonts w:ascii="Helvetica" w:hAnsi="Helvetica"/>
          <w:bCs/>
        </w:rPr>
      </w:pPr>
      <w:r w:rsidRPr="008D4264">
        <w:rPr>
          <w:rFonts w:ascii="Helvetica" w:hAnsi="Helvetica"/>
          <w:bCs/>
        </w:rPr>
        <w:t>E</w:t>
      </w:r>
      <w:r>
        <w:rPr>
          <w:rFonts w:ascii="Helvetica" w:hAnsi="Helvetica"/>
          <w:bCs/>
        </w:rPr>
        <w:t>.</w:t>
      </w:r>
      <w:r w:rsidRPr="008D4264">
        <w:rPr>
          <w:rFonts w:ascii="Helvetica" w:hAnsi="Helvetica"/>
          <w:bCs/>
        </w:rPr>
        <w:t>B. Cowling, C</w:t>
      </w:r>
      <w:r>
        <w:rPr>
          <w:rFonts w:ascii="Helvetica" w:hAnsi="Helvetica"/>
          <w:bCs/>
        </w:rPr>
        <w:t>.</w:t>
      </w:r>
      <w:r w:rsidRPr="008D4264">
        <w:rPr>
          <w:rFonts w:ascii="Helvetica" w:hAnsi="Helvetica"/>
          <w:bCs/>
        </w:rPr>
        <w:t xml:space="preserve"> Furiness, B</w:t>
      </w:r>
      <w:r>
        <w:rPr>
          <w:rFonts w:ascii="Helvetica" w:hAnsi="Helvetica"/>
          <w:bCs/>
        </w:rPr>
        <w:t>.</w:t>
      </w:r>
      <w:r w:rsidRPr="008D4264">
        <w:rPr>
          <w:rFonts w:ascii="Helvetica" w:hAnsi="Helvetica"/>
          <w:bCs/>
        </w:rPr>
        <w:t xml:space="preserve"> Dimitriades, and D</w:t>
      </w:r>
      <w:r>
        <w:rPr>
          <w:rFonts w:ascii="Helvetica" w:hAnsi="Helvetica"/>
          <w:bCs/>
        </w:rPr>
        <w:t>.D.</w:t>
      </w:r>
      <w:r w:rsidRPr="008D4264">
        <w:rPr>
          <w:rFonts w:ascii="Helvetica" w:hAnsi="Helvetica"/>
          <w:bCs/>
        </w:rPr>
        <w:t xml:space="preserve"> Parrish</w:t>
      </w:r>
      <w:r>
        <w:rPr>
          <w:rFonts w:ascii="Helvetica" w:hAnsi="Helvetica"/>
          <w:bCs/>
        </w:rPr>
        <w:t xml:space="preserve"> </w:t>
      </w:r>
      <w:r w:rsidRPr="00B90C5F">
        <w:rPr>
          <w:rFonts w:ascii="Helvetica" w:hAnsi="Helvetica"/>
          <w:color w:val="000000"/>
        </w:rPr>
        <w:t>(200</w:t>
      </w:r>
      <w:r>
        <w:rPr>
          <w:rFonts w:ascii="Helvetica" w:hAnsi="Helvetica"/>
          <w:color w:val="000000"/>
        </w:rPr>
        <w:t>7</w:t>
      </w:r>
      <w:r w:rsidRPr="00B90C5F">
        <w:rPr>
          <w:rFonts w:ascii="Helvetica" w:hAnsi="Helvetica"/>
          <w:color w:val="000000"/>
        </w:rPr>
        <w:t xml:space="preserve">), </w:t>
      </w:r>
      <w:r w:rsidRPr="008D4264">
        <w:rPr>
          <w:rFonts w:ascii="Helvetica" w:hAnsi="Helvetica"/>
          <w:bCs/>
        </w:rPr>
        <w:t>Final Rapid Science Synt</w:t>
      </w:r>
      <w:r>
        <w:rPr>
          <w:rFonts w:ascii="Helvetica" w:hAnsi="Helvetica"/>
          <w:bCs/>
        </w:rPr>
        <w:t xml:space="preserve">hesis Report: Findings from the </w:t>
      </w:r>
      <w:r w:rsidRPr="008D4264">
        <w:rPr>
          <w:rFonts w:ascii="Helvetica" w:hAnsi="Helvetica"/>
          <w:bCs/>
        </w:rPr>
        <w:t>Second Texa</w:t>
      </w:r>
      <w:r>
        <w:rPr>
          <w:rFonts w:ascii="Helvetica" w:hAnsi="Helvetica"/>
          <w:bCs/>
        </w:rPr>
        <w:t>s Air Quality Study (TexAQS II)</w:t>
      </w:r>
      <w:r>
        <w:rPr>
          <w:rFonts w:ascii="Helvetica" w:hAnsi="Helvetica"/>
          <w:bCs/>
          <w:color w:val="000000"/>
        </w:rPr>
        <w:t xml:space="preserve">, </w:t>
      </w:r>
      <w:r w:rsidRPr="008D4264">
        <w:rPr>
          <w:rFonts w:ascii="Helvetica" w:hAnsi="Helvetica"/>
          <w:bCs/>
          <w:i/>
          <w:color w:val="000000"/>
        </w:rPr>
        <w:t xml:space="preserve">Final Report to the Texas Commission </w:t>
      </w:r>
      <w:r>
        <w:rPr>
          <w:rFonts w:ascii="Helvetica" w:hAnsi="Helvetica"/>
          <w:bCs/>
          <w:i/>
          <w:color w:val="000000"/>
        </w:rPr>
        <w:t>on Environmental Quality (TCEQ).</w:t>
      </w:r>
      <w:r w:rsidRPr="008D4264">
        <w:rPr>
          <w:rFonts w:ascii="Helvetica" w:hAnsi="Helvetica"/>
          <w:b/>
          <w:bCs/>
          <w:color w:val="000000"/>
        </w:rPr>
        <w:t xml:space="preserve"> </w:t>
      </w:r>
      <w:r w:rsidRPr="008D4264">
        <w:rPr>
          <w:rFonts w:ascii="Helvetica" w:hAnsi="Helvetica"/>
          <w:bCs/>
          <w:color w:val="000000"/>
        </w:rPr>
        <w:t xml:space="preserve"> </w:t>
      </w:r>
    </w:p>
    <w:p w14:paraId="29707455" w14:textId="0FEA3768" w:rsidR="00776D18" w:rsidRPr="00B90C5F" w:rsidRDefault="00B9690F" w:rsidP="000355E8">
      <w:pPr>
        <w:spacing w:before="360" w:after="240"/>
        <w:rPr>
          <w:rFonts w:ascii="Helvetica" w:hAnsi="Helvetica"/>
          <w:b/>
        </w:rPr>
      </w:pPr>
      <w:r>
        <w:rPr>
          <w:rFonts w:ascii="Helvetica" w:hAnsi="Helvetica"/>
          <w:b/>
        </w:rPr>
        <w:t>Integration</w:t>
      </w:r>
      <w:r w:rsidR="00776D18" w:rsidRPr="00B90C5F">
        <w:rPr>
          <w:rFonts w:ascii="Helvetica" w:hAnsi="Helvetica"/>
          <w:b/>
        </w:rPr>
        <w:t xml:space="preserve"> of Atmospheric Chemistry Issues:</w:t>
      </w:r>
      <w:r w:rsidR="0086246E">
        <w:rPr>
          <w:rFonts w:ascii="Helvetica" w:hAnsi="Helvetica"/>
          <w:b/>
        </w:rPr>
        <w:t xml:space="preserve">  </w:t>
      </w:r>
      <w:r w:rsidR="001247E2">
        <w:rPr>
          <w:rFonts w:ascii="Helvetica" w:hAnsi="Helvetica"/>
        </w:rPr>
        <w:t>Progress in</w:t>
      </w:r>
      <w:r w:rsidR="0086246E">
        <w:rPr>
          <w:rFonts w:ascii="Helvetica" w:hAnsi="Helvetica"/>
        </w:rPr>
        <w:t xml:space="preserve"> </w:t>
      </w:r>
      <w:r w:rsidR="00ED160E">
        <w:rPr>
          <w:rFonts w:ascii="Helvetica" w:hAnsi="Helvetica"/>
        </w:rPr>
        <w:t>atmospheric chemistry</w:t>
      </w:r>
      <w:r w:rsidR="0086246E">
        <w:rPr>
          <w:rFonts w:ascii="Helvetica" w:hAnsi="Helvetica"/>
        </w:rPr>
        <w:t xml:space="preserve"> </w:t>
      </w:r>
      <w:r w:rsidR="001247E2">
        <w:rPr>
          <w:rFonts w:ascii="Helvetica" w:hAnsi="Helvetica"/>
        </w:rPr>
        <w:t xml:space="preserve">issues is made by many scientists, publishing their results </w:t>
      </w:r>
      <w:r w:rsidR="0086246E">
        <w:rPr>
          <w:rFonts w:ascii="Helvetica" w:hAnsi="Helvetica"/>
        </w:rPr>
        <w:t xml:space="preserve">in a </w:t>
      </w:r>
      <w:r w:rsidR="00ED160E">
        <w:rPr>
          <w:rFonts w:ascii="Helvetica" w:hAnsi="Helvetica"/>
        </w:rPr>
        <w:t>wide range</w:t>
      </w:r>
      <w:r w:rsidR="0086246E">
        <w:rPr>
          <w:rFonts w:ascii="Helvetica" w:hAnsi="Helvetica"/>
        </w:rPr>
        <w:t xml:space="preserve"> of journals. </w:t>
      </w:r>
      <w:r w:rsidR="003155AE">
        <w:rPr>
          <w:rFonts w:ascii="Helvetica" w:hAnsi="Helvetica"/>
        </w:rPr>
        <w:t xml:space="preserve">David Parrish has a demonstrated capability of </w:t>
      </w:r>
      <w:r>
        <w:rPr>
          <w:rFonts w:ascii="Helvetica" w:hAnsi="Helvetica"/>
        </w:rPr>
        <w:t xml:space="preserve">publishing papers that integrate past, sometimes </w:t>
      </w:r>
      <w:r w:rsidR="003155AE">
        <w:rPr>
          <w:rFonts w:ascii="Helvetica" w:hAnsi="Helvetica"/>
        </w:rPr>
        <w:t>divergent results</w:t>
      </w:r>
      <w:r>
        <w:rPr>
          <w:rFonts w:ascii="Helvetica" w:hAnsi="Helvetica"/>
        </w:rPr>
        <w:t>,</w:t>
      </w:r>
      <w:r w:rsidR="003155AE">
        <w:rPr>
          <w:rFonts w:ascii="Helvetica" w:hAnsi="Helvetica"/>
        </w:rPr>
        <w:t xml:space="preserve"> </w:t>
      </w:r>
      <w:r w:rsidR="005F285A">
        <w:rPr>
          <w:rFonts w:ascii="Helvetica" w:hAnsi="Helvetica"/>
        </w:rPr>
        <w:t xml:space="preserve">with important advances.  </w:t>
      </w:r>
      <w:r>
        <w:rPr>
          <w:rFonts w:ascii="Helvetica" w:hAnsi="Helvetica"/>
        </w:rPr>
        <w:t>The result is a wide spectrum</w:t>
      </w:r>
      <w:r w:rsidR="001868E6">
        <w:rPr>
          <w:rFonts w:ascii="Helvetica" w:hAnsi="Helvetica"/>
        </w:rPr>
        <w:t xml:space="preserve"> of landmark papers that coordinate</w:t>
      </w:r>
      <w:r w:rsidR="005F285A">
        <w:rPr>
          <w:rFonts w:ascii="Helvetica" w:hAnsi="Helvetica"/>
        </w:rPr>
        <w:t xml:space="preserve"> </w:t>
      </w:r>
      <w:r w:rsidR="001868E6">
        <w:rPr>
          <w:rFonts w:ascii="Helvetica" w:hAnsi="Helvetica"/>
        </w:rPr>
        <w:t>our advancing knowledge</w:t>
      </w:r>
      <w:r w:rsidR="001868E6" w:rsidRPr="001868E6">
        <w:rPr>
          <w:rFonts w:ascii="Helvetica" w:hAnsi="Helvetica"/>
        </w:rPr>
        <w:t xml:space="preserve"> </w:t>
      </w:r>
      <w:r w:rsidR="001868E6">
        <w:rPr>
          <w:rFonts w:ascii="Helvetica" w:hAnsi="Helvetica"/>
        </w:rPr>
        <w:t>of important issues in atmospheric chemistry</w:t>
      </w:r>
      <w:r w:rsidR="005F285A">
        <w:rPr>
          <w:rFonts w:ascii="Helvetica" w:hAnsi="Helvetica"/>
        </w:rPr>
        <w:t>.  Example</w:t>
      </w:r>
      <w:r w:rsidR="001868E6">
        <w:rPr>
          <w:rFonts w:ascii="Helvetica" w:hAnsi="Helvetica"/>
        </w:rPr>
        <w:t>s</w:t>
      </w:r>
      <w:r w:rsidR="005F285A">
        <w:rPr>
          <w:rFonts w:ascii="Helvetica" w:hAnsi="Helvetica"/>
        </w:rPr>
        <w:t xml:space="preserve"> include</w:t>
      </w:r>
      <w:r w:rsidR="001868E6">
        <w:rPr>
          <w:rFonts w:ascii="Helvetica" w:hAnsi="Helvetica"/>
        </w:rPr>
        <w:t xml:space="preserve"> studies that span all areas of atmospheric chemistry, including emissions (</w:t>
      </w:r>
      <w:r w:rsidR="001868E6" w:rsidRPr="002E2305">
        <w:rPr>
          <w:rFonts w:ascii="Helvetica" w:hAnsi="Helvetica"/>
          <w:i/>
        </w:rPr>
        <w:t>Parrish</w:t>
      </w:r>
      <w:r w:rsidR="001868E6">
        <w:rPr>
          <w:rFonts w:ascii="Helvetica" w:hAnsi="Helvetica"/>
        </w:rPr>
        <w:t xml:space="preserve">, 2006; </w:t>
      </w:r>
      <w:r w:rsidR="001868E6" w:rsidRPr="002E2305">
        <w:rPr>
          <w:rFonts w:ascii="Helvetica" w:hAnsi="Helvetica"/>
          <w:i/>
        </w:rPr>
        <w:t>Parrish et al.</w:t>
      </w:r>
      <w:r w:rsidR="001868E6">
        <w:rPr>
          <w:rFonts w:ascii="Helvetica" w:hAnsi="Helvetica"/>
        </w:rPr>
        <w:t>, 2009</w:t>
      </w:r>
      <w:r w:rsidR="00824DD9">
        <w:rPr>
          <w:rFonts w:ascii="Helvetica" w:hAnsi="Helvetica"/>
        </w:rPr>
        <w:t>b</w:t>
      </w:r>
      <w:r w:rsidR="001868E6">
        <w:rPr>
          <w:rFonts w:ascii="Helvetica" w:hAnsi="Helvetica"/>
        </w:rPr>
        <w:t>)</w:t>
      </w:r>
      <w:r w:rsidR="002E2305">
        <w:rPr>
          <w:rFonts w:ascii="Helvetica" w:hAnsi="Helvetica"/>
        </w:rPr>
        <w:t>,</w:t>
      </w:r>
      <w:r w:rsidR="001868E6">
        <w:rPr>
          <w:rFonts w:ascii="Helvetica" w:hAnsi="Helvetica"/>
        </w:rPr>
        <w:t xml:space="preserve"> </w:t>
      </w:r>
      <w:r w:rsidR="002E2305">
        <w:rPr>
          <w:rFonts w:ascii="Helvetica" w:hAnsi="Helvetica"/>
        </w:rPr>
        <w:t xml:space="preserve">air </w:t>
      </w:r>
      <w:r w:rsidR="001868E6">
        <w:rPr>
          <w:rFonts w:ascii="Helvetica" w:hAnsi="Helvetica"/>
        </w:rPr>
        <w:t>pollution in mega</w:t>
      </w:r>
      <w:r w:rsidR="00CE2BD6">
        <w:rPr>
          <w:rFonts w:ascii="Helvetica" w:hAnsi="Helvetica"/>
        </w:rPr>
        <w:t>-</w:t>
      </w:r>
      <w:r w:rsidR="001868E6">
        <w:rPr>
          <w:rFonts w:ascii="Helvetica" w:hAnsi="Helvetica"/>
        </w:rPr>
        <w:t>cities (</w:t>
      </w:r>
      <w:r w:rsidR="002E2305" w:rsidRPr="002E2305">
        <w:rPr>
          <w:rFonts w:ascii="Helvetica" w:hAnsi="Helvetica"/>
          <w:i/>
        </w:rPr>
        <w:t>Parrish</w:t>
      </w:r>
      <w:r w:rsidR="002E2305">
        <w:rPr>
          <w:rFonts w:ascii="Helvetica" w:hAnsi="Helvetica"/>
          <w:i/>
        </w:rPr>
        <w:t xml:space="preserve"> and Zhu</w:t>
      </w:r>
      <w:r w:rsidR="002E2305">
        <w:rPr>
          <w:rFonts w:ascii="Helvetica" w:hAnsi="Helvetica"/>
        </w:rPr>
        <w:t xml:space="preserve">, 2009; </w:t>
      </w:r>
      <w:r w:rsidR="002E2305" w:rsidRPr="002E2305">
        <w:rPr>
          <w:rFonts w:ascii="Helvetica" w:hAnsi="Helvetica"/>
          <w:i/>
        </w:rPr>
        <w:t>Parrish et al.</w:t>
      </w:r>
      <w:r w:rsidR="002E2305">
        <w:rPr>
          <w:rFonts w:ascii="Helvetica" w:hAnsi="Helvetica"/>
        </w:rPr>
        <w:t>, 2011), urban photochemistry (</w:t>
      </w:r>
      <w:r w:rsidR="002E2305" w:rsidRPr="002E2305">
        <w:rPr>
          <w:rFonts w:ascii="Helvetica" w:hAnsi="Helvetica"/>
          <w:i/>
        </w:rPr>
        <w:t>Parrish</w:t>
      </w:r>
      <w:r w:rsidR="002E2305" w:rsidRPr="002E2305">
        <w:rPr>
          <w:rFonts w:ascii="Helvetica" w:hAnsi="Helvetica"/>
          <w:color w:val="000000"/>
        </w:rPr>
        <w:t xml:space="preserve"> </w:t>
      </w:r>
      <w:r w:rsidR="002E2305">
        <w:rPr>
          <w:rFonts w:ascii="Helvetica" w:hAnsi="Helvetica"/>
          <w:color w:val="000000"/>
        </w:rPr>
        <w:t>et al.,</w:t>
      </w:r>
      <w:r w:rsidR="002E2305" w:rsidRPr="001868E6">
        <w:rPr>
          <w:rFonts w:ascii="Helvetica" w:hAnsi="Helvetica"/>
          <w:color w:val="000000"/>
        </w:rPr>
        <w:t xml:space="preserve"> </w:t>
      </w:r>
      <w:r w:rsidR="002E2305">
        <w:rPr>
          <w:rFonts w:ascii="Helvetica" w:hAnsi="Helvetica"/>
        </w:rPr>
        <w:t>2012)</w:t>
      </w:r>
      <w:r>
        <w:rPr>
          <w:rFonts w:ascii="Helvetica" w:hAnsi="Helvetica"/>
        </w:rPr>
        <w:t>,</w:t>
      </w:r>
      <w:r w:rsidR="002E2305">
        <w:rPr>
          <w:rFonts w:ascii="Helvetica" w:hAnsi="Helvetica"/>
        </w:rPr>
        <w:t xml:space="preserve"> impact of intercontinental transport of pollutants (</w:t>
      </w:r>
      <w:r w:rsidR="002E2305" w:rsidRPr="002E2305">
        <w:rPr>
          <w:rFonts w:ascii="Helvetica" w:hAnsi="Helvetica"/>
          <w:i/>
        </w:rPr>
        <w:t>Parrish et al.</w:t>
      </w:r>
      <w:r w:rsidR="002E2305">
        <w:rPr>
          <w:rFonts w:ascii="Helvetica" w:hAnsi="Helvetica"/>
        </w:rPr>
        <w:t xml:space="preserve">, 2010; </w:t>
      </w:r>
      <w:r w:rsidR="002E2305" w:rsidRPr="002E2305">
        <w:rPr>
          <w:rFonts w:ascii="Helvetica" w:hAnsi="Helvetica"/>
          <w:i/>
        </w:rPr>
        <w:t>Law and</w:t>
      </w:r>
      <w:r w:rsidR="002E2305">
        <w:rPr>
          <w:rFonts w:ascii="Helvetica" w:hAnsi="Helvetica"/>
        </w:rPr>
        <w:t xml:space="preserve"> </w:t>
      </w:r>
      <w:r w:rsidR="002E2305" w:rsidRPr="002E2305">
        <w:rPr>
          <w:rFonts w:ascii="Helvetica" w:hAnsi="Helvetica"/>
          <w:i/>
        </w:rPr>
        <w:t>Parrish</w:t>
      </w:r>
      <w:r w:rsidR="002E2305">
        <w:rPr>
          <w:rFonts w:ascii="Helvetica" w:hAnsi="Helvetica"/>
        </w:rPr>
        <w:t>, 2011) and character of the remote troposphere (</w:t>
      </w:r>
      <w:r w:rsidR="002E2305" w:rsidRPr="002E2305">
        <w:rPr>
          <w:rFonts w:ascii="Helvetica" w:hAnsi="Helvetica"/>
          <w:i/>
        </w:rPr>
        <w:t>Parrish et al.</w:t>
      </w:r>
      <w:r w:rsidR="002E2305">
        <w:rPr>
          <w:rFonts w:ascii="Helvetica" w:hAnsi="Helvetica"/>
        </w:rPr>
        <w:t>, 2013; 2014).</w:t>
      </w:r>
    </w:p>
    <w:p w14:paraId="57078032" w14:textId="1CD84571" w:rsidR="00ED160E" w:rsidRDefault="008D4264" w:rsidP="00ED160E">
      <w:pPr>
        <w:tabs>
          <w:tab w:val="left" w:pos="-2160"/>
          <w:tab w:val="left" w:pos="-144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480"/>
          <w:tab w:val="left" w:pos="6210"/>
          <w:tab w:val="left" w:pos="7020"/>
          <w:tab w:val="left" w:pos="7830"/>
          <w:tab w:val="left" w:pos="8640"/>
          <w:tab w:val="left" w:pos="9360"/>
          <w:tab w:val="left" w:pos="10080"/>
          <w:tab w:val="left" w:pos="10800"/>
        </w:tabs>
        <w:spacing w:after="120" w:line="240" w:lineRule="atLeast"/>
        <w:ind w:left="720" w:right="-720" w:hanging="360"/>
        <w:rPr>
          <w:rFonts w:ascii="Helvetica" w:hAnsi="Helvetica"/>
        </w:rPr>
      </w:pPr>
      <w:r>
        <w:rPr>
          <w:rFonts w:ascii="Helvetica" w:hAnsi="Helvetica"/>
        </w:rPr>
        <w:t>Parrish, D.</w:t>
      </w:r>
      <w:r w:rsidR="00776D18" w:rsidRPr="00B90C5F">
        <w:rPr>
          <w:rFonts w:ascii="Helvetica" w:hAnsi="Helvetica"/>
        </w:rPr>
        <w:t>D., et al. (2014</w:t>
      </w:r>
      <w:r w:rsidR="00824DD9">
        <w:rPr>
          <w:rFonts w:ascii="Helvetica" w:hAnsi="Helvetica"/>
        </w:rPr>
        <w:t>b</w:t>
      </w:r>
      <w:r w:rsidR="00776D18" w:rsidRPr="00B90C5F">
        <w:rPr>
          <w:rFonts w:ascii="Helvetica" w:hAnsi="Helvetica"/>
        </w:rPr>
        <w:t xml:space="preserve">), </w:t>
      </w:r>
      <w:proofErr w:type="gramStart"/>
      <w:r w:rsidR="00776D18" w:rsidRPr="00B90C5F">
        <w:rPr>
          <w:rFonts w:ascii="Helvetica" w:hAnsi="Helvetica"/>
        </w:rPr>
        <w:t>Long</w:t>
      </w:r>
      <w:proofErr w:type="gramEnd"/>
      <w:r w:rsidR="00B90C5F" w:rsidRPr="00B90C5F">
        <w:rPr>
          <w:rFonts w:ascii="Helvetica" w:hAnsi="Helvetica"/>
        </w:rPr>
        <w:t xml:space="preserve">-term Changes in Lower Tropospheric Baseline Ozone Concentrations: </w:t>
      </w:r>
      <w:r w:rsidR="00776D18" w:rsidRPr="00B90C5F">
        <w:rPr>
          <w:rFonts w:ascii="Helvetica" w:hAnsi="Helvetica"/>
        </w:rPr>
        <w:t xml:space="preserve">Comparing </w:t>
      </w:r>
      <w:r w:rsidR="00B90C5F" w:rsidRPr="00B90C5F">
        <w:rPr>
          <w:rFonts w:ascii="Helvetica" w:hAnsi="Helvetica"/>
        </w:rPr>
        <w:t xml:space="preserve">Chemistry-Climate Models and Observations at Northern </w:t>
      </w:r>
      <w:proofErr w:type="spellStart"/>
      <w:r w:rsidR="00B90C5F" w:rsidRPr="00B90C5F">
        <w:rPr>
          <w:rFonts w:ascii="Helvetica" w:hAnsi="Helvetica"/>
        </w:rPr>
        <w:t>Midlatitudes</w:t>
      </w:r>
      <w:bookmarkStart w:id="0" w:name="_GoBack"/>
      <w:bookmarkEnd w:id="0"/>
      <w:proofErr w:type="spellEnd"/>
      <w:r w:rsidR="00776D18" w:rsidRPr="00B90C5F">
        <w:rPr>
          <w:rFonts w:ascii="Helvetica" w:hAnsi="Helvetica"/>
        </w:rPr>
        <w:t xml:space="preserve">, </w:t>
      </w:r>
      <w:r w:rsidR="00776D18" w:rsidRPr="00B90C5F">
        <w:rPr>
          <w:rFonts w:ascii="Helvetica" w:hAnsi="Helvetica"/>
          <w:i/>
        </w:rPr>
        <w:t xml:space="preserve">J. </w:t>
      </w:r>
      <w:proofErr w:type="spellStart"/>
      <w:r w:rsidR="00776D18" w:rsidRPr="00B90C5F">
        <w:rPr>
          <w:rFonts w:ascii="Helvetica" w:hAnsi="Helvetica"/>
          <w:i/>
        </w:rPr>
        <w:t>Geophys</w:t>
      </w:r>
      <w:proofErr w:type="spellEnd"/>
      <w:r w:rsidR="00776D18" w:rsidRPr="00B90C5F">
        <w:rPr>
          <w:rFonts w:ascii="Helvetica" w:hAnsi="Helvetica"/>
          <w:i/>
        </w:rPr>
        <w:t>. Res. Atmos., 119</w:t>
      </w:r>
      <w:r w:rsidR="00776D18" w:rsidRPr="00B90C5F">
        <w:rPr>
          <w:rFonts w:ascii="Helvetica" w:hAnsi="Helvetica"/>
        </w:rPr>
        <w:t>, 5719</w:t>
      </w:r>
      <w:r w:rsidR="00776D18" w:rsidRPr="00B90C5F">
        <w:rPr>
          <w:rFonts w:ascii="Helvetica" w:hAnsi="Helvetica"/>
          <w:b/>
          <w:bCs/>
        </w:rPr>
        <w:t>–</w:t>
      </w:r>
      <w:r w:rsidR="00776D18" w:rsidRPr="00B90C5F">
        <w:rPr>
          <w:rFonts w:ascii="Helvetica" w:hAnsi="Helvetica"/>
        </w:rPr>
        <w:t>5736, doi</w:t>
      </w:r>
      <w:proofErr w:type="gramStart"/>
      <w:r w:rsidR="00776D18" w:rsidRPr="00B90C5F">
        <w:rPr>
          <w:rFonts w:ascii="Helvetica" w:hAnsi="Helvetica"/>
        </w:rPr>
        <w:t>:10.1002</w:t>
      </w:r>
      <w:proofErr w:type="gramEnd"/>
      <w:r w:rsidR="00776D18" w:rsidRPr="00B90C5F">
        <w:rPr>
          <w:rFonts w:ascii="Helvetica" w:hAnsi="Helvetica"/>
        </w:rPr>
        <w:t>/2013JD021435.</w:t>
      </w:r>
    </w:p>
    <w:p w14:paraId="7AFD79BB" w14:textId="18A5E068" w:rsidR="001868E6" w:rsidRDefault="00ED160E" w:rsidP="001868E6">
      <w:pPr>
        <w:tabs>
          <w:tab w:val="left" w:pos="-2160"/>
          <w:tab w:val="left" w:pos="-144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480"/>
          <w:tab w:val="left" w:pos="6210"/>
          <w:tab w:val="left" w:pos="7020"/>
          <w:tab w:val="left" w:pos="7830"/>
          <w:tab w:val="left" w:pos="8640"/>
          <w:tab w:val="left" w:pos="9360"/>
          <w:tab w:val="left" w:pos="10080"/>
          <w:tab w:val="left" w:pos="10800"/>
        </w:tabs>
        <w:spacing w:after="120" w:line="240" w:lineRule="atLeast"/>
        <w:ind w:left="720" w:right="-720" w:hanging="360"/>
        <w:rPr>
          <w:rFonts w:ascii="Helvetica" w:eastAsia="Times New Roman" w:hAnsi="Helvetica" w:cs="Times New Roman"/>
          <w:color w:val="000000"/>
          <w:lang w:eastAsia="en-US"/>
        </w:rPr>
      </w:pPr>
      <w:r w:rsidRPr="00ED160E">
        <w:rPr>
          <w:rFonts w:ascii="Helvetica" w:eastAsia="Times New Roman" w:hAnsi="Helvetica" w:cs="Times New Roman"/>
          <w:color w:val="000000"/>
          <w:lang w:eastAsia="en-US"/>
        </w:rPr>
        <w:t xml:space="preserve">Parrish, D. D., </w:t>
      </w:r>
      <w:r>
        <w:rPr>
          <w:rFonts w:ascii="Helvetica" w:eastAsia="Times New Roman" w:hAnsi="Helvetica" w:cs="Times New Roman"/>
          <w:color w:val="000000"/>
          <w:lang w:eastAsia="en-US"/>
        </w:rPr>
        <w:t>et al.</w:t>
      </w:r>
      <w:r w:rsidRPr="00ED160E">
        <w:rPr>
          <w:rFonts w:ascii="Helvetica" w:eastAsia="Times New Roman" w:hAnsi="Helvetica" w:cs="Times New Roman"/>
          <w:color w:val="000000"/>
          <w:lang w:eastAsia="en-US"/>
        </w:rPr>
        <w:t xml:space="preserve"> (2013), Lower </w:t>
      </w:r>
      <w:r w:rsidR="00CE2BD6" w:rsidRPr="00ED160E">
        <w:rPr>
          <w:rFonts w:ascii="Helvetica" w:eastAsia="Times New Roman" w:hAnsi="Helvetica" w:cs="Times New Roman"/>
          <w:color w:val="000000"/>
          <w:lang w:eastAsia="en-US"/>
        </w:rPr>
        <w:t xml:space="preserve">Tropospheric Ozone </w:t>
      </w:r>
      <w:r w:rsidR="00CE2BD6">
        <w:rPr>
          <w:rFonts w:ascii="Helvetica" w:eastAsia="Times New Roman" w:hAnsi="Helvetica" w:cs="Times New Roman"/>
          <w:color w:val="000000"/>
          <w:lang w:eastAsia="en-US"/>
        </w:rPr>
        <w:t>a</w:t>
      </w:r>
      <w:r w:rsidR="00CE2BD6" w:rsidRPr="00ED160E">
        <w:rPr>
          <w:rFonts w:ascii="Helvetica" w:eastAsia="Times New Roman" w:hAnsi="Helvetica" w:cs="Times New Roman"/>
          <w:color w:val="000000"/>
          <w:lang w:eastAsia="en-US"/>
        </w:rPr>
        <w:t xml:space="preserve">t Northern </w:t>
      </w:r>
      <w:proofErr w:type="spellStart"/>
      <w:r w:rsidR="00CE2BD6" w:rsidRPr="00ED160E">
        <w:rPr>
          <w:rFonts w:ascii="Helvetica" w:eastAsia="Times New Roman" w:hAnsi="Helvetica" w:cs="Times New Roman"/>
          <w:color w:val="000000"/>
          <w:lang w:eastAsia="en-US"/>
        </w:rPr>
        <w:t>Midlatitudes</w:t>
      </w:r>
      <w:proofErr w:type="spellEnd"/>
      <w:r w:rsidR="00CE2BD6" w:rsidRPr="00ED160E">
        <w:rPr>
          <w:rFonts w:ascii="Helvetica" w:eastAsia="Times New Roman" w:hAnsi="Helvetica" w:cs="Times New Roman"/>
          <w:color w:val="000000"/>
          <w:lang w:eastAsia="en-US"/>
        </w:rPr>
        <w:t xml:space="preserve">: </w:t>
      </w:r>
      <w:r w:rsidRPr="00ED160E">
        <w:rPr>
          <w:rFonts w:ascii="Helvetica" w:eastAsia="Times New Roman" w:hAnsi="Helvetica" w:cs="Times New Roman"/>
          <w:color w:val="000000"/>
          <w:lang w:eastAsia="en-US"/>
        </w:rPr>
        <w:t xml:space="preserve">Changing </w:t>
      </w:r>
      <w:r w:rsidR="00CE2BD6" w:rsidRPr="00ED160E">
        <w:rPr>
          <w:rFonts w:ascii="Helvetica" w:eastAsia="Times New Roman" w:hAnsi="Helvetica" w:cs="Times New Roman"/>
          <w:color w:val="000000"/>
          <w:lang w:eastAsia="en-US"/>
        </w:rPr>
        <w:t>Seasonal Cycle</w:t>
      </w:r>
      <w:r w:rsidRPr="00ED160E">
        <w:rPr>
          <w:rFonts w:ascii="Helvetica" w:eastAsia="Times New Roman" w:hAnsi="Helvetica" w:cs="Times New Roman"/>
          <w:color w:val="000000"/>
          <w:lang w:eastAsia="en-US"/>
        </w:rPr>
        <w:t xml:space="preserve">, </w:t>
      </w:r>
      <w:proofErr w:type="spellStart"/>
      <w:r w:rsidRPr="00ED160E">
        <w:rPr>
          <w:rFonts w:ascii="Helvetica" w:eastAsia="Times New Roman" w:hAnsi="Helvetica" w:cs="Times New Roman"/>
          <w:i/>
          <w:color w:val="000000"/>
          <w:lang w:eastAsia="en-US"/>
        </w:rPr>
        <w:t>Geophys</w:t>
      </w:r>
      <w:proofErr w:type="spellEnd"/>
      <w:r w:rsidRPr="00ED160E">
        <w:rPr>
          <w:rFonts w:ascii="Helvetica" w:eastAsia="Times New Roman" w:hAnsi="Helvetica" w:cs="Times New Roman"/>
          <w:i/>
          <w:color w:val="000000"/>
          <w:lang w:eastAsia="en-US"/>
        </w:rPr>
        <w:t xml:space="preserve">. Res. </w:t>
      </w:r>
      <w:proofErr w:type="spellStart"/>
      <w:r w:rsidRPr="00ED160E">
        <w:rPr>
          <w:rFonts w:ascii="Helvetica" w:eastAsia="Times New Roman" w:hAnsi="Helvetica" w:cs="Times New Roman"/>
          <w:i/>
          <w:color w:val="000000"/>
          <w:lang w:eastAsia="en-US"/>
        </w:rPr>
        <w:t>Lett</w:t>
      </w:r>
      <w:proofErr w:type="spellEnd"/>
      <w:proofErr w:type="gramStart"/>
      <w:r w:rsidRPr="00ED160E">
        <w:rPr>
          <w:rFonts w:ascii="Helvetica" w:eastAsia="Times New Roman" w:hAnsi="Helvetica" w:cs="Times New Roman"/>
          <w:i/>
          <w:color w:val="000000"/>
          <w:lang w:eastAsia="en-US"/>
        </w:rPr>
        <w:t>.,</w:t>
      </w:r>
      <w:proofErr w:type="gramEnd"/>
      <w:r w:rsidRPr="00ED160E">
        <w:rPr>
          <w:rFonts w:ascii="Helvetica" w:eastAsia="Times New Roman" w:hAnsi="Helvetica" w:cs="Times New Roman"/>
          <w:i/>
          <w:color w:val="000000"/>
          <w:lang w:eastAsia="en-US"/>
        </w:rPr>
        <w:t xml:space="preserve"> 40</w:t>
      </w:r>
      <w:r w:rsidRPr="00ED160E">
        <w:rPr>
          <w:rFonts w:ascii="Helvetica" w:eastAsia="Times New Roman" w:hAnsi="Helvetica" w:cs="Times New Roman"/>
          <w:color w:val="000000"/>
          <w:lang w:eastAsia="en-US"/>
        </w:rPr>
        <w:t>, 1631</w:t>
      </w:r>
      <w:r w:rsidRPr="00ED160E">
        <w:rPr>
          <w:rFonts w:ascii="Helvetica" w:eastAsia="Times New Roman" w:hAnsi="Helvetica" w:cs="Times New Roman"/>
          <w:bCs/>
          <w:color w:val="000000"/>
          <w:lang w:eastAsia="en-US"/>
        </w:rPr>
        <w:t>–</w:t>
      </w:r>
      <w:r w:rsidRPr="00ED160E">
        <w:rPr>
          <w:rFonts w:ascii="Helvetica" w:eastAsia="Times New Roman" w:hAnsi="Helvetica" w:cs="Times New Roman"/>
          <w:color w:val="000000"/>
          <w:lang w:eastAsia="en-US"/>
        </w:rPr>
        <w:t xml:space="preserve">1636, </w:t>
      </w:r>
      <w:proofErr w:type="spellStart"/>
      <w:r w:rsidRPr="00ED160E">
        <w:rPr>
          <w:rFonts w:ascii="Helvetica" w:eastAsia="Times New Roman" w:hAnsi="Helvetica" w:cs="Times New Roman"/>
          <w:color w:val="000000"/>
          <w:lang w:eastAsia="en-US"/>
        </w:rPr>
        <w:t>doi</w:t>
      </w:r>
      <w:proofErr w:type="spellEnd"/>
      <w:r w:rsidRPr="00ED160E">
        <w:rPr>
          <w:rFonts w:ascii="Helvetica" w:eastAsia="Times New Roman" w:hAnsi="Helvetica" w:cs="Times New Roman"/>
          <w:color w:val="000000"/>
          <w:lang w:eastAsia="en-US"/>
        </w:rPr>
        <w:t>: 10.1002/grl.50303.</w:t>
      </w:r>
    </w:p>
    <w:p w14:paraId="69A70D76" w14:textId="5A105FAB" w:rsidR="001868E6" w:rsidRPr="001868E6" w:rsidRDefault="001868E6" w:rsidP="001868E6">
      <w:pPr>
        <w:tabs>
          <w:tab w:val="left" w:pos="-2160"/>
          <w:tab w:val="left" w:pos="-144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480"/>
          <w:tab w:val="left" w:pos="6210"/>
          <w:tab w:val="left" w:pos="7020"/>
          <w:tab w:val="left" w:pos="7830"/>
          <w:tab w:val="left" w:pos="8640"/>
          <w:tab w:val="left" w:pos="9360"/>
          <w:tab w:val="left" w:pos="10080"/>
          <w:tab w:val="left" w:pos="10800"/>
        </w:tabs>
        <w:spacing w:after="120" w:line="240" w:lineRule="atLeast"/>
        <w:ind w:left="720" w:right="-720" w:hanging="360"/>
        <w:rPr>
          <w:rFonts w:ascii="Helvetica" w:hAnsi="Helvetica"/>
        </w:rPr>
      </w:pPr>
      <w:r w:rsidRPr="001868E6">
        <w:rPr>
          <w:rFonts w:ascii="Helvetica" w:hAnsi="Helvetica"/>
          <w:color w:val="000000"/>
        </w:rPr>
        <w:t xml:space="preserve">Parrish, D.D., </w:t>
      </w:r>
      <w:r>
        <w:rPr>
          <w:rFonts w:ascii="Helvetica" w:hAnsi="Helvetica"/>
          <w:color w:val="000000"/>
        </w:rPr>
        <w:t>et al.</w:t>
      </w:r>
      <w:r w:rsidRPr="001868E6">
        <w:rPr>
          <w:rFonts w:ascii="Helvetica" w:hAnsi="Helvetica"/>
          <w:color w:val="000000"/>
        </w:rPr>
        <w:t xml:space="preserve"> (2012)</w:t>
      </w:r>
      <w:r>
        <w:rPr>
          <w:rFonts w:ascii="Helvetica" w:hAnsi="Helvetica"/>
          <w:color w:val="000000"/>
        </w:rPr>
        <w:t>,</w:t>
      </w:r>
      <w:r w:rsidRPr="001868E6">
        <w:rPr>
          <w:rFonts w:ascii="Helvetica" w:hAnsi="Helvetica"/>
          <w:color w:val="000000"/>
        </w:rPr>
        <w:t xml:space="preserve"> Primary and </w:t>
      </w:r>
      <w:r w:rsidR="00CE2BD6">
        <w:rPr>
          <w:rFonts w:ascii="Helvetica" w:hAnsi="Helvetica"/>
          <w:color w:val="000000"/>
        </w:rPr>
        <w:t>Secondary Sources of Formaldehyde i</w:t>
      </w:r>
      <w:r w:rsidR="00CE2BD6" w:rsidRPr="001868E6">
        <w:rPr>
          <w:rFonts w:ascii="Helvetica" w:hAnsi="Helvetica"/>
          <w:color w:val="000000"/>
        </w:rPr>
        <w:t>n Urban Atmospheres</w:t>
      </w:r>
      <w:r w:rsidRPr="001868E6">
        <w:rPr>
          <w:rFonts w:ascii="Helvetica" w:hAnsi="Helvetica"/>
          <w:color w:val="000000"/>
        </w:rPr>
        <w:t xml:space="preserve">: Houston Texas </w:t>
      </w:r>
      <w:r w:rsidR="00CE2BD6">
        <w:rPr>
          <w:rFonts w:ascii="Helvetica" w:hAnsi="Helvetica"/>
          <w:color w:val="000000"/>
        </w:rPr>
        <w:t>R</w:t>
      </w:r>
      <w:r w:rsidRPr="001868E6">
        <w:rPr>
          <w:rFonts w:ascii="Helvetica" w:hAnsi="Helvetica"/>
          <w:color w:val="000000"/>
        </w:rPr>
        <w:t xml:space="preserve">egion, </w:t>
      </w:r>
      <w:r w:rsidRPr="001868E6">
        <w:rPr>
          <w:rFonts w:ascii="Helvetica" w:hAnsi="Helvetica"/>
          <w:i/>
          <w:color w:val="000000"/>
        </w:rPr>
        <w:t>Atmos. Chem. Phys., 12</w:t>
      </w:r>
      <w:r w:rsidRPr="001868E6">
        <w:rPr>
          <w:rFonts w:ascii="Helvetica" w:hAnsi="Helvetica"/>
          <w:color w:val="000000"/>
        </w:rPr>
        <w:t>, 3273–3288.</w:t>
      </w:r>
    </w:p>
    <w:p w14:paraId="593FA6AE" w14:textId="77A5C6CB" w:rsidR="00776D18" w:rsidRPr="00B90C5F" w:rsidRDefault="00776D18" w:rsidP="000355E8">
      <w:pPr>
        <w:pStyle w:val="Title"/>
        <w:spacing w:after="120"/>
        <w:ind w:left="720" w:hanging="360"/>
        <w:jc w:val="left"/>
        <w:rPr>
          <w:rFonts w:ascii="Helvetica" w:hAnsi="Helvetica"/>
          <w:b w:val="0"/>
          <w:color w:val="000000"/>
          <w:szCs w:val="24"/>
          <w:u w:val="none"/>
        </w:rPr>
      </w:pPr>
      <w:r w:rsidRPr="00B90C5F">
        <w:rPr>
          <w:rFonts w:ascii="Helvetica" w:hAnsi="Helvetica"/>
          <w:b w:val="0"/>
          <w:color w:val="000000"/>
          <w:szCs w:val="24"/>
          <w:u w:val="none"/>
        </w:rPr>
        <w:lastRenderedPageBreak/>
        <w:t xml:space="preserve">Parrish, D.D., et al. (2011), Air </w:t>
      </w:r>
      <w:r w:rsidR="00B90C5F" w:rsidRPr="00B90C5F">
        <w:rPr>
          <w:rFonts w:ascii="Helvetica" w:hAnsi="Helvetica"/>
          <w:b w:val="0"/>
          <w:color w:val="000000"/>
          <w:szCs w:val="24"/>
          <w:u w:val="none"/>
        </w:rPr>
        <w:t xml:space="preserve">Quality Progress </w:t>
      </w:r>
      <w:r w:rsidRPr="00B90C5F">
        <w:rPr>
          <w:rFonts w:ascii="Helvetica" w:hAnsi="Helvetica"/>
          <w:b w:val="0"/>
          <w:color w:val="000000"/>
          <w:szCs w:val="24"/>
          <w:u w:val="none"/>
        </w:rPr>
        <w:t xml:space="preserve">in North American </w:t>
      </w:r>
      <w:r w:rsidR="00B90C5F" w:rsidRPr="00B90C5F">
        <w:rPr>
          <w:rFonts w:ascii="Helvetica" w:hAnsi="Helvetica"/>
          <w:b w:val="0"/>
          <w:color w:val="000000"/>
          <w:szCs w:val="24"/>
          <w:u w:val="none"/>
        </w:rPr>
        <w:t>M</w:t>
      </w:r>
      <w:r w:rsidRPr="00B90C5F">
        <w:rPr>
          <w:rFonts w:ascii="Helvetica" w:hAnsi="Helvetica"/>
          <w:b w:val="0"/>
          <w:color w:val="000000"/>
          <w:szCs w:val="24"/>
          <w:u w:val="none"/>
        </w:rPr>
        <w:t>ega</w:t>
      </w:r>
      <w:r w:rsidR="00B90C5F" w:rsidRPr="00B90C5F">
        <w:rPr>
          <w:rFonts w:ascii="Helvetica" w:hAnsi="Helvetica"/>
          <w:b w:val="0"/>
          <w:color w:val="000000"/>
          <w:szCs w:val="24"/>
          <w:u w:val="none"/>
        </w:rPr>
        <w:t>-</w:t>
      </w:r>
      <w:r w:rsidR="00CE2BD6">
        <w:rPr>
          <w:rFonts w:ascii="Helvetica" w:hAnsi="Helvetica"/>
          <w:b w:val="0"/>
          <w:color w:val="000000"/>
          <w:szCs w:val="24"/>
          <w:u w:val="none"/>
        </w:rPr>
        <w:t>C</w:t>
      </w:r>
      <w:r w:rsidRPr="00B90C5F">
        <w:rPr>
          <w:rFonts w:ascii="Helvetica" w:hAnsi="Helvetica"/>
          <w:b w:val="0"/>
          <w:color w:val="000000"/>
          <w:szCs w:val="24"/>
          <w:u w:val="none"/>
        </w:rPr>
        <w:t xml:space="preserve">ities: A </w:t>
      </w:r>
      <w:r w:rsidR="00B90C5F" w:rsidRPr="00B90C5F">
        <w:rPr>
          <w:rFonts w:ascii="Helvetica" w:hAnsi="Helvetica"/>
          <w:b w:val="0"/>
          <w:color w:val="000000"/>
          <w:szCs w:val="24"/>
          <w:u w:val="none"/>
        </w:rPr>
        <w:t>R</w:t>
      </w:r>
      <w:r w:rsidRPr="00B90C5F">
        <w:rPr>
          <w:rFonts w:ascii="Helvetica" w:hAnsi="Helvetica"/>
          <w:b w:val="0"/>
          <w:color w:val="000000"/>
          <w:szCs w:val="24"/>
          <w:u w:val="none"/>
        </w:rPr>
        <w:t xml:space="preserve">eview, </w:t>
      </w:r>
      <w:r w:rsidRPr="00B90C5F">
        <w:rPr>
          <w:rFonts w:ascii="Helvetica" w:hAnsi="Helvetica"/>
          <w:b w:val="0"/>
          <w:i/>
          <w:iCs/>
          <w:color w:val="000000"/>
          <w:szCs w:val="24"/>
          <w:u w:val="none"/>
        </w:rPr>
        <w:t>Atmos. Environ</w:t>
      </w:r>
      <w:proofErr w:type="gramStart"/>
      <w:r w:rsidRPr="00B90C5F">
        <w:rPr>
          <w:rFonts w:ascii="Helvetica" w:hAnsi="Helvetica"/>
          <w:b w:val="0"/>
          <w:i/>
          <w:iCs/>
          <w:color w:val="000000"/>
          <w:szCs w:val="24"/>
          <w:u w:val="none"/>
        </w:rPr>
        <w:t>.</w:t>
      </w:r>
      <w:r w:rsidRPr="00B90C5F">
        <w:rPr>
          <w:rFonts w:ascii="Helvetica" w:hAnsi="Helvetica"/>
          <w:b w:val="0"/>
          <w:color w:val="000000"/>
          <w:szCs w:val="24"/>
          <w:u w:val="none"/>
        </w:rPr>
        <w:t>,</w:t>
      </w:r>
      <w:proofErr w:type="gramEnd"/>
      <w:r w:rsidRPr="00B90C5F">
        <w:rPr>
          <w:rFonts w:ascii="Helvetica" w:hAnsi="Helvetica"/>
          <w:b w:val="0"/>
          <w:color w:val="000000"/>
          <w:szCs w:val="24"/>
          <w:u w:val="none"/>
        </w:rPr>
        <w:t xml:space="preserve"> </w:t>
      </w:r>
      <w:r w:rsidRPr="00B90C5F">
        <w:rPr>
          <w:rFonts w:ascii="Helvetica" w:hAnsi="Helvetica"/>
          <w:b w:val="0"/>
          <w:i/>
          <w:iCs/>
          <w:color w:val="000000"/>
          <w:szCs w:val="24"/>
          <w:u w:val="none"/>
        </w:rPr>
        <w:t>45</w:t>
      </w:r>
      <w:r w:rsidRPr="00B90C5F">
        <w:rPr>
          <w:rFonts w:ascii="Helvetica" w:hAnsi="Helvetica"/>
          <w:b w:val="0"/>
          <w:color w:val="000000"/>
          <w:szCs w:val="24"/>
          <w:u w:val="none"/>
        </w:rPr>
        <w:t>(390), 7015-7025, doi:10.1016/j.atmosenv.2011.09.039.</w:t>
      </w:r>
    </w:p>
    <w:p w14:paraId="79EA4B02" w14:textId="47027735" w:rsidR="00776D18" w:rsidRPr="001868E6" w:rsidRDefault="00776D18" w:rsidP="000355E8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/>
        <w:ind w:left="720" w:hanging="360"/>
        <w:rPr>
          <w:rFonts w:ascii="Helvetica" w:hAnsi="Helvetica"/>
          <w:bCs/>
          <w:i/>
          <w:iCs/>
          <w:color w:val="000000"/>
        </w:rPr>
      </w:pPr>
      <w:r w:rsidRPr="00B90C5F">
        <w:rPr>
          <w:rFonts w:ascii="Helvetica" w:hAnsi="Helvetica"/>
          <w:color w:val="000000"/>
        </w:rPr>
        <w:t xml:space="preserve">Law, K., and </w:t>
      </w:r>
      <w:r w:rsidRPr="00B90C5F">
        <w:rPr>
          <w:rFonts w:ascii="Helvetica" w:hAnsi="Helvetica"/>
          <w:bCs/>
          <w:color w:val="000000"/>
        </w:rPr>
        <w:t xml:space="preserve">D.D. Parrish </w:t>
      </w:r>
      <w:r w:rsidRPr="00B90C5F">
        <w:rPr>
          <w:rFonts w:ascii="Helvetica" w:hAnsi="Helvetica"/>
          <w:color w:val="000000"/>
        </w:rPr>
        <w:t xml:space="preserve">(2011), </w:t>
      </w:r>
      <w:r w:rsidRPr="00B90C5F">
        <w:rPr>
          <w:rFonts w:ascii="Helvetica" w:hAnsi="Helvetica"/>
          <w:bCs/>
          <w:color w:val="000000"/>
        </w:rPr>
        <w:t xml:space="preserve">Chapter 2 - Observational Evidence and Capabilities Related to Intercontinental Transport of </w:t>
      </w:r>
      <w:r w:rsidR="00B90C5F" w:rsidRPr="00B90C5F">
        <w:rPr>
          <w:rFonts w:ascii="Helvetica" w:hAnsi="Helvetica"/>
          <w:bCs/>
          <w:color w:val="000000"/>
        </w:rPr>
        <w:t>O</w:t>
      </w:r>
      <w:r w:rsidRPr="00B90C5F">
        <w:rPr>
          <w:rFonts w:ascii="Helvetica" w:hAnsi="Helvetica"/>
          <w:bCs/>
          <w:color w:val="000000"/>
        </w:rPr>
        <w:t xml:space="preserve">zone and Particulate Matter, in </w:t>
      </w:r>
      <w:r w:rsidRPr="00B90C5F">
        <w:rPr>
          <w:rFonts w:ascii="Helvetica" w:hAnsi="Helvetica"/>
          <w:bCs/>
          <w:i/>
          <w:iCs/>
          <w:color w:val="000000"/>
        </w:rPr>
        <w:t>Hemispheric Transport of Air Pollution 2010, Part A: Ozone and Particulate Matter; Air Pollution Studies No. 17</w:t>
      </w:r>
      <w:r w:rsidRPr="00B90C5F">
        <w:rPr>
          <w:rFonts w:ascii="Helvetica" w:hAnsi="Helvetica"/>
          <w:color w:val="000000"/>
        </w:rPr>
        <w:t xml:space="preserve">, edited by F. </w:t>
      </w:r>
      <w:proofErr w:type="spellStart"/>
      <w:r w:rsidRPr="00B90C5F">
        <w:rPr>
          <w:rFonts w:ascii="Helvetica" w:hAnsi="Helvetica"/>
          <w:color w:val="000000"/>
        </w:rPr>
        <w:t>Dentener</w:t>
      </w:r>
      <w:proofErr w:type="spellEnd"/>
      <w:r w:rsidRPr="00B90C5F">
        <w:rPr>
          <w:rFonts w:ascii="Helvetica" w:hAnsi="Helvetica"/>
          <w:color w:val="000000"/>
        </w:rPr>
        <w:t>, T. Keating and H. Akimoto, United Nations, New York and Geneva.</w:t>
      </w:r>
    </w:p>
    <w:p w14:paraId="2C4C77DA" w14:textId="77777777" w:rsidR="00776D18" w:rsidRPr="00B90C5F" w:rsidRDefault="00776D18" w:rsidP="000355E8">
      <w:pPr>
        <w:spacing w:after="120"/>
        <w:ind w:left="720" w:hanging="360"/>
        <w:rPr>
          <w:rFonts w:ascii="Helvetica" w:hAnsi="Helvetica" w:cs="Times"/>
          <w:bCs/>
          <w:szCs w:val="22"/>
        </w:rPr>
      </w:pPr>
      <w:r w:rsidRPr="00B90C5F">
        <w:rPr>
          <w:rFonts w:ascii="Helvetica" w:hAnsi="Helvetica" w:cs="Times"/>
          <w:bCs/>
          <w:szCs w:val="22"/>
        </w:rPr>
        <w:t xml:space="preserve">Parrish, D.D., et al. (2010), Impact of </w:t>
      </w:r>
      <w:r w:rsidR="00B90C5F" w:rsidRPr="00B90C5F">
        <w:rPr>
          <w:rFonts w:ascii="Helvetica" w:hAnsi="Helvetica" w:cs="Times"/>
          <w:bCs/>
          <w:szCs w:val="22"/>
        </w:rPr>
        <w:t xml:space="preserve">Transported Background Ozone Inflow on Summertime Air Quality in a </w:t>
      </w:r>
      <w:r w:rsidRPr="00B90C5F">
        <w:rPr>
          <w:rFonts w:ascii="Helvetica" w:hAnsi="Helvetica" w:cs="Times"/>
          <w:bCs/>
          <w:szCs w:val="22"/>
        </w:rPr>
        <w:t xml:space="preserve">California </w:t>
      </w:r>
      <w:r w:rsidR="00B90C5F" w:rsidRPr="00B90C5F">
        <w:rPr>
          <w:rFonts w:ascii="Helvetica" w:hAnsi="Helvetica" w:cs="Times"/>
          <w:bCs/>
          <w:szCs w:val="22"/>
        </w:rPr>
        <w:t>Ozone Exceedance Area</w:t>
      </w:r>
      <w:r w:rsidRPr="00B90C5F">
        <w:rPr>
          <w:rFonts w:ascii="Helvetica" w:hAnsi="Helvetica" w:cs="Times"/>
          <w:bCs/>
          <w:szCs w:val="22"/>
        </w:rPr>
        <w:t>, </w:t>
      </w:r>
      <w:r w:rsidRPr="00B90C5F">
        <w:rPr>
          <w:rFonts w:ascii="Helvetica" w:hAnsi="Helvetica" w:cs="Times"/>
          <w:bCs/>
          <w:i/>
          <w:szCs w:val="22"/>
        </w:rPr>
        <w:t xml:space="preserve">Atmos. Chem. Phys., 10, </w:t>
      </w:r>
      <w:r w:rsidRPr="00B90C5F">
        <w:rPr>
          <w:rFonts w:ascii="Helvetica" w:hAnsi="Helvetica" w:cs="Times"/>
          <w:bCs/>
          <w:szCs w:val="22"/>
        </w:rPr>
        <w:t>10093–10109, doi</w:t>
      </w:r>
      <w:proofErr w:type="gramStart"/>
      <w:r w:rsidRPr="00B90C5F">
        <w:rPr>
          <w:rFonts w:ascii="Helvetica" w:hAnsi="Helvetica" w:cs="Times"/>
          <w:bCs/>
          <w:szCs w:val="22"/>
        </w:rPr>
        <w:t>:10.5194</w:t>
      </w:r>
      <w:proofErr w:type="gramEnd"/>
      <w:r w:rsidRPr="00B90C5F">
        <w:rPr>
          <w:rFonts w:ascii="Helvetica" w:hAnsi="Helvetica" w:cs="Times"/>
          <w:bCs/>
          <w:szCs w:val="22"/>
        </w:rPr>
        <w:t xml:space="preserve">/acp-10-10093-2010.  </w:t>
      </w:r>
    </w:p>
    <w:p w14:paraId="0C9E9DDF" w14:textId="77777777" w:rsidR="00776D18" w:rsidRPr="00B90C5F" w:rsidRDefault="00776D18" w:rsidP="000355E8">
      <w:pPr>
        <w:widowControl w:val="0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 w:hanging="360"/>
        <w:rPr>
          <w:rFonts w:ascii="Helvetica" w:hAnsi="Helvetica"/>
        </w:rPr>
      </w:pPr>
      <w:r w:rsidRPr="00B90C5F">
        <w:rPr>
          <w:rFonts w:ascii="Helvetica" w:hAnsi="Helvetica" w:cs="Times"/>
          <w:bCs/>
          <w:szCs w:val="22"/>
        </w:rPr>
        <w:t>Parrish, D.D., and T. Zhu</w:t>
      </w:r>
      <w:r w:rsidRPr="00B90C5F">
        <w:rPr>
          <w:rFonts w:ascii="Helvetica" w:hAnsi="Helvetica"/>
        </w:rPr>
        <w:t xml:space="preserve"> (2009), Perspective: Clean Air for Mega-Cities, </w:t>
      </w:r>
      <w:r w:rsidRPr="00B90C5F">
        <w:rPr>
          <w:rFonts w:ascii="Helvetica" w:hAnsi="Helvetica"/>
          <w:i/>
        </w:rPr>
        <w:t>Science</w:t>
      </w:r>
      <w:r w:rsidRPr="00B90C5F">
        <w:rPr>
          <w:rFonts w:ascii="Helvetica" w:hAnsi="Helvetica"/>
        </w:rPr>
        <w:t>, 326, 674-675.</w:t>
      </w:r>
    </w:p>
    <w:p w14:paraId="3C1B25EA" w14:textId="7B4A25E5" w:rsidR="00776D18" w:rsidRDefault="00776D18" w:rsidP="000355E8">
      <w:pPr>
        <w:widowControl w:val="0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 w:hanging="360"/>
        <w:rPr>
          <w:rFonts w:ascii="Helvetica" w:hAnsi="Helvetica" w:cs="Times"/>
          <w:bCs/>
          <w:szCs w:val="22"/>
        </w:rPr>
      </w:pPr>
      <w:r w:rsidRPr="00B90C5F">
        <w:rPr>
          <w:rFonts w:ascii="Helvetica" w:hAnsi="Helvetica" w:cs="Times"/>
          <w:bCs/>
          <w:szCs w:val="22"/>
        </w:rPr>
        <w:t>Parrish, D.D., et al. (2009</w:t>
      </w:r>
      <w:r w:rsidR="00824DD9">
        <w:rPr>
          <w:rFonts w:ascii="Helvetica" w:hAnsi="Helvetica" w:cs="Times"/>
          <w:bCs/>
          <w:szCs w:val="22"/>
        </w:rPr>
        <w:t>b</w:t>
      </w:r>
      <w:r w:rsidRPr="00B90C5F">
        <w:rPr>
          <w:rFonts w:ascii="Helvetica" w:hAnsi="Helvetica" w:cs="Times"/>
          <w:bCs/>
          <w:szCs w:val="22"/>
        </w:rPr>
        <w:t xml:space="preserve">), Comparison of Air Pollutant Emissions among Mega-Cities, </w:t>
      </w:r>
      <w:r w:rsidR="001868E6" w:rsidRPr="00B90C5F">
        <w:rPr>
          <w:rFonts w:ascii="Helvetica" w:hAnsi="Helvetica"/>
          <w:i/>
          <w:iCs/>
          <w:color w:val="000000"/>
        </w:rPr>
        <w:t>Atmos. Environ</w:t>
      </w:r>
      <w:proofErr w:type="gramStart"/>
      <w:r w:rsidR="001868E6" w:rsidRPr="00B90C5F">
        <w:rPr>
          <w:rFonts w:ascii="Helvetica" w:hAnsi="Helvetica"/>
          <w:i/>
          <w:iCs/>
          <w:color w:val="000000"/>
        </w:rPr>
        <w:t>.</w:t>
      </w:r>
      <w:r w:rsidRPr="00B90C5F">
        <w:rPr>
          <w:rFonts w:ascii="Helvetica" w:hAnsi="Helvetica" w:cs="Times"/>
          <w:bCs/>
          <w:i/>
          <w:szCs w:val="22"/>
        </w:rPr>
        <w:t>,</w:t>
      </w:r>
      <w:proofErr w:type="gramEnd"/>
      <w:r w:rsidRPr="00B90C5F">
        <w:rPr>
          <w:rFonts w:ascii="Helvetica" w:hAnsi="Helvetica" w:cs="Times"/>
          <w:bCs/>
          <w:i/>
          <w:szCs w:val="22"/>
        </w:rPr>
        <w:t xml:space="preserve"> 43</w:t>
      </w:r>
      <w:r w:rsidRPr="00B90C5F">
        <w:rPr>
          <w:rFonts w:ascii="Helvetica" w:hAnsi="Helvetica" w:cs="Times"/>
          <w:bCs/>
          <w:szCs w:val="22"/>
        </w:rPr>
        <w:t>, 6435-6441.</w:t>
      </w:r>
    </w:p>
    <w:p w14:paraId="08BB788E" w14:textId="1098EC9F" w:rsidR="001868E6" w:rsidRPr="001868E6" w:rsidRDefault="001868E6" w:rsidP="001868E6">
      <w:pPr>
        <w:widowControl w:val="0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 w:hanging="360"/>
        <w:rPr>
          <w:rFonts w:ascii="Helvetica" w:hAnsi="Helvetica" w:cs="Times"/>
          <w:bCs/>
          <w:szCs w:val="22"/>
        </w:rPr>
      </w:pPr>
      <w:r w:rsidRPr="001868E6">
        <w:rPr>
          <w:rFonts w:ascii="Helvetica" w:hAnsi="Helvetica" w:cs="Times"/>
          <w:bCs/>
          <w:szCs w:val="22"/>
        </w:rPr>
        <w:t xml:space="preserve">Parrish, D.D. (2006) Critical </w:t>
      </w:r>
      <w:r w:rsidR="00CE2BD6">
        <w:rPr>
          <w:rFonts w:ascii="Helvetica" w:hAnsi="Helvetica" w:cs="Times"/>
          <w:bCs/>
          <w:szCs w:val="22"/>
        </w:rPr>
        <w:t>E</w:t>
      </w:r>
      <w:r w:rsidRPr="001868E6">
        <w:rPr>
          <w:rFonts w:ascii="Helvetica" w:hAnsi="Helvetica" w:cs="Times"/>
          <w:bCs/>
          <w:szCs w:val="22"/>
        </w:rPr>
        <w:t xml:space="preserve">valuation of US </w:t>
      </w:r>
      <w:r w:rsidR="00CE2BD6" w:rsidRPr="001868E6">
        <w:rPr>
          <w:rFonts w:ascii="Helvetica" w:hAnsi="Helvetica" w:cs="Times"/>
          <w:bCs/>
          <w:szCs w:val="22"/>
        </w:rPr>
        <w:t>On-Road Vehicle Emission Inventories</w:t>
      </w:r>
      <w:r w:rsidRPr="001868E6">
        <w:rPr>
          <w:rFonts w:ascii="Helvetica" w:hAnsi="Helvetica" w:cs="Times"/>
          <w:bCs/>
          <w:szCs w:val="22"/>
        </w:rPr>
        <w:t xml:space="preserve">, </w:t>
      </w:r>
      <w:r w:rsidRPr="001868E6">
        <w:rPr>
          <w:rFonts w:ascii="Helvetica" w:hAnsi="Helvetica" w:cs="Times"/>
          <w:bCs/>
          <w:i/>
          <w:szCs w:val="22"/>
        </w:rPr>
        <w:t>Atmos. Environ</w:t>
      </w:r>
      <w:proofErr w:type="gramStart"/>
      <w:r w:rsidRPr="001868E6">
        <w:rPr>
          <w:rFonts w:ascii="Helvetica" w:hAnsi="Helvetica" w:cs="Times"/>
          <w:bCs/>
          <w:i/>
          <w:szCs w:val="22"/>
        </w:rPr>
        <w:t>.,</w:t>
      </w:r>
      <w:proofErr w:type="gramEnd"/>
      <w:r w:rsidRPr="001868E6">
        <w:rPr>
          <w:rFonts w:ascii="Helvetica" w:hAnsi="Helvetica" w:cs="Times"/>
          <w:bCs/>
          <w:i/>
          <w:szCs w:val="22"/>
        </w:rPr>
        <w:t xml:space="preserve"> 40</w:t>
      </w:r>
      <w:r w:rsidRPr="001868E6">
        <w:rPr>
          <w:rFonts w:ascii="Helvetica" w:hAnsi="Helvetica" w:cs="Times"/>
          <w:bCs/>
          <w:szCs w:val="22"/>
        </w:rPr>
        <w:t>, 2288-2300.</w:t>
      </w:r>
    </w:p>
    <w:p w14:paraId="749456B1" w14:textId="77777777" w:rsidR="001868E6" w:rsidRPr="00B90C5F" w:rsidRDefault="001868E6" w:rsidP="000355E8">
      <w:pPr>
        <w:widowControl w:val="0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 w:hanging="360"/>
        <w:rPr>
          <w:rFonts w:ascii="Helvetica" w:hAnsi="Helvetica" w:cs="Times"/>
          <w:bCs/>
          <w:szCs w:val="22"/>
        </w:rPr>
      </w:pPr>
    </w:p>
    <w:p w14:paraId="788A5ACB" w14:textId="77777777" w:rsidR="00776D18" w:rsidRPr="00B90C5F" w:rsidRDefault="00776D18" w:rsidP="00B90C5F">
      <w:pPr>
        <w:spacing w:after="120"/>
        <w:rPr>
          <w:rFonts w:ascii="Helvetica" w:hAnsi="Helvetica"/>
        </w:rPr>
      </w:pPr>
    </w:p>
    <w:sectPr w:rsidR="00776D18" w:rsidRPr="00B90C5F" w:rsidSect="00FB4B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18"/>
    <w:rsid w:val="000355E8"/>
    <w:rsid w:val="00047D59"/>
    <w:rsid w:val="00065D2E"/>
    <w:rsid w:val="000838E0"/>
    <w:rsid w:val="001247E2"/>
    <w:rsid w:val="001868E6"/>
    <w:rsid w:val="002E2305"/>
    <w:rsid w:val="003155AE"/>
    <w:rsid w:val="003247AC"/>
    <w:rsid w:val="0045273B"/>
    <w:rsid w:val="0055391A"/>
    <w:rsid w:val="005F285A"/>
    <w:rsid w:val="00776D18"/>
    <w:rsid w:val="00807E7E"/>
    <w:rsid w:val="00817526"/>
    <w:rsid w:val="00824DD9"/>
    <w:rsid w:val="0086246E"/>
    <w:rsid w:val="008D3AEA"/>
    <w:rsid w:val="008D4264"/>
    <w:rsid w:val="00971A73"/>
    <w:rsid w:val="009D72F4"/>
    <w:rsid w:val="00AB75D8"/>
    <w:rsid w:val="00B90C5F"/>
    <w:rsid w:val="00B9690F"/>
    <w:rsid w:val="00CE2BD6"/>
    <w:rsid w:val="00ED160E"/>
    <w:rsid w:val="00ED1A9D"/>
    <w:rsid w:val="00FB4B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C531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6D18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</w:pPr>
    <w:rPr>
      <w:rFonts w:ascii="Times" w:eastAsia="Times New Roman" w:hAnsi="Times" w:cs="Times New Roman"/>
      <w:b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776D18"/>
    <w:rPr>
      <w:rFonts w:ascii="Times" w:eastAsia="Times New Roman" w:hAnsi="Times" w:cs="Times New Roman"/>
      <w:b/>
      <w:sz w:val="24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6D18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</w:pPr>
    <w:rPr>
      <w:rFonts w:ascii="Times" w:eastAsia="Times New Roman" w:hAnsi="Times" w:cs="Times New Roman"/>
      <w:b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776D18"/>
    <w:rPr>
      <w:rFonts w:ascii="Times" w:eastAsia="Times New Roman" w:hAnsi="Times" w:cs="Times New Roman"/>
      <w:b/>
      <w:sz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572</Words>
  <Characters>3262</Characters>
  <Application>Microsoft Macintosh Word</Application>
  <DocSecurity>0</DocSecurity>
  <Lines>27</Lines>
  <Paragraphs>7</Paragraphs>
  <ScaleCrop>false</ScaleCrop>
  <Company>NOAA ESRL CSD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Parrish</dc:creator>
  <cp:keywords/>
  <dc:description/>
  <cp:lastModifiedBy>David Parrish</cp:lastModifiedBy>
  <cp:revision>7</cp:revision>
  <dcterms:created xsi:type="dcterms:W3CDTF">2014-05-31T16:24:00Z</dcterms:created>
  <dcterms:modified xsi:type="dcterms:W3CDTF">2014-06-01T21:16:00Z</dcterms:modified>
</cp:coreProperties>
</file>