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D32" w:rsidRDefault="00105D67" w:rsidP="00971786">
      <w:pPr>
        <w:ind w:left="720"/>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left:0;text-align:left;margin-left:253.5pt;margin-top:101.3pt;width:92.95pt;height:49.5pt;rotation:90;z-index:251664384" o:connectortype="elbow" adj="-198,-66131,-92198">
            <v:stroke endarrow="block"/>
          </v:shape>
        </w:pict>
      </w:r>
      <w:r>
        <w:rPr>
          <w:noProof/>
        </w:rPr>
        <w:pict>
          <v:roundrect id="_x0000_s1030" style="position:absolute;left:0;text-align:left;margin-left:143.25pt;margin-top:172.5pt;width:42.75pt;height:39pt;z-index:251662336" arcsize="10923f">
            <v:textbox>
              <w:txbxContent>
                <w:p w:rsidR="00971786" w:rsidRDefault="00345580" w:rsidP="00971786">
                  <w:r>
                    <w:t>S3</w:t>
                  </w:r>
                </w:p>
              </w:txbxContent>
            </v:textbox>
          </v:roundrect>
        </w:pict>
      </w:r>
      <w:r>
        <w:rPr>
          <w:noProof/>
        </w:rPr>
        <w:pict>
          <v:roundrect id="_x0000_s1028" style="position:absolute;left:0;text-align:left;margin-left:254.25pt;margin-top:172.5pt;width:36pt;height:39pt;z-index:251660288" arcsize="10923f">
            <v:textbox>
              <w:txbxContent>
                <w:p w:rsidR="00971786" w:rsidRDefault="00345580" w:rsidP="00971786">
                  <w:r>
                    <w:t>S5</w:t>
                  </w:r>
                </w:p>
              </w:txbxContent>
            </v:textbox>
          </v:roundrect>
        </w:pict>
      </w:r>
      <w:r>
        <w:rPr>
          <w:noProof/>
        </w:rPr>
        <w:pict>
          <v:roundrect id="_x0000_s1029" style="position:absolute;left:0;text-align:left;margin-left:198pt;margin-top:172.5pt;width:35.25pt;height:39pt;z-index:251661312" arcsize="10923f">
            <v:textbox>
              <w:txbxContent>
                <w:p w:rsidR="00971786" w:rsidRDefault="00345580" w:rsidP="00971786">
                  <w:r>
                    <w:t>S4</w:t>
                  </w:r>
                </w:p>
              </w:txbxContent>
            </v:textbox>
          </v:roundrect>
        </w:pict>
      </w:r>
      <w:r>
        <w:rPr>
          <w:noProof/>
        </w:rPr>
        <w:pict>
          <v:roundrect id="_x0000_s1027" style="position:absolute;left:0;text-align:left;margin-left:46.5pt;margin-top:117.75pt;width:329.25pt;height:135pt;z-index:251659264" arcsize="10923f">
            <v:textbox>
              <w:txbxContent>
                <w:p w:rsidR="00971786" w:rsidRDefault="00345580" w:rsidP="00971786">
                  <w:r>
                    <w:t>S2</w:t>
                  </w:r>
                </w:p>
              </w:txbxContent>
            </v:textbox>
          </v:roundrect>
        </w:pict>
      </w:r>
      <w:r>
        <w:rPr>
          <w:noProof/>
        </w:rPr>
        <w:pict>
          <v:roundrect id="_x0000_s1026" style="position:absolute;left:0;text-align:left;margin-left:324.75pt;margin-top:55.5pt;width:42.75pt;height:39pt;z-index:251658240" arcsize="10923f">
            <v:textbox>
              <w:txbxContent>
                <w:p w:rsidR="00971786" w:rsidRDefault="00345580">
                  <w:r>
                    <w:t>S1</w:t>
                  </w:r>
                </w:p>
              </w:txbxContent>
            </v:textbox>
          </v:roundrect>
        </w:pict>
      </w:r>
      <w:r w:rsidR="00971786">
        <w:t>State Transitions</w:t>
      </w:r>
    </w:p>
    <w:p w:rsidR="00971786" w:rsidRDefault="00971786" w:rsidP="00971786">
      <w:pPr>
        <w:ind w:left="720"/>
      </w:pPr>
    </w:p>
    <w:p w:rsidR="00971786" w:rsidRDefault="00345580" w:rsidP="00971786">
      <w:pPr>
        <w:ind w:left="720"/>
      </w:pPr>
      <w:r>
        <w:rPr>
          <w:noProof/>
        </w:rPr>
        <w:pict>
          <v:shapetype id="_x0000_t202" coordsize="21600,21600" o:spt="202" path="m,l,21600r21600,l21600,xe">
            <v:stroke joinstyle="miter"/>
            <v:path gradientshapeok="t" o:connecttype="rect"/>
          </v:shapetype>
          <v:shape id="_x0000_s1034" type="#_x0000_t202" style="position:absolute;left:0;text-align:left;margin-left:264pt;margin-top:4.6pt;width:36.75pt;height:22.5pt;z-index:251665408" filled="f" stroked="f">
            <v:textbox>
              <w:txbxContent>
                <w:p w:rsidR="00345580" w:rsidRDefault="00345580">
                  <w:r>
                    <w:t>T1</w:t>
                  </w:r>
                </w:p>
              </w:txbxContent>
            </v:textbox>
          </v:shape>
        </w:pict>
      </w:r>
    </w:p>
    <w:p w:rsidR="00971786" w:rsidRDefault="00971786" w:rsidP="00971786">
      <w:pPr>
        <w:ind w:left="720"/>
      </w:pPr>
    </w:p>
    <w:p w:rsidR="00971786" w:rsidRDefault="00971786" w:rsidP="00971786">
      <w:pPr>
        <w:ind w:left="720"/>
      </w:pPr>
    </w:p>
    <w:p w:rsidR="00971786" w:rsidRDefault="00971786" w:rsidP="00971786">
      <w:pPr>
        <w:ind w:left="720"/>
      </w:pPr>
    </w:p>
    <w:p w:rsidR="00971786" w:rsidRDefault="00971786" w:rsidP="00971786">
      <w:pPr>
        <w:ind w:left="720"/>
      </w:pPr>
    </w:p>
    <w:p w:rsidR="00971786" w:rsidRDefault="00971786" w:rsidP="00971786">
      <w:pPr>
        <w:ind w:left="720"/>
      </w:pPr>
    </w:p>
    <w:p w:rsidR="00971786" w:rsidRDefault="00971786" w:rsidP="00971786">
      <w:pPr>
        <w:ind w:left="720"/>
      </w:pPr>
    </w:p>
    <w:p w:rsidR="00971786" w:rsidRDefault="00971786" w:rsidP="00971786">
      <w:pPr>
        <w:ind w:left="720"/>
      </w:pPr>
    </w:p>
    <w:p w:rsidR="00971786" w:rsidRDefault="00971786" w:rsidP="00971786">
      <w:pPr>
        <w:ind w:left="720"/>
      </w:pPr>
    </w:p>
    <w:p w:rsidR="009B68BF" w:rsidRDefault="00971786" w:rsidP="00971786">
      <w:pPr>
        <w:ind w:left="720"/>
      </w:pPr>
      <w:r>
        <w:t xml:space="preserve">A transition from the ‘wait’ state to the ‘sec’ state passes through the state ‘update’. That is, when state ‘sec’ is entered from state ‘wait’, state ‘update’ is also entered.  Thus all parent states of the final target state are notified when the transition is executed. </w:t>
      </w:r>
    </w:p>
    <w:p w:rsidR="00971786" w:rsidRDefault="00345580" w:rsidP="00971786">
      <w:pPr>
        <w:ind w:left="720"/>
      </w:pPr>
      <w:r>
        <w:t xml:space="preserve">The state machine that is the parent of a target state needs to be aware of the transition to it child state. Therefore, </w:t>
      </w:r>
      <w:proofErr w:type="spellStart"/>
      <w:r>
        <w:t>datamodel</w:t>
      </w:r>
      <w:proofErr w:type="spellEnd"/>
      <w:r>
        <w:t xml:space="preserve"> of the state machine will provide for each parent in the transition chain to have a reference to the transition. Additionally, when the transition executes, the state path will be parent to child.</w:t>
      </w:r>
    </w:p>
    <w:p w:rsidR="00345580" w:rsidRDefault="00345580" w:rsidP="00345580"/>
    <w:p w:rsidR="00345580" w:rsidRDefault="00345580" w:rsidP="00971786">
      <w:pPr>
        <w:ind w:left="720"/>
      </w:pPr>
      <w:r>
        <w:t>For example, when transition T1 executes, state S2 will activate, then state S2 will then activate its child state S5.</w:t>
      </w:r>
    </w:p>
    <w:p w:rsidR="00345580" w:rsidRDefault="00345580" w:rsidP="00971786">
      <w:pPr>
        <w:ind w:left="720"/>
      </w:pPr>
    </w:p>
    <w:p w:rsidR="009B68BF" w:rsidRDefault="009B68BF" w:rsidP="00971786">
      <w:pPr>
        <w:ind w:left="720"/>
      </w:pPr>
    </w:p>
    <w:sectPr w:rsidR="009B68BF" w:rsidSect="00480D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1786"/>
    <w:rsid w:val="00105D67"/>
    <w:rsid w:val="001C6077"/>
    <w:rsid w:val="003302AD"/>
    <w:rsid w:val="00345580"/>
    <w:rsid w:val="003851AE"/>
    <w:rsid w:val="00386084"/>
    <w:rsid w:val="003D41DD"/>
    <w:rsid w:val="004068AB"/>
    <w:rsid w:val="00480D32"/>
    <w:rsid w:val="004B1827"/>
    <w:rsid w:val="00740745"/>
    <w:rsid w:val="00864E82"/>
    <w:rsid w:val="00971786"/>
    <w:rsid w:val="00977915"/>
    <w:rsid w:val="009B68BF"/>
    <w:rsid w:val="009D45DF"/>
    <w:rsid w:val="00A8114F"/>
    <w:rsid w:val="00AE7D99"/>
    <w:rsid w:val="00C16CBC"/>
    <w:rsid w:val="00DC7F3E"/>
    <w:rsid w:val="00EE53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1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7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Drell</dc:creator>
  <cp:lastModifiedBy>David Drell</cp:lastModifiedBy>
  <cp:revision>2</cp:revision>
  <dcterms:created xsi:type="dcterms:W3CDTF">2011-11-27T21:37:00Z</dcterms:created>
  <dcterms:modified xsi:type="dcterms:W3CDTF">2011-12-03T17:32:00Z</dcterms:modified>
</cp:coreProperties>
</file>