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4dde7fa11b7afa5785b64dd8f86855b71c5ac8"/>
    <w:p>
      <w:pPr>
        <w:pStyle w:val="Heading1"/>
      </w:pPr>
      <w:r>
        <w:t xml:space="preserve">Review Documentazione BR Agency Desk Monitoraggio V6</w:t>
      </w:r>
    </w:p>
    <w:p>
      <w:pPr>
        <w:pStyle w:val="FirstParagraph"/>
      </w:pPr>
      <w:r>
        <w:t xml:space="preserve">Data review:</w:t>
      </w:r>
      <w:r>
        <w:t xml:space="preserve"> </w:t>
      </w:r>
      <w:r>
        <w:rPr>
          <w:rStyle w:val="VerbatimChar"/>
        </w:rPr>
        <w:t xml:space="preserve">2026-04-28</w:t>
      </w:r>
    </w:p>
    <w:p>
      <w:pPr>
        <w:pStyle w:val="BodyText"/>
      </w:pPr>
      <w:r>
        <w:t xml:space="preserve">Documentazione analizzata: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 - Agency Desk Monitoraggio V6.docx</w:t>
      </w:r>
      <w:r>
        <w:t xml:space="preserve"> </w:t>
      </w:r>
      <w:r>
        <w:t xml:space="preserve">(convertito in MD)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202604_Macchina Stati Monitoring_v1.xlsx</w:t>
      </w:r>
      <w:r>
        <w:t xml:space="preserve"> </w:t>
      </w:r>
      <w:r>
        <w:t xml:space="preserve">(convertito in MD)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202604_Deck Mockup_Monitoraggio_v10.pptx</w:t>
      </w:r>
      <w:r>
        <w:t xml:space="preserve"> </w:t>
      </w:r>
      <w:r>
        <w:t xml:space="preserve">(convertito in MD)</w:t>
      </w:r>
    </w:p>
    <w:p>
      <w:pPr>
        <w:pStyle w:val="BodyText"/>
      </w:pPr>
      <w:r>
        <w:t xml:space="preserve">Codebase verificati:</w:t>
      </w:r>
      <w:r>
        <w:t xml:space="preserve"> </w:t>
      </w:r>
      <w:r>
        <w:t xml:space="preserve">- BE (Ba-back-end) -&gt;</w:t>
      </w:r>
      <w:r>
        <w:t xml:space="preserve"> </w:t>
      </w:r>
      <w:r>
        <w:rPr>
          <w:rStyle w:val="VerbatimChar"/>
        </w:rPr>
        <w:t xml:space="preserve">C:\Users\diuliano\Progetti\Banca_Agente\Ba-back-end</w:t>
      </w:r>
      <w:r>
        <w:t xml:space="preserve"> </w:t>
      </w:r>
      <w:r>
        <w:t xml:space="preserve">- FE (Ba-web) -&gt;</w:t>
      </w:r>
      <w:r>
        <w:t xml:space="preserve"> </w:t>
      </w:r>
      <w:r>
        <w:rPr>
          <w:rStyle w:val="VerbatimChar"/>
        </w:rPr>
        <w:t xml:space="preserve">C:\Users\diuliano\Progetti\Banca_Agente\Ba-web</w:t>
      </w:r>
      <w:r>
        <w:t xml:space="preserve"> </w:t>
      </w:r>
      <w:r>
        <w:t xml:space="preserve">- DM (Ba-document-manager) -&gt;</w:t>
      </w:r>
      <w:r>
        <w:t xml:space="preserve"> </w:t>
      </w:r>
      <w:r>
        <w:rPr>
          <w:rStyle w:val="VerbatimChar"/>
        </w:rPr>
        <w:t xml:space="preserve">C:\Users\diuliano\Progetti\Banca_Agente\Ba-document-manager</w:t>
      </w:r>
      <w:r>
        <w:t xml:space="preserve"> </w:t>
      </w:r>
      <w:r>
        <w:t xml:space="preserve">- EM (Ba-email-manager) -&gt;</w:t>
      </w:r>
      <w:r>
        <w:t xml:space="preserve"> </w:t>
      </w:r>
      <w:r>
        <w:rPr>
          <w:rStyle w:val="VerbatimChar"/>
        </w:rPr>
        <w:t xml:space="preserve">C:\Users\diuliano\Progetti\Banca_Agente\Ba-email-manager</w:t>
      </w:r>
    </w:p>
    <w:bookmarkStart w:id="9" w:name="esito-sintetico"/>
    <w:p>
      <w:pPr>
        <w:pStyle w:val="Heading2"/>
      </w:pPr>
      <w:r>
        <w:t xml:space="preserve">Esito sintetico</w:t>
      </w:r>
    </w:p>
    <w:p>
      <w:pPr>
        <w:pStyle w:val="FirstParagraph"/>
      </w:pPr>
      <w:r>
        <w:t xml:space="preserve">La documentazione descrive un modulo complesso e articolato (monitoraggio covenant con macchina a stati multi-livello, flussi ISP/Deloitte, spread, mailing list, dashboard). La qualita’ complessiva e’</w:t>
      </w:r>
      <w:r>
        <w:t xml:space="preserve"> </w:t>
      </w:r>
      <w:r>
        <w:rPr>
          <w:b/>
          <w:bCs/>
        </w:rPr>
        <w:t xml:space="preserve">media</w:t>
      </w:r>
      <w:r>
        <w:t xml:space="preserve">: la struttura e’ chiara e i flussi principali sono ben descritti, ma sono presenti contraddizioni significative sul formato ID (tre formati diversi), ambiguita’ sulla macchina stati (versione</w:t>
      </w:r>
      <w:r>
        <w:t xml:space="preserve"> </w:t>
      </w:r>
      <w:r>
        <w:t xml:space="preserve">“old”</w:t>
      </w:r>
      <w:r>
        <w:t xml:space="preserve"> </w:t>
      </w:r>
      <w:r>
        <w:t xml:space="preserve">vs corrente senza indicazione di quale sia autorevole), sezioni incomplete (placeholder interni non rimossi), e disallineamenti sistematici tra BR, mockup e codice esistente.</w:t>
      </w:r>
    </w:p>
    <w:p>
      <w:pPr>
        <w:pStyle w:val="BodyText"/>
      </w:pPr>
      <w:r>
        <w:t xml:space="preserve">Problemi trovati:</w:t>
      </w:r>
      <w:r>
        <w:t xml:space="preserve"> </w:t>
      </w:r>
      <w:r>
        <w:rPr>
          <w:b/>
          <w:bCs/>
        </w:rPr>
        <w:t xml:space="preserve">21 totali (5 bloccanti, 16 non bloccanti)</w:t>
      </w:r>
    </w:p>
    <w:p>
      <w:r>
        <w:pict>
          <v:rect style="width:0;height:1.5pt" o:hralign="center" o:hrstd="t" o:hr="t"/>
        </w:pict>
      </w:r>
    </w:p>
    <w:bookmarkEnd w:id="9"/>
    <w:bookmarkStart w:id="33" w:name="parte-1-per-il-team-funzionale"/>
    <w:p>
      <w:pPr>
        <w:pStyle w:val="Heading2"/>
      </w:pPr>
      <w:r>
        <w:t xml:space="preserve">Parte 1 – Per il team funzionale</w:t>
      </w:r>
    </w:p>
    <w:p>
      <w:pPr>
        <w:pStyle w:val="FirstParagraph"/>
      </w:pPr>
      <w:r>
        <w:t xml:space="preserve">Questa sezione elenca i punti che richiedono chiarimento o correzione nella documentazione.</w:t>
      </w:r>
    </w:p>
    <w:bookmarkStart w:id="15" w:name="problemi-bloccanti"/>
    <w:p>
      <w:pPr>
        <w:pStyle w:val="Heading3"/>
      </w:pPr>
      <w:r>
        <w:t xml:space="preserve">Problemi bloccanti</w:t>
      </w:r>
    </w:p>
    <w:p>
      <w:pPr>
        <w:pStyle w:val="FirstParagraph"/>
      </w:pPr>
      <w:r>
        <w:t xml:space="preserve">Questi impediscono una pianificazione affidabile.</w:t>
      </w:r>
    </w:p>
    <w:bookmarkStart w:id="10" w:name="X50ba48cadd3f0dc25e9254041368fa00d467b33"/>
    <w:p>
      <w:pPr>
        <w:pStyle w:val="Heading4"/>
      </w:pPr>
      <w:r>
        <w:t xml:space="preserve">1. Formato ID Evento di Monitoraggio contraddittorio nel BR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Categoria</w:t>
      </w:r>
      <w:r>
        <w:t xml:space="preserve">: Incoerenza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Bloccante</w:t>
      </w:r>
      <w:r>
        <w:t xml:space="preserve">: Si →</w:t>
      </w:r>
      <w:r>
        <w:t xml:space="preserve"> </w:t>
      </w:r>
      <w:r>
        <w:rPr>
          <w:b/>
          <w:bCs/>
        </w:rPr>
        <w:t xml:space="preserve">RISOLTO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Dove</w:t>
      </w:r>
      <w:r>
        <w:t xml:space="preserve">: BR V6, Sezione 1 (righe 184-282)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Problema</w:t>
      </w:r>
      <w:r>
        <w:t xml:space="preserve">: Il BR utilizza</w:t>
      </w:r>
      <w:r>
        <w:t xml:space="preserve"> </w:t>
      </w:r>
      <w:r>
        <w:rPr>
          <w:b/>
          <w:bCs/>
        </w:rPr>
        <w:t xml:space="preserve">due formati ID diversi</w:t>
      </w:r>
      <w:r>
        <w:t xml:space="preserve"> </w:t>
      </w:r>
      <w:r>
        <w:t xml:space="preserve">per gli eventi di monitoraggio nella stessa sezione:</w:t>
      </w:r>
    </w:p>
    <w:p>
      <w:pPr>
        <w:pStyle w:val="Compact"/>
        <w:numPr>
          <w:ilvl w:val="1"/>
          <w:numId w:val="1002"/>
        </w:numPr>
      </w:pPr>
      <w:r>
        <w:t xml:space="preserve">Nella tabella esempio (riga 184-260):</w:t>
      </w:r>
      <w:r>
        <w:t xml:space="preserve"> </w:t>
      </w:r>
      <w:r>
        <w:rPr>
          <w:rStyle w:val="VerbatimChar"/>
        </w:rPr>
        <w:t xml:space="preserve">P1C2M1</w:t>
      </w:r>
      <w:r>
        <w:t xml:space="preserve">,</w:t>
      </w:r>
      <w:r>
        <w:t xml:space="preserve"> </w:t>
      </w:r>
      <w:r>
        <w:rPr>
          <w:rStyle w:val="VerbatimChar"/>
        </w:rPr>
        <w:t xml:space="preserve">P1C2M2</w:t>
      </w:r>
      <w:r>
        <w:t xml:space="preserve">, ecc. (P=Pratica, C=Covenant, M=Monitoraggio)</w:t>
      </w:r>
    </w:p>
    <w:p>
      <w:pPr>
        <w:pStyle w:val="Compact"/>
        <w:numPr>
          <w:ilvl w:val="1"/>
          <w:numId w:val="1002"/>
        </w:numPr>
      </w:pPr>
      <w:r>
        <w:t xml:space="preserve">Nella definizione strutturata (riga 270-282):</w:t>
      </w:r>
      <w:r>
        <w:t xml:space="preserve"> </w:t>
      </w:r>
      <w:r>
        <w:rPr>
          <w:rStyle w:val="VerbatimChar"/>
        </w:rPr>
        <w:t xml:space="preserve">M1C1E1</w:t>
      </w:r>
      <w:r>
        <w:t xml:space="preserve">,</w:t>
      </w:r>
      <w:r>
        <w:t xml:space="preserve"> </w:t>
      </w:r>
      <w:r>
        <w:rPr>
          <w:rStyle w:val="VerbatimChar"/>
        </w:rPr>
        <w:t xml:space="preserve">M1C1E2</w:t>
      </w:r>
      <w:r>
        <w:t xml:space="preserve"> </w:t>
      </w:r>
      <w:r>
        <w:t xml:space="preserve">(M=Monitoraggio pratica, C=Covenant, E=Evento)</w:t>
      </w:r>
    </w:p>
    <w:p>
      <w:pPr>
        <w:pStyle w:val="Compact"/>
        <w:numPr>
          <w:ilvl w:val="0"/>
          <w:numId w:val="1000"/>
        </w:numPr>
      </w:pPr>
      <w:r>
        <w:t xml:space="preserve">Inoltre, la sezione 8.5.3 (riga 1639) usa</w:t>
      </w:r>
      <w:r>
        <w:t xml:space="preserve"> </w:t>
      </w:r>
      <w:r>
        <w:rPr>
          <w:rStyle w:val="VerbatimChar"/>
        </w:rPr>
        <w:t xml:space="preserve">P3C2M4</w:t>
      </w:r>
      <w:r>
        <w:t xml:space="preserve"> </w:t>
      </w:r>
      <w:r>
        <w:t xml:space="preserve">e la sezione 8.6 (riga 1668) usa il prefisso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per le pratiche invece di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Impatto</w:t>
      </w:r>
      <w:r>
        <w:t xml:space="preserve">: Senza un formato ID univoco e coerente, non e’ possibile progettare il modello dati, le API, e la UI. Ogni riferimento a ID nel sistema sarebbe ambiguo.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Domanda per il funzionale</w:t>
      </w:r>
      <w:r>
        <w:t xml:space="preserve">: Qual e’ il formato ID definitivo? Dalla definizione strutturata sembra essere</w:t>
      </w:r>
      <w:r>
        <w:t xml:space="preserve"> </w:t>
      </w:r>
      <w:r>
        <w:rPr>
          <w:rStyle w:val="VerbatimChar"/>
        </w:rPr>
        <w:t xml:space="preserve">M{n}C{n}E{n}</w:t>
      </w:r>
      <w:r>
        <w:t xml:space="preserve"> </w:t>
      </w:r>
      <w:r>
        <w:t xml:space="preserve">(es. M1C1E1). Confermate che la tabella esempio a riga 184 (P1C2M1) e’ un refuso da correggere?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Risposta del funzionale</w:t>
      </w:r>
      <w:r>
        <w:t xml:space="preserve">: Il formato ID Evento di Monitoraggio da utilizzare e’ M{n}C{n}E{n} (es. M1C1E1).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risposta</w:t>
      </w:r>
      <w:r>
        <w:t xml:space="preserve">: 2026-04-30</w:t>
      </w:r>
    </w:p>
    <w:bookmarkEnd w:id="10"/>
    <w:bookmarkStart w:id="11" w:name="Xfc6e035556da2c2ccecbfe6b9166b14fdd269e4"/>
    <w:p>
      <w:pPr>
        <w:pStyle w:val="Heading4"/>
      </w:pPr>
      <w:r>
        <w:t xml:space="preserve">2. Macchina stati: versione</w:t>
      </w:r>
      <w:r>
        <w:t xml:space="preserve"> </w:t>
      </w:r>
      <w:r>
        <w:t xml:space="preserve">“old”</w:t>
      </w:r>
      <w:r>
        <w:t xml:space="preserve"> </w:t>
      </w:r>
      <w:r>
        <w:t xml:space="preserve">vs corrente – quale e’ autorevole?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Categoria</w:t>
      </w:r>
      <w:r>
        <w:t xml:space="preserve">: Ambiguita’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Bloccante</w:t>
      </w:r>
      <w:r>
        <w:t xml:space="preserve">: Si →</w:t>
      </w:r>
      <w:r>
        <w:t xml:space="preserve"> </w:t>
      </w:r>
      <w:r>
        <w:rPr>
          <w:b/>
          <w:bCs/>
        </w:rPr>
        <w:t xml:space="preserve">RISOLTO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Dove</w:t>
      </w:r>
      <w:r>
        <w:t xml:space="preserve">: Macchina Stati Monitoring v1.xlsx, sheet</w:t>
      </w:r>
      <w:r>
        <w:t xml:space="preserve"> </w:t>
      </w:r>
      <w:r>
        <w:t xml:space="preserve">“Overview Stati (old)”</w:t>
      </w:r>
      <w:r>
        <w:t xml:space="preserve"> </w:t>
      </w:r>
      <w:r>
        <w:t xml:space="preserve">e sheet</w:t>
      </w:r>
      <w:r>
        <w:t xml:space="preserve"> </w:t>
      </w:r>
      <w:r>
        <w:t xml:space="preserve">“Pratica di Monitoraggio (old)”</w:t>
      </w:r>
      <w:r>
        <w:t xml:space="preserve"> </w:t>
      </w:r>
      <w:r>
        <w:t xml:space="preserve">vs sheet</w:t>
      </w:r>
      <w:r>
        <w:t xml:space="preserve"> </w:t>
      </w:r>
      <w:r>
        <w:t xml:space="preserve">“Pratica di Monitoraggio”</w:t>
      </w:r>
      <w:r>
        <w:t xml:space="preserve"> </w:t>
      </w:r>
      <w:r>
        <w:t xml:space="preserve">corrente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Problema</w:t>
      </w:r>
      <w:r>
        <w:t xml:space="preserve">: Il file della macchina stati contiene sia tabelle marcate</w:t>
      </w:r>
      <w:r>
        <w:t xml:space="preserve"> </w:t>
      </w:r>
      <w:r>
        <w:t xml:space="preserve">“(old)”</w:t>
      </w:r>
      <w:r>
        <w:t xml:space="preserve"> </w:t>
      </w:r>
      <w:r>
        <w:t xml:space="preserve">sia tabelle senza marcatura. Le differenze sono sostanziali: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Versione</w:t>
      </w:r>
      <w:r>
        <w:rPr>
          <w:b/>
          <w:bCs/>
        </w:rPr>
        <w:t xml:space="preserve"> </w:t>
      </w:r>
      <w:r>
        <w:rPr>
          <w:b/>
          <w:bCs/>
        </w:rPr>
        <w:t xml:space="preserve">“old”</w:t>
      </w:r>
      <w:r>
        <w:t xml:space="preserve"> </w:t>
      </w:r>
      <w:r>
        <w:t xml:space="preserve">per Grey (Pratica Conclusa): si attiva con</w:t>
      </w:r>
      <w:r>
        <w:t xml:space="preserve"> </w:t>
      </w:r>
      <w:r>
        <w:t xml:space="preserve">“Data di scadenza operazione &lt; Today”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assenza di eventi scaduti/fuori soglia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azione manuale</w:t>
      </w:r>
      <w:r>
        <w:t xml:space="preserve"> </w:t>
      </w:r>
      <w:r>
        <w:t xml:space="preserve">“Concludi pratica anticipatamente”</w:t>
      </w:r>
      <w:r>
        <w:t xml:space="preserve"> </w:t>
      </w:r>
      <w:r>
        <w:t xml:space="preserve">– cioe’ include sia la chiusura automatica per data che quella manuale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Versione corrente</w:t>
      </w:r>
      <w:r>
        <w:t xml:space="preserve"> </w:t>
      </w:r>
      <w:r>
        <w:t xml:space="preserve">per Grey: si attiva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con l’azione manuale</w:t>
      </w:r>
      <w:r>
        <w:t xml:space="preserve"> </w:t>
      </w:r>
      <w:r>
        <w:t xml:space="preserve">“Concludi pratica anticipatamente”</w:t>
      </w:r>
    </w:p>
    <w:p>
      <w:pPr>
        <w:pStyle w:val="Compact"/>
        <w:numPr>
          <w:ilvl w:val="1"/>
          <w:numId w:val="1004"/>
        </w:numPr>
      </w:pPr>
      <w:r>
        <w:t xml:space="preserve">Il BR (sezione 2.3, riga 353) dice:</w:t>
      </w:r>
      <w:r>
        <w:t xml:space="preserve"> </w:t>
      </w:r>
      <w:r>
        <w:t xml:space="preserve">“oltre questa data la pratica viene automaticamente chiusa”</w:t>
      </w:r>
      <w:r>
        <w:t xml:space="preserve"> </w:t>
      </w:r>
      <w:r>
        <w:t xml:space="preserve">– che e’ coerente con la versione</w:t>
      </w:r>
      <w:r>
        <w:t xml:space="preserve"> </w:t>
      </w:r>
      <w:r>
        <w:rPr>
          <w:b/>
          <w:bCs/>
        </w:rPr>
        <w:t xml:space="preserve">old</w:t>
      </w:r>
      <w:r>
        <w:t xml:space="preserve">, non con quella corrente.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Impatto</w:t>
      </w:r>
      <w:r>
        <w:t xml:space="preserve">: La logica di chiusura automatica delle pratiche e’ un requisito architetturale fondamentale (scheduler, batch job, notifiche). Implementare la versione sbagliata richiede un rifacimento completo.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Domanda per il funzionale</w:t>
      </w:r>
      <w:r>
        <w:t xml:space="preserve">: La chiusura della pratica per raggiungimento della Termination Date e’ automatica (come descritto nel BR e nella versione</w:t>
      </w:r>
      <w:r>
        <w:t xml:space="preserve"> </w:t>
      </w:r>
      <w:r>
        <w:t xml:space="preserve">“old”</w:t>
      </w:r>
      <w:r>
        <w:t xml:space="preserve"> </w:t>
      </w:r>
      <w:r>
        <w:t xml:space="preserve">della macchina stati) o richiede sempre un’azione manuale dell’utente (come nella versione corrente della macchina stati)?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Risposta del funzionale</w:t>
      </w:r>
      <w:r>
        <w:t xml:space="preserve">: La chiusura di pratica per raggiungimento della Termination Date e’ automatica come descritto nella versione old. Le condizioni che generano la chiusura automatica della pratica sono:</w:t>
      </w:r>
      <w:r>
        <w:t xml:space="preserve"> </w:t>
      </w:r>
      <w:r>
        <w:t xml:space="preserve">“Data di scadenza operazione &lt; Today”</w:t>
      </w:r>
      <w:r>
        <w:t xml:space="preserve"> </w:t>
      </w:r>
      <w:r>
        <w:t xml:space="preserve">e</w:t>
      </w:r>
      <w:r>
        <w:t xml:space="preserve"> </w:t>
      </w:r>
      <w:r>
        <w:t xml:space="preserve">“Non vi sono eventi di monitoraggio che presentano status Monitoraggio Scaduto / Monitoraggio Fuori Soglia”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risposta</w:t>
      </w:r>
      <w:r>
        <w:t xml:space="preserve">: 2026-04-30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Risposta del funzionale (aggiornamento)</w:t>
      </w:r>
      <w:r>
        <w:t xml:space="preserve">: Le condizioni per la chiusura automatica sono state precisate: (1)</w:t>
      </w:r>
      <w:r>
        <w:t xml:space="preserve"> </w:t>
      </w:r>
      <w:r>
        <w:t xml:space="preserve">“Data di scadenza operazione &lt; Today”</w:t>
      </w:r>
      <w:r>
        <w:t xml:space="preserve">, (2)</w:t>
      </w:r>
      <w:r>
        <w:t xml:space="preserve"> </w:t>
      </w:r>
      <w:r>
        <w:t xml:space="preserve">“Data di scadenza piu’ lontana tra gli eventi di monitoraggio &lt; Today”</w:t>
      </w:r>
      <w:r>
        <w:t xml:space="preserve">, (3)</w:t>
      </w:r>
      <w:r>
        <w:t xml:space="preserve"> </w:t>
      </w:r>
      <w:r>
        <w:t xml:space="preserve">“Non vi sono eventi di monitoraggio che presentano status Monitoraggio Scaduto / Monitoraggio Fuori Soglia / Monitoraggio in Scadenza”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aggiornamento</w:t>
      </w:r>
      <w:r>
        <w:t xml:space="preserve">: 2026-05-05</w:t>
      </w:r>
    </w:p>
    <w:bookmarkEnd w:id="11"/>
    <w:bookmarkStart w:id="12" w:name="X4203d53641593a24a2362f274798e09493119bd"/>
    <w:p>
      <w:pPr>
        <w:pStyle w:val="Heading4"/>
      </w:pPr>
      <w:r>
        <w:t xml:space="preserve">3. Sezione 3.2.7 incompleta – placeholder interno non rimosso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Categoria</w:t>
      </w:r>
      <w:r>
        <w:t xml:space="preserve">: Gap funzionale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Bloccante</w:t>
      </w:r>
      <w:r>
        <w:t xml:space="preserve">: Si →</w:t>
      </w:r>
      <w:r>
        <w:t xml:space="preserve"> </w:t>
      </w:r>
      <w:r>
        <w:rPr>
          <w:b/>
          <w:bCs/>
        </w:rPr>
        <w:t xml:space="preserve">RISOLTO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Dove</w:t>
      </w:r>
      <w:r>
        <w:t xml:space="preserve">: BR V6, Sezione 3.2.7, punto 10-12 (righe 538-545)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Problema</w:t>
      </w:r>
      <w:r>
        <w:t xml:space="preserve">: I punti 10-12 della tabella</w:t>
      </w:r>
      <w:r>
        <w:t xml:space="preserve"> </w:t>
      </w:r>
      <w:r>
        <w:t xml:space="preserve">“Tutti i Covenant”</w:t>
      </w:r>
      <w:r>
        <w:t xml:space="preserve"> </w:t>
      </w:r>
      <w:r>
        <w:t xml:space="preserve">contengono un placeholder interno: il punto 11 dice letteralmente</w:t>
      </w:r>
      <w:r>
        <w:t xml:space="preserve"> </w:t>
      </w:r>
      <w:r>
        <w:rPr>
          <w:b/>
          <w:bCs/>
        </w:rPr>
        <w:t xml:space="preserve">“Mettiamo quello inserito nella macchina stati”</w:t>
      </w:r>
      <w:r>
        <w:t xml:space="preserve"> </w:t>
      </w:r>
      <w:r>
        <w:t xml:space="preserve">invece di definire la logica dello status. A seguire, i punti 11-12 iniziano a elencare le logiche di stato ma senza la struttura di lista numerata coerente col resto della tabella (i punti 10-13 dovrebbero essere colonne della tabella, non una sotto-lista di regole di stato).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Impatto</w:t>
      </w:r>
      <w:r>
        <w:t xml:space="preserve">: La logica di stato del covenant a livello di tabella</w:t>
      </w:r>
      <w:r>
        <w:t xml:space="preserve"> </w:t>
      </w:r>
      <w:r>
        <w:t xml:space="preserve">“Tutti i Covenant”</w:t>
      </w:r>
      <w:r>
        <w:t xml:space="preserve"> </w:t>
      </w:r>
      <w:r>
        <w:t xml:space="preserve">non e’ definita nel BR. La macchina stati la definisce a livello di Evento, non di Covenant aggregato.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Domanda per il funzionale</w:t>
      </w:r>
      <w:r>
        <w:t xml:space="preserve">: Potete completare la sezione 3.2.7 punto 10</w:t>
      </w:r>
      <w:r>
        <w:t xml:space="preserve"> </w:t>
      </w:r>
      <w:r>
        <w:t xml:space="preserve">“Status Monitoraggio”</w:t>
      </w:r>
      <w:r>
        <w:t xml:space="preserve"> </w:t>
      </w:r>
      <w:r>
        <w:t xml:space="preserve">con la definizione esatta delle regole? In particolare: lo stato del covenant nella tabella</w:t>
      </w:r>
      <w:r>
        <w:t xml:space="preserve"> </w:t>
      </w:r>
      <w:r>
        <w:t xml:space="preserve">“Tutti i Covenant”</w:t>
      </w:r>
      <w:r>
        <w:t xml:space="preserve"> </w:t>
      </w:r>
      <w:r>
        <w:t xml:space="preserve">segue la stessa logica di priorita’ dello stato Pratica (Fuori Soglia &gt; Scaduto &gt; In Scadenza &gt; Da attenzionare &gt; OK) applicata ai suoi eventi?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Risposta del funzionale</w:t>
      </w:r>
      <w:r>
        <w:t xml:space="preserve">: Lo Status Monitoraggio per i singoli Covenant segue le medesime logiche riportate nel file</w:t>
      </w:r>
      <w:r>
        <w:t xml:space="preserve"> </w:t>
      </w:r>
      <w:r>
        <w:t xml:space="preserve">“202604_Macchina Stati Monitoring_v1.xlsx”</w:t>
      </w:r>
      <w:r>
        <w:t xml:space="preserve"> </w:t>
      </w:r>
      <w:r>
        <w:t xml:space="preserve">– Sheet</w:t>
      </w:r>
      <w:r>
        <w:t xml:space="preserve"> </w:t>
      </w:r>
      <w:r>
        <w:t xml:space="preserve">“Pratica di Monitoraggio”</w:t>
      </w:r>
      <w:r>
        <w:t xml:space="preserve"> </w:t>
      </w:r>
      <w:r>
        <w:t xml:space="preserve">in quanto influenzato dai singoli Eventi di Monitoraggio.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risposta</w:t>
      </w:r>
      <w:r>
        <w:t xml:space="preserve">: 2026-04-30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Risposta del funzionale (aggiornamento)</w:t>
      </w:r>
      <w:r>
        <w:t xml:space="preserve">: Lo Status Monitoraggio per i singoli Covenant segue le medesime logiche di priorita’ dello stato pratica sulla base degli eventi di monitoraggio del covenant di riferimento. Il funzionale ha aggiornato la macchina a stati:</w:t>
      </w:r>
      <w:r>
        <w:t xml:space="preserve"> </w:t>
      </w:r>
      <w:r>
        <w:rPr>
          <w:rStyle w:val="VerbatimChar"/>
        </w:rPr>
        <w:t xml:space="preserve">202604_Macchina Stati Monitoring_v2.xlsx</w:t>
      </w:r>
      <w:r>
        <w:t xml:space="preserve"> </w:t>
      </w:r>
      <w:r>
        <w:t xml:space="preserve">– nuovo sheet</w:t>
      </w:r>
      <w:r>
        <w:t xml:space="preserve"> </w:t>
      </w:r>
      <w:r>
        <w:t xml:space="preserve">“Singolo Covenant”</w:t>
      </w:r>
      <w:r>
        <w:t xml:space="preserve"> </w:t>
      </w:r>
      <w:r>
        <w:t xml:space="preserve">con le logiche specifiche.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aggiornamento</w:t>
      </w:r>
      <w:r>
        <w:t xml:space="preserve">: 2026-05-05</w:t>
      </w:r>
    </w:p>
    <w:bookmarkEnd w:id="12"/>
    <w:bookmarkStart w:id="13" w:name="Xd7c9297edb5e23bc056034ef7a51b53f47ae0d2"/>
    <w:p>
      <w:pPr>
        <w:pStyle w:val="Heading4"/>
      </w:pPr>
      <w:r>
        <w:t xml:space="preserve">4. Semaforo: 4 o 6 colori? Incoerenza tra filtri e tabella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Categoria</w:t>
      </w:r>
      <w:r>
        <w:t xml:space="preserve">: Incoerenza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Bloccante</w:t>
      </w:r>
      <w:r>
        <w:t xml:space="preserve">: Si →</w:t>
      </w:r>
      <w:r>
        <w:t xml:space="preserve"> </w:t>
      </w:r>
      <w:r>
        <w:rPr>
          <w:b/>
          <w:bCs/>
        </w:rPr>
        <w:t xml:space="preserve">RISOLTO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Dove</w:t>
      </w:r>
      <w:r>
        <w:t xml:space="preserve">: BR V6, Sezione 2.2 vs Sezione 2.3 (righe 311 vs 346-351)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Problema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Sezione 2.2</w:t>
      </w:r>
      <w:r>
        <w:t xml:space="preserve"> </w:t>
      </w:r>
      <w:r>
        <w:t xml:space="preserve">(Filtri): elenca 6 stati con colori distinti: OK (verde), In Scadenza (giallo), Da attenzionare (arancione), Scaduto (rosso), Fuori Soglia (rosso scuro), Conclusa (grigio)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Sezione 2.3</w:t>
      </w:r>
      <w:r>
        <w:t xml:space="preserve"> </w:t>
      </w:r>
      <w:r>
        <w:t xml:space="preserve">(Tabella Semaforo): elenca solo 4 colori ma 6 stati, usando lo stesso colore per stati diversi: Giallo per</w:t>
      </w:r>
      <w:r>
        <w:t xml:space="preserve"> </w:t>
      </w:r>
      <w:r>
        <w:t xml:space="preserve">“In scadenza”</w:t>
      </w:r>
      <w:r>
        <w:t xml:space="preserve"> </w:t>
      </w:r>
      <w:r>
        <w:t xml:space="preserve">E</w:t>
      </w:r>
      <w:r>
        <w:t xml:space="preserve"> </w:t>
      </w:r>
      <w:r>
        <w:t xml:space="preserve">“Da attenzionare”</w:t>
      </w:r>
      <w:r>
        <w:t xml:space="preserve">, Rosso per</w:t>
      </w:r>
      <w:r>
        <w:t xml:space="preserve"> </w:t>
      </w:r>
      <w:r>
        <w:t xml:space="preserve">“Scaduto”</w:t>
      </w:r>
      <w:r>
        <w:t xml:space="preserve"> </w:t>
      </w:r>
      <w:r>
        <w:t xml:space="preserve">E</w:t>
      </w:r>
      <w:r>
        <w:t xml:space="preserve"> </w:t>
      </w:r>
      <w:r>
        <w:t xml:space="preserve">“Fuori soglia”</w:t>
      </w:r>
    </w:p>
    <w:p>
      <w:pPr>
        <w:pStyle w:val="Compact"/>
        <w:numPr>
          <w:ilvl w:val="1"/>
          <w:numId w:val="1007"/>
        </w:numPr>
      </w:pPr>
      <w:r>
        <w:t xml:space="preserve">Se il semaforo usa solo 4 colori, l’utente non puo’ distinguere visivamente</w:t>
      </w:r>
      <w:r>
        <w:t xml:space="preserve"> </w:t>
      </w:r>
      <w:r>
        <w:t xml:space="preserve">“In Scadenza”</w:t>
      </w:r>
      <w:r>
        <w:t xml:space="preserve"> </w:t>
      </w:r>
      <w:r>
        <w:t xml:space="preserve">da</w:t>
      </w:r>
      <w:r>
        <w:t xml:space="preserve"> </w:t>
      </w:r>
      <w:r>
        <w:t xml:space="preserve">“Da attenzionare”</w:t>
      </w:r>
      <w:r>
        <w:t xml:space="preserve">, ne’</w:t>
      </w:r>
      <w:r>
        <w:t xml:space="preserve"> </w:t>
      </w:r>
      <w:r>
        <w:t xml:space="preserve">“Scaduto”</w:t>
      </w:r>
      <w:r>
        <w:t xml:space="preserve"> </w:t>
      </w:r>
      <w:r>
        <w:t xml:space="preserve">da</w:t>
      </w:r>
      <w:r>
        <w:t xml:space="preserve"> </w:t>
      </w:r>
      <w:r>
        <w:t xml:space="preserve">“Fuori Soglia”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I mockup non chiariscono perche’ usano emoji generiche (?) che non mostrano il colore effettivo.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Impatto</w:t>
      </w:r>
      <w:r>
        <w:t xml:space="preserve">: L’implementazione UI e la logica di filtraggio dipendono da questa decisione. Se sono 6 colori, servono 6 classi CSS e 6 valori filtro. Se sono 4, servono label di testo diverse per distinguere stati con stesso colore.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Domanda per il funzionale</w:t>
      </w:r>
      <w:r>
        <w:t xml:space="preserve">: Quanti colori distinti ha il semaforo? Se sono 4 (come nella tabella 2.3), come si distinguono visivamente</w:t>
      </w:r>
      <w:r>
        <w:t xml:space="preserve"> </w:t>
      </w:r>
      <w:r>
        <w:t xml:space="preserve">“In Scadenza”</w:t>
      </w:r>
      <w:r>
        <w:t xml:space="preserve"> </w:t>
      </w:r>
      <w:r>
        <w:t xml:space="preserve">da</w:t>
      </w:r>
      <w:r>
        <w:t xml:space="preserve"> </w:t>
      </w:r>
      <w:r>
        <w:t xml:space="preserve">“Da attenzionare”</w:t>
      </w:r>
      <w:r>
        <w:t xml:space="preserve"> </w:t>
      </w:r>
      <w:r>
        <w:t xml:space="preserve">e</w:t>
      </w:r>
      <w:r>
        <w:t xml:space="preserve"> </w:t>
      </w:r>
      <w:r>
        <w:t xml:space="preserve">“Scaduto”</w:t>
      </w:r>
      <w:r>
        <w:t xml:space="preserve"> </w:t>
      </w:r>
      <w:r>
        <w:t xml:space="preserve">da</w:t>
      </w:r>
      <w:r>
        <w:t xml:space="preserve"> </w:t>
      </w:r>
      <w:r>
        <w:t xml:space="preserve">“Fuori Soglia”</w:t>
      </w:r>
      <w:r>
        <w:t xml:space="preserve">? Tramite label testuale, icona diversa, o il filtro ha semplicemente piu’ opzioni del necessario?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Risposta del funzionale</w:t>
      </w:r>
      <w:r>
        <w:t xml:space="preserve">: Il semaforo ha 4 colori distinti per 6 stati: Verde = OK, Giallo = In scadenza e Da attenzionare, Rosso = Scaduto e Fuori soglia, Grigio = Conclusa. Non vi e’ una distinzione grafica per</w:t>
      </w:r>
      <w:r>
        <w:t xml:space="preserve"> </w:t>
      </w:r>
      <w:r>
        <w:t xml:space="preserve">“In scadenza”</w:t>
      </w:r>
      <w:r>
        <w:t xml:space="preserve"> </w:t>
      </w:r>
      <w:r>
        <w:t xml:space="preserve">vs</w:t>
      </w:r>
      <w:r>
        <w:t xml:space="preserve"> </w:t>
      </w:r>
      <w:r>
        <w:t xml:space="preserve">“Da attenzionare”</w:t>
      </w:r>
      <w:r>
        <w:t xml:space="preserve"> </w:t>
      </w:r>
      <w:r>
        <w:t xml:space="preserve">e per</w:t>
      </w:r>
      <w:r>
        <w:t xml:space="preserve"> </w:t>
      </w:r>
      <w:r>
        <w:t xml:space="preserve">“Scaduto”</w:t>
      </w:r>
      <w:r>
        <w:t xml:space="preserve"> </w:t>
      </w:r>
      <w:r>
        <w:t xml:space="preserve">vs</w:t>
      </w:r>
      <w:r>
        <w:t xml:space="preserve"> </w:t>
      </w:r>
      <w:r>
        <w:t xml:space="preserve">“Fuori Soglia”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risposta</w:t>
      </w:r>
      <w:r>
        <w:t xml:space="preserve">: 2026-04-30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Risposta del funzionale (correzione)</w:t>
      </w:r>
      <w:r>
        <w:t xml:space="preserve">: Il Semaforo ha</w:t>
      </w:r>
      <w:r>
        <w:t xml:space="preserve"> </w:t>
      </w:r>
      <w:r>
        <w:rPr>
          <w:b/>
          <w:bCs/>
        </w:rPr>
        <w:t xml:space="preserve">6 colori distinti</w:t>
      </w:r>
      <w:r>
        <w:t xml:space="preserve"> </w:t>
      </w:r>
      <w:r>
        <w:t xml:space="preserve">per 6 stati: (1) Verde = Monitoraggio OK, (2) Giallo = Monitoraggio In scadenza, (3) Arancione = Monitoraggio Da attenzionare, (4) Rosso = Monitoraggio Scaduto, (5) Rosso scuro = Monitoraggio Fuori soglia, (6) Grigio = Monitoraggio Concluso.</w:t>
      </w:r>
      <w:r>
        <w:t xml:space="preserve"> </w:t>
      </w:r>
      <w:r>
        <w:rPr>
          <w:b/>
          <w:bCs/>
        </w:rPr>
        <w:t xml:space="preserve">Nota</w:t>
      </w:r>
      <w:r>
        <w:t xml:space="preserve">: questa risposta corregge la precedente del 2026-04-30 che indicava 4 colori.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aggiornamento</w:t>
      </w:r>
      <w:r>
        <w:t xml:space="preserve">: 2026-05-05</w:t>
      </w:r>
    </w:p>
    <w:bookmarkEnd w:id="13"/>
    <w:bookmarkStart w:id="14" w:name="Xf92b3a52b2962847130a4e32d970c9036af06e1"/>
    <w:p>
      <w:pPr>
        <w:pStyle w:val="Heading4"/>
      </w:pPr>
      <w:r>
        <w:t xml:space="preserve">5. Assegnazione Utente Deloitte: ereditata dal censimento o auto-assegnata al primo accesso?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Categoria</w:t>
      </w:r>
      <w:r>
        <w:t xml:space="preserve">: Incoerenza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Bloccante</w:t>
      </w:r>
      <w:r>
        <w:t xml:space="preserve">: Si →</w:t>
      </w:r>
      <w:r>
        <w:t xml:space="preserve"> </w:t>
      </w:r>
      <w:r>
        <w:rPr>
          <w:b/>
          <w:bCs/>
        </w:rPr>
        <w:t xml:space="preserve">RISOLTO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Dove</w:t>
      </w:r>
      <w:r>
        <w:t xml:space="preserve">: BR V6, Sezione 1 (riga 105) vs Sezione 8.4.3 (riga 1453)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Problema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Sezione 1:</w:t>
      </w:r>
      <w:r>
        <w:t xml:space="preserve"> </w:t>
      </w:r>
      <w:r>
        <w:t xml:space="preserve">“Gli utenti assegnati alla lavorazione della pratica (Utente ISP e Utente Deloitte) rimarranno i medesimi della pratica di censimento collegata”</w:t>
      </w:r>
    </w:p>
    <w:p>
      <w:pPr>
        <w:pStyle w:val="Compact"/>
        <w:numPr>
          <w:ilvl w:val="1"/>
          <w:numId w:val="1009"/>
        </w:numPr>
      </w:pPr>
      <w:r>
        <w:t xml:space="preserve">Sezione 8.4.3:</w:t>
      </w:r>
      <w:r>
        <w:t xml:space="preserve"> </w:t>
      </w:r>
      <w:r>
        <w:t xml:space="preserve">“nel caso un utente Deloitte non fosse assegnato alla pratica, il primo utente Deloitte che accede alla pratica verra’ assegnato alla stessa”</w:t>
      </w:r>
    </w:p>
    <w:p>
      <w:pPr>
        <w:pStyle w:val="Compact"/>
        <w:numPr>
          <w:ilvl w:val="1"/>
          <w:numId w:val="1009"/>
        </w:numPr>
      </w:pPr>
      <w:r>
        <w:t xml:space="preserve">Se l’utente Deloitte viene sempre ereditato dalla pratica di censimento, il caso</w:t>
      </w:r>
      <w:r>
        <w:t xml:space="preserve"> </w:t>
      </w:r>
      <w:r>
        <w:t xml:space="preserve">“non fosse assegnato”</w:t>
      </w:r>
      <w:r>
        <w:t xml:space="preserve"> </w:t>
      </w:r>
      <w:r>
        <w:t xml:space="preserve">non dovrebbe mai verificarsi.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Impatto</w:t>
      </w:r>
      <w:r>
        <w:t xml:space="preserve">: Logica di assegnazione pratica, permessi di accesso, e logica di</w:t>
      </w:r>
      <w:r>
        <w:t xml:space="preserve"> </w:t>
      </w:r>
      <w:r>
        <w:t xml:space="preserve">“IN CARICO A”</w:t>
      </w:r>
      <w:r>
        <w:t xml:space="preserve"> </w:t>
      </w:r>
      <w:r>
        <w:t xml:space="preserve">dipendono da questa definizione.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Domanda per il funzionale</w:t>
      </w:r>
      <w:r>
        <w:t xml:space="preserve">: L’utente Deloitte e’ sempre ereditato dalla pratica di censimento? O c’e’ un caso in cui la pratica di monitoraggio viene creata senza Utente Deloitte e serve l’auto-assegnazione al primo accesso?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Risposta del funzionale</w:t>
      </w:r>
      <w:r>
        <w:t xml:space="preserve">: Per quanto concerne la Wave 3/3bis l’utente Deloitte incaricato della lavorazione della pratica di monitoraggio e’ il medesimo della corrispondente pratica di censimento, senza necessita’ di una nuova assegnazione.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risposta</w:t>
      </w:r>
      <w:r>
        <w:t xml:space="preserve">: 2026-04-30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2" w:name="problemi-non-bloccanti"/>
    <w:p>
      <w:pPr>
        <w:pStyle w:val="Heading3"/>
      </w:pPr>
      <w:r>
        <w:t xml:space="preserve">Problemi non bloccanti</w:t>
      </w:r>
    </w:p>
    <w:bookmarkStart w:id="16" w:name="X507e1ac772ad6f2b6e68025cff759c988b11744"/>
    <w:p>
      <w:pPr>
        <w:pStyle w:val="Heading4"/>
      </w:pPr>
      <w:r>
        <w:t xml:space="preserve">1. Formula</w:t>
      </w:r>
      <w:r>
        <w:t xml:space="preserve"> </w:t>
      </w:r>
      <w:r>
        <w:t xml:space="preserve">“Giorni al prossimo monitoraggio”</w:t>
      </w:r>
      <w:r>
        <w:t xml:space="preserve"> </w:t>
      </w:r>
      <w:r>
        <w:t xml:space="preserve">– segno e direzione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Categoria</w:t>
      </w:r>
      <w:r>
        <w:t xml:space="preserve">: Ambiguita’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Dove</w:t>
      </w:r>
      <w:r>
        <w:t xml:space="preserve">: BR V6, Sezione 3.3.1 (riga 567), Sezione 5.2 (riga 982), Sezione 8.5.3 (riga 1642)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Problema</w:t>
      </w:r>
      <w:r>
        <w:t xml:space="preserve">: La formula e’ descritta come</w:t>
      </w:r>
      <w:r>
        <w:t xml:space="preserve"> </w:t>
      </w:r>
      <w:r>
        <w:t xml:space="preserve">“Today - Scadenza Monitoraggio”</w:t>
      </w:r>
      <w:r>
        <w:t xml:space="preserve"> </w:t>
      </w:r>
      <w:r>
        <w:t xml:space="preserve">(sez. 3.3.1 e 8.5.3). Con questa formula:</w:t>
      </w:r>
    </w:p>
    <w:p>
      <w:pPr>
        <w:pStyle w:val="Compact"/>
        <w:numPr>
          <w:ilvl w:val="1"/>
          <w:numId w:val="1011"/>
        </w:numPr>
      </w:pPr>
      <w:r>
        <w:t xml:space="preserve">Per monitoraggi</w:t>
      </w:r>
      <w:r>
        <w:t xml:space="preserve"> </w:t>
      </w:r>
      <w:r>
        <w:rPr>
          <w:b/>
          <w:bCs/>
        </w:rPr>
        <w:t xml:space="preserve">scaduti</w:t>
      </w:r>
      <w:r>
        <w:t xml:space="preserve"> </w:t>
      </w:r>
      <w:r>
        <w:t xml:space="preserve">(scadenza nel passato): il risultato e’</w:t>
      </w:r>
      <w:r>
        <w:t xml:space="preserve"> </w:t>
      </w:r>
      <w:r>
        <w:rPr>
          <w:b/>
          <w:bCs/>
        </w:rPr>
        <w:t xml:space="preserve">positivo</w:t>
      </w:r>
      <w:r>
        <w:t xml:space="preserve"> </w:t>
      </w:r>
      <w:r>
        <w:t xml:space="preserve">(es. Today=28/04 - Scadenza=01/03 = +58 giorni)</w:t>
      </w:r>
    </w:p>
    <w:p>
      <w:pPr>
        <w:pStyle w:val="Compact"/>
        <w:numPr>
          <w:ilvl w:val="1"/>
          <w:numId w:val="1011"/>
        </w:numPr>
      </w:pPr>
      <w:r>
        <w:t xml:space="preserve">Per monitoraggi</w:t>
      </w:r>
      <w:r>
        <w:t xml:space="preserve"> </w:t>
      </w:r>
      <w:r>
        <w:rPr>
          <w:b/>
          <w:bCs/>
        </w:rPr>
        <w:t xml:space="preserve">in scadenza</w:t>
      </w:r>
      <w:r>
        <w:t xml:space="preserve"> </w:t>
      </w:r>
      <w:r>
        <w:t xml:space="preserve">(scadenza nel futuro): il risultato e’</w:t>
      </w:r>
      <w:r>
        <w:t xml:space="preserve"> </w:t>
      </w:r>
      <w:r>
        <w:rPr>
          <w:b/>
          <w:bCs/>
        </w:rPr>
        <w:t xml:space="preserve">negativo</w:t>
      </w:r>
      <w:r>
        <w:t xml:space="preserve"> </w:t>
      </w:r>
      <w:r>
        <w:t xml:space="preserve">(es. Today=28/04 - Scadenza=05/05 = -7 giorni)</w:t>
      </w:r>
    </w:p>
    <w:p>
      <w:pPr>
        <w:pStyle w:val="Compact"/>
        <w:numPr>
          <w:ilvl w:val="0"/>
          <w:numId w:val="1000"/>
        </w:numPr>
      </w:pPr>
      <w:r>
        <w:t xml:space="preserve">Ma gli</w:t>
      </w:r>
      <w:r>
        <w:t xml:space="preserve"> </w:t>
      </w:r>
      <w:r>
        <w:rPr>
          <w:b/>
          <w:bCs/>
        </w:rPr>
        <w:t xml:space="preserve">esempi nel BR mostrano il contrario</w:t>
      </w:r>
      <w:r>
        <w:t xml:space="preserve">: monitoraggi scaduti con valori negativi (</w:t>
      </w:r>
      <w:r>
        <w:t xml:space="preserve">“-45”</w:t>
      </w:r>
      <w:r>
        <w:t xml:space="preserve">,</w:t>
      </w:r>
      <w:r>
        <w:t xml:space="preserve"> </w:t>
      </w:r>
      <w:r>
        <w:t xml:space="preserve">“-5”</w:t>
      </w:r>
      <w:r>
        <w:t xml:space="preserve">) e monitoraggi in scadenza con valori positivi (</w:t>
      </w:r>
      <w:r>
        <w:t xml:space="preserve">“10”</w:t>
      </w:r>
      <w:r>
        <w:t xml:space="preserve">,</w:t>
      </w:r>
      <w:r>
        <w:t xml:space="preserve"> </w:t>
      </w:r>
      <w:r>
        <w:t xml:space="preserve">“6”</w:t>
      </w:r>
      <w:r>
        <w:t xml:space="preserve">,</w:t>
      </w:r>
      <w:r>
        <w:t xml:space="preserve"> </w:t>
      </w:r>
      <w:r>
        <w:t xml:space="preserve">“8”</w:t>
      </w:r>
      <w:r>
        <w:t xml:space="preserve">). La formula corretta per matchare gli esempi sarebbe</w:t>
      </w:r>
      <w:r>
        <w:t xml:space="preserve"> </w:t>
      </w:r>
      <w:r>
        <w:rPr>
          <w:b/>
          <w:bCs/>
        </w:rPr>
        <w:t xml:space="preserve">Scadenza - Today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Domanda per il funzionale</w:t>
      </w:r>
      <w:r>
        <w:t xml:space="preserve">: La formula corretta e’</w:t>
      </w:r>
      <w:r>
        <w:t xml:space="preserve"> </w:t>
      </w:r>
      <w:r>
        <w:t xml:space="preserve">“Scadenza - Today”</w:t>
      </w:r>
      <w:r>
        <w:t xml:space="preserve"> </w:t>
      </w:r>
      <w:r>
        <w:t xml:space="preserve">(valori positivi = giorni rimanenti, negativi = giorni di ritardo)?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Risposta del funzionale</w:t>
      </w:r>
      <w:r>
        <w:t xml:space="preserve">: Applichiamo la logica suggerita, invertendo la formula in</w:t>
      </w:r>
      <w:r>
        <w:t xml:space="preserve"> </w:t>
      </w:r>
      <w:r>
        <w:rPr>
          <w:b/>
          <w:bCs/>
        </w:rPr>
        <w:t xml:space="preserve">Giorni al prossimo monitoraggio = Data di scadenza - Today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16"/>
    <w:bookmarkStart w:id="17" w:name="in-carico-a-caso-non-coperto"/>
    <w:p>
      <w:pPr>
        <w:pStyle w:val="Heading4"/>
      </w:pPr>
      <w:r>
        <w:t xml:space="preserve">2.</w:t>
      </w:r>
      <w:r>
        <w:t xml:space="preserve"> </w:t>
      </w:r>
      <w:r>
        <w:t xml:space="preserve">“IN CARICO A”</w:t>
      </w:r>
      <w:r>
        <w:t xml:space="preserve"> </w:t>
      </w:r>
      <w:r>
        <w:t xml:space="preserve">– caso non coperto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Categoria</w:t>
      </w:r>
      <w:r>
        <w:t xml:space="preserve">: Gap funzionale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Dove</w:t>
      </w:r>
      <w:r>
        <w:t xml:space="preserve">: BR V6, Sezione 3.2.1 (righe 406-417) e 4.2.1 (righe 756-769)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Problema</w:t>
      </w:r>
      <w:r>
        <w:t xml:space="preserve">: La logica definisce</w:t>
      </w:r>
      <w:r>
        <w:t xml:space="preserve"> </w:t>
      </w:r>
      <w:r>
        <w:t xml:space="preserve">“IN CARICO A”</w:t>
      </w:r>
      <w:r>
        <w:t xml:space="preserve"> </w:t>
      </w:r>
      <w:r>
        <w:t xml:space="preserve">come:</w:t>
      </w:r>
    </w:p>
    <w:p>
      <w:pPr>
        <w:pStyle w:val="Compact"/>
        <w:numPr>
          <w:ilvl w:val="1"/>
          <w:numId w:val="1013"/>
        </w:numPr>
      </w:pPr>
      <w:r>
        <w:t xml:space="preserve">“Utente Banca”</w:t>
      </w:r>
      <w:r>
        <w:t xml:space="preserve"> </w:t>
      </w:r>
      <w:r>
        <w:t xml:space="preserve">se tutti i documenti sono</w:t>
      </w:r>
      <w:r>
        <w:t xml:space="preserve"> </w:t>
      </w:r>
      <w:r>
        <w:t xml:space="preserve">“Completo”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ci sono eventi futuri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almeno un evento e’</w:t>
      </w:r>
      <w:r>
        <w:t xml:space="preserve"> </w:t>
      </w:r>
      <w:r>
        <w:t xml:space="preserve">“in scadenza”</w:t>
      </w:r>
      <w:r>
        <w:t xml:space="preserve"> </w:t>
      </w:r>
      <w:r>
        <w:t xml:space="preserve">o</w:t>
      </w:r>
      <w:r>
        <w:t xml:space="preserve"> </w:t>
      </w:r>
      <w:r>
        <w:t xml:space="preserve">“scaduto”</w:t>
      </w:r>
    </w:p>
    <w:p>
      <w:pPr>
        <w:pStyle w:val="Compact"/>
        <w:numPr>
          <w:ilvl w:val="1"/>
          <w:numId w:val="1013"/>
        </w:numPr>
      </w:pPr>
      <w:r>
        <w:t xml:space="preserve">“Utente Deloitte”</w:t>
      </w:r>
      <w:r>
        <w:t xml:space="preserve"> </w:t>
      </w:r>
      <w:r>
        <w:t xml:space="preserve">se almeno un documento non e’</w:t>
      </w:r>
      <w:r>
        <w:t xml:space="preserve"> </w:t>
      </w:r>
      <w:r>
        <w:t xml:space="preserve">“Completo”</w:t>
      </w:r>
    </w:p>
    <w:p>
      <w:pPr>
        <w:pStyle w:val="Compact"/>
        <w:numPr>
          <w:ilvl w:val="0"/>
          <w:numId w:val="1000"/>
        </w:numPr>
      </w:pPr>
      <w:r>
        <w:t xml:space="preserve">Ma non copre il caso: tutti i documenti sono</w:t>
      </w:r>
      <w:r>
        <w:t xml:space="preserve"> </w:t>
      </w:r>
      <w:r>
        <w:t xml:space="preserve">“Completo”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nessun evento e’</w:t>
      </w:r>
      <w:r>
        <w:t xml:space="preserve"> </w:t>
      </w:r>
      <w:r>
        <w:t xml:space="preserve">“in scadenza”</w:t>
      </w:r>
      <w:r>
        <w:t xml:space="preserve"> </w:t>
      </w:r>
      <w:r>
        <w:t xml:space="preserve">o</w:t>
      </w:r>
      <w:r>
        <w:t xml:space="preserve"> </w:t>
      </w:r>
      <w:r>
        <w:t xml:space="preserve">“scaduto”</w:t>
      </w:r>
      <w:r>
        <w:t xml:space="preserve"> </w:t>
      </w:r>
      <w:r>
        <w:t xml:space="preserve">(tutti OK o tutti futuri lontani). A chi e’</w:t>
      </w:r>
      <w:r>
        <w:t xml:space="preserve"> </w:t>
      </w:r>
      <w:r>
        <w:t xml:space="preserve">“IN CARICO A”</w:t>
      </w:r>
      <w:r>
        <w:t xml:space="preserve"> </w:t>
      </w:r>
      <w:r>
        <w:t xml:space="preserve">in questo caso?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Domanda per il funzionale</w:t>
      </w:r>
      <w:r>
        <w:t xml:space="preserve">: Quando tutti i documenti sono completi e nessun evento e’ in scadenza/scaduto, il campo</w:t>
      </w:r>
      <w:r>
        <w:t xml:space="preserve"> </w:t>
      </w:r>
      <w:r>
        <w:t xml:space="preserve">“IN CARICO A”</w:t>
      </w:r>
      <w:r>
        <w:t xml:space="preserve"> </w:t>
      </w:r>
      <w:r>
        <w:t xml:space="preserve">deve mostrare</w:t>
      </w:r>
      <w:r>
        <w:t xml:space="preserve"> </w:t>
      </w:r>
      <w:r>
        <w:t xml:space="preserve">“Utente Banca”</w:t>
      </w:r>
      <w:r>
        <w:t xml:space="preserve"> </w:t>
      </w:r>
      <w:r>
        <w:t xml:space="preserve">(in attesa del prossimo evento) o rimanere vuoto?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Risposta del funzionale</w:t>
      </w:r>
      <w:r>
        <w:t xml:space="preserve">: In tal caso, la label</w:t>
      </w:r>
      <w:r>
        <w:t xml:space="preserve"> </w:t>
      </w:r>
      <w:r>
        <w:t xml:space="preserve">“IN CARICO A”</w:t>
      </w:r>
      <w:r>
        <w:t xml:space="preserve"> </w:t>
      </w:r>
      <w:r>
        <w:t xml:space="preserve">deve mostrare</w:t>
      </w:r>
      <w:r>
        <w:t xml:space="preserve"> </w:t>
      </w:r>
      <w:r>
        <w:t xml:space="preserve">“Utente Banca”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17"/>
    <w:bookmarkStart w:id="18" w:name="sezione-8.5-auto-riferimento-colonne"/>
    <w:p>
      <w:pPr>
        <w:pStyle w:val="Heading4"/>
      </w:pPr>
      <w:r>
        <w:t xml:space="preserve">3. Sezione 8.5: auto-riferimento colonne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Categoria</w:t>
      </w:r>
      <w:r>
        <w:t xml:space="preserve">: Ambiguita’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Dove</w:t>
      </w:r>
      <w:r>
        <w:t xml:space="preserve">: BR V6, Sezione 8.5 (riga 1566)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Problema</w:t>
      </w:r>
      <w:r>
        <w:t xml:space="preserve">: La sezione dice</w:t>
      </w:r>
      <w:r>
        <w:t xml:space="preserve"> </w:t>
      </w:r>
      <w:r>
        <w:t xml:space="preserve">“La tabella contiene le stesse colonne della tabella</w:t>
      </w:r>
      <w:r>
        <w:t xml:space="preserve"> </w:t>
      </w:r>
      <w:r>
        <w:t xml:space="preserve">‘Monitoraggi In Scadenza’</w:t>
      </w:r>
      <w:r>
        <w:t xml:space="preserve">”</w:t>
      </w:r>
      <w:r>
        <w:t xml:space="preserve"> </w:t>
      </w:r>
      <w:r>
        <w:t xml:space="preserve">– ma sta descrivendo proprio la tabella</w:t>
      </w:r>
      <w:r>
        <w:t xml:space="preserve"> </w:t>
      </w:r>
      <w:r>
        <w:t xml:space="preserve">“Monitoraggi in Scadenza”</w:t>
      </w:r>
      <w:r>
        <w:t xml:space="preserve">. E’ un auto-riferimento circolare, probabilmente un errore di copia-incolla dalla sezione 8.4 (Monitoraggi Scaduti).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Domanda per il funzionale</w:t>
      </w:r>
      <w:r>
        <w:t xml:space="preserve">: Le colonne della tabella dashboard</w:t>
      </w:r>
      <w:r>
        <w:t xml:space="preserve"> </w:t>
      </w:r>
      <w:r>
        <w:t xml:space="preserve">“Monitoraggi in Scadenza”</w:t>
      </w:r>
      <w:r>
        <w:t xml:space="preserve"> </w:t>
      </w:r>
      <w:r>
        <w:t xml:space="preserve">sono identiche a quelle della tabella dashboard</w:t>
      </w:r>
      <w:r>
        <w:t xml:space="preserve"> </w:t>
      </w:r>
      <w:r>
        <w:t xml:space="preserve">“Monitoraggi Scaduti”</w:t>
      </w:r>
      <w:r>
        <w:t xml:space="preserve"> </w:t>
      </w:r>
      <w:r>
        <w:t xml:space="preserve">(sezione 8.4)?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Risposta del funzionale</w:t>
      </w:r>
      <w:r>
        <w:t xml:space="preserve">: Refuso. Le colonne della dashboard</w:t>
      </w:r>
      <w:r>
        <w:t xml:space="preserve"> </w:t>
      </w:r>
      <w:r>
        <w:t xml:space="preserve">“Monitoraggi in Scadenza”</w:t>
      </w:r>
      <w:r>
        <w:t xml:space="preserve"> </w:t>
      </w:r>
      <w:r>
        <w:t xml:space="preserve">sono identiche a quelle di</w:t>
      </w:r>
      <w:r>
        <w:t xml:space="preserve"> </w:t>
      </w:r>
      <w:r>
        <w:t xml:space="preserve">“Monitoraggi Scaduti”</w:t>
      </w:r>
      <w:r>
        <w:t xml:space="preserve"> </w:t>
      </w:r>
      <w:r>
        <w:t xml:space="preserve">(sezione 8.4).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18"/>
    <w:bookmarkStart w:id="19" w:name="sezione-2.3-typo-chiusura-pratica"/>
    <w:p>
      <w:pPr>
        <w:pStyle w:val="Heading4"/>
      </w:pPr>
      <w:r>
        <w:t xml:space="preserve">4. Sezione 2.3: typo</w:t>
      </w:r>
      <w:r>
        <w:t xml:space="preserve"> </w:t>
      </w:r>
      <w:r>
        <w:t xml:space="preserve">“chiusura pratica”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Categoria</w:t>
      </w:r>
      <w:r>
        <w:t xml:space="preserve">: Ambiguita’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Dove</w:t>
      </w:r>
      <w:r>
        <w:t xml:space="preserve">: BR V6, Sezione 2.3 (riga 354)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Problema</w:t>
      </w:r>
      <w:r>
        <w:t xml:space="preserve">: Il testo dice</w:t>
      </w:r>
      <w:r>
        <w:t xml:space="preserve"> </w:t>
      </w:r>
      <w:r>
        <w:t xml:space="preserve">“chiudere anticipatamente la chiusura pratica di monitoraggio”</w:t>
      </w:r>
      <w:r>
        <w:t xml:space="preserve"> </w:t>
      </w:r>
      <w:r>
        <w:t xml:space="preserve">– la parola</w:t>
      </w:r>
      <w:r>
        <w:t xml:space="preserve"> </w:t>
      </w:r>
      <w:r>
        <w:t xml:space="preserve">“chiusura”</w:t>
      </w:r>
      <w:r>
        <w:t xml:space="preserve"> </w:t>
      </w:r>
      <w:r>
        <w:t xml:space="preserve">(con typo) sembra un doppione. Dovrebbe essere</w:t>
      </w:r>
      <w:r>
        <w:t xml:space="preserve"> </w:t>
      </w:r>
      <w:r>
        <w:t xml:space="preserve">“chiudere anticipatamente la pratica di monitoraggio”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Domanda per il funzionale</w:t>
      </w:r>
      <w:r>
        <w:t xml:space="preserve">: Confermate che il testo corretto e’</w:t>
      </w:r>
      <w:r>
        <w:t xml:space="preserve"> </w:t>
      </w:r>
      <w:r>
        <w:t xml:space="preserve">“chiudere anticipatamente la pratica di monitoraggio”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Risposta del funzionale</w:t>
      </w:r>
      <w:r>
        <w:t xml:space="preserve">: Confermato refuso.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19"/>
    <w:bookmarkStart w:id="20" w:name="X663400fe6ad3176bda09bdb4c7b74ffa37e1b20"/>
    <w:p>
      <w:pPr>
        <w:pStyle w:val="Heading4"/>
      </w:pPr>
      <w:r>
        <w:t xml:space="preserve">5. Label azione</w:t>
      </w:r>
      <w:r>
        <w:t xml:space="preserve"> </w:t>
      </w:r>
      <w:r>
        <w:t xml:space="preserve">“Termina Pratica”</w:t>
      </w:r>
      <w:r>
        <w:t xml:space="preserve"> </w:t>
      </w:r>
      <w:r>
        <w:t xml:space="preserve">– naming incoerente tra mockup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Categoria</w:t>
      </w:r>
      <w:r>
        <w:t xml:space="preserve">: Incoerenza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Dove</w:t>
      </w:r>
      <w:r>
        <w:t xml:space="preserve">: Mockup slide 1 vs slide 2, BR V6 sezione 2.3 e 8.6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Problema</w:t>
      </w:r>
      <w:r>
        <w:t xml:space="preserve">: La stessa azione ha nomi diversi:</w:t>
      </w:r>
    </w:p>
    <w:p>
      <w:pPr>
        <w:pStyle w:val="Compact"/>
        <w:numPr>
          <w:ilvl w:val="1"/>
          <w:numId w:val="1017"/>
        </w:numPr>
      </w:pPr>
      <w:r>
        <w:t xml:space="preserve">Mockup slide 1 (dashboard</w:t>
      </w:r>
      <w:r>
        <w:t xml:space="preserve"> </w:t>
      </w:r>
      <w:r>
        <w:t xml:space="preserve">“Pratiche Recenti”</w:t>
      </w:r>
      <w:r>
        <w:t xml:space="preserve">):</w:t>
      </w:r>
      <w:r>
        <w:t xml:space="preserve"> </w:t>
      </w:r>
      <w:r>
        <w:t xml:space="preserve">“Termina Pratica id Monitoraggio”</w:t>
      </w:r>
    </w:p>
    <w:p>
      <w:pPr>
        <w:pStyle w:val="Compact"/>
        <w:numPr>
          <w:ilvl w:val="1"/>
          <w:numId w:val="1017"/>
        </w:numPr>
      </w:pPr>
      <w:r>
        <w:t xml:space="preserve">Mockup slide 2-3 (Tabella Pratiche):</w:t>
      </w:r>
      <w:r>
        <w:t xml:space="preserve"> </w:t>
      </w:r>
      <w:r>
        <w:t xml:space="preserve">“Termina Pratica di Monitoraggio”</w:t>
      </w:r>
    </w:p>
    <w:p>
      <w:pPr>
        <w:pStyle w:val="Compact"/>
        <w:numPr>
          <w:ilvl w:val="1"/>
          <w:numId w:val="1017"/>
        </w:numPr>
      </w:pPr>
      <w:r>
        <w:t xml:space="preserve">BR sezione 2.3:</w:t>
      </w:r>
      <w:r>
        <w:t xml:space="preserve"> </w:t>
      </w:r>
      <w:r>
        <w:t xml:space="preserve">“chiudere anticipatamente la pratica di monitoraggio”</w:t>
      </w:r>
    </w:p>
    <w:p>
      <w:pPr>
        <w:pStyle w:val="Compact"/>
        <w:numPr>
          <w:ilvl w:val="1"/>
          <w:numId w:val="1017"/>
        </w:numPr>
      </w:pPr>
      <w:r>
        <w:t xml:space="preserve">BR sezione 8.6:</w:t>
      </w:r>
      <w:r>
        <w:t xml:space="preserve"> </w:t>
      </w:r>
      <w:r>
        <w:t xml:space="preserve">“colonna di azione contestuale in cui e’ possibile chiudere anticipatamente la pratica”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Domanda per il funzionale</w:t>
      </w:r>
      <w:r>
        <w:t xml:space="preserve">: Qual e’ la label definitiva del pulsante?</w:t>
      </w:r>
      <w:r>
        <w:t xml:space="preserve"> </w:t>
      </w:r>
      <w:r>
        <w:t xml:space="preserve">“Termina Pratica di Monitoraggio”</w:t>
      </w:r>
      <w:r>
        <w:t xml:space="preserve"> </w:t>
      </w:r>
      <w:r>
        <w:t xml:space="preserve">sembra la piu’ usata – confermate?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Risposta del funzionale</w:t>
      </w:r>
      <w:r>
        <w:t xml:space="preserve">: Confermato:</w:t>
      </w:r>
      <w:r>
        <w:t xml:space="preserve"> </w:t>
      </w:r>
      <w:r>
        <w:t xml:space="preserve">“Termina Pratica di Monitoraggio”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20"/>
    <w:bookmarkStart w:id="21" w:name="Xf7214059f8d1ea4cd0aad84eeda7c38cb440a22"/>
    <w:p>
      <w:pPr>
        <w:pStyle w:val="Heading4"/>
      </w:pPr>
      <w:r>
        <w:t xml:space="preserve">6.</w:t>
      </w:r>
      <w:r>
        <w:t xml:space="preserve"> </w:t>
      </w:r>
      <w:r>
        <w:t xml:space="preserve">“Valore Monitoraggio”</w:t>
      </w:r>
      <w:r>
        <w:t xml:space="preserve"> </w:t>
      </w:r>
      <w:r>
        <w:t xml:space="preserve">vs</w:t>
      </w:r>
      <w:r>
        <w:t xml:space="preserve"> </w:t>
      </w:r>
      <w:r>
        <w:t xml:space="preserve">“Importo Monitorato”</w:t>
      </w:r>
      <w:r>
        <w:t xml:space="preserve"> </w:t>
      </w:r>
      <w:r>
        <w:t xml:space="preserve">– terminologia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Categoria</w:t>
      </w:r>
      <w:r>
        <w:t xml:space="preserve">: Incoerenza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Dove</w:t>
      </w:r>
      <w:r>
        <w:t xml:space="preserve">: BR V6 (tutto il documento) vs Mockup slide 7 (righe 361-367)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Problema</w:t>
      </w:r>
      <w:r>
        <w:t xml:space="preserve">: Il BR usa costantemente</w:t>
      </w:r>
      <w:r>
        <w:t xml:space="preserve"> </w:t>
      </w:r>
      <w:r>
        <w:t xml:space="preserve">“Valore Monitoraggio”</w:t>
      </w:r>
      <w:r>
        <w:t xml:space="preserve"> </w:t>
      </w:r>
      <w:r>
        <w:t xml:space="preserve">per indicare il valore numerico del covenant monitorato. Il mockup slide 7 (assegnazione compliance certificate) usa</w:t>
      </w:r>
      <w:r>
        <w:t xml:space="preserve"> </w:t>
      </w:r>
      <w:r>
        <w:t xml:space="preserve">“Importo Monitorato”</w:t>
      </w:r>
      <w:r>
        <w:t xml:space="preserve"> </w:t>
      </w:r>
      <w:r>
        <w:t xml:space="preserve">per lo stesso concetto.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Domanda per il funzionale</w:t>
      </w:r>
      <w:r>
        <w:t xml:space="preserve">: Il termine corretto e’</w:t>
      </w:r>
      <w:r>
        <w:t xml:space="preserve"> </w:t>
      </w:r>
      <w:r>
        <w:t xml:space="preserve">“Valore Monitoraggio”</w:t>
      </w:r>
      <w:r>
        <w:t xml:space="preserve"> </w:t>
      </w:r>
      <w:r>
        <w:t xml:space="preserve">(come nel BR) o</w:t>
      </w:r>
      <w:r>
        <w:t xml:space="preserve"> </w:t>
      </w:r>
      <w:r>
        <w:t xml:space="preserve">“Importo Monitorato”</w:t>
      </w:r>
      <w:r>
        <w:t xml:space="preserve"> </w:t>
      </w:r>
      <w:r>
        <w:t xml:space="preserve">(come nel mockup)?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Risposta del funzionale</w:t>
      </w:r>
      <w:r>
        <w:t xml:space="preserve">: Utilizziamo la dicitura</w:t>
      </w:r>
      <w:r>
        <w:t xml:space="preserve"> </w:t>
      </w:r>
      <w:r>
        <w:t xml:space="preserve">“Valore Monitoraggio”</w:t>
      </w:r>
      <w:r>
        <w:t xml:space="preserve"> </w:t>
      </w:r>
      <w:r>
        <w:t xml:space="preserve">come descritto nei BR.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21"/>
    <w:bookmarkStart w:id="22" w:name="mockup-incarico-a-vs-br-in-carico-a"/>
    <w:p>
      <w:pPr>
        <w:pStyle w:val="Heading4"/>
      </w:pPr>
      <w:r>
        <w:t xml:space="preserve">7. Mockup</w:t>
      </w:r>
      <w:r>
        <w:t xml:space="preserve"> </w:t>
      </w:r>
      <w:r>
        <w:t xml:space="preserve">“INCARICO A”</w:t>
      </w:r>
      <w:r>
        <w:t xml:space="preserve"> </w:t>
      </w:r>
      <w:r>
        <w:t xml:space="preserve">vs BR</w:t>
      </w:r>
      <w:r>
        <w:t xml:space="preserve"> </w:t>
      </w:r>
      <w:r>
        <w:t xml:space="preserve">“IN CARICO A”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Categoria</w:t>
      </w:r>
      <w:r>
        <w:t xml:space="preserve">: Incoerenza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Dove</w:t>
      </w:r>
      <w:r>
        <w:t xml:space="preserve">: Mockup slide 5 (riga 234) vs BR V6 sezione 3.2.1 e mockup slide 4 (riga 167)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Problema</w:t>
      </w:r>
      <w:r>
        <w:t xml:space="preserve">: Il mockup slide 5 scrive</w:t>
      </w:r>
      <w:r>
        <w:t xml:space="preserve"> </w:t>
      </w:r>
      <w:r>
        <w:t xml:space="preserve">“INCARICO A”</w:t>
      </w:r>
      <w:r>
        <w:t xml:space="preserve"> </w:t>
      </w:r>
      <w:r>
        <w:t xml:space="preserve">(attaccato, senza spazio) mentre il BR e lo slide 4 scrivono</w:t>
      </w:r>
      <w:r>
        <w:t xml:space="preserve"> </w:t>
      </w:r>
      <w:r>
        <w:t xml:space="preserve">“IN CARICO A”</w:t>
      </w:r>
      <w:r>
        <w:t xml:space="preserve">. Probabilmente un typo nel mockup.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Domanda per il funzionale</w:t>
      </w:r>
      <w:r>
        <w:t xml:space="preserve">: Confermate che la label corretta e’</w:t>
      </w:r>
      <w:r>
        <w:t xml:space="preserve"> </w:t>
      </w:r>
      <w:r>
        <w:t xml:space="preserve">“IN CARICO A”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Risposta del funzionale</w:t>
      </w:r>
      <w:r>
        <w:t xml:space="preserve">: Utilizziamo la dicitura</w:t>
      </w:r>
      <w:r>
        <w:t xml:space="preserve"> </w:t>
      </w:r>
      <w:r>
        <w:t xml:space="preserve">“IN CARICO A”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22"/>
    <w:bookmarkStart w:id="23" w:name="X5ac90b7f1e29151dbaa1225a85e7c3e5d77456e"/>
    <w:p>
      <w:pPr>
        <w:pStyle w:val="Heading4"/>
      </w:pPr>
      <w:r>
        <w:t xml:space="preserve">8. ID Covenant nella colonna</w:t>
      </w:r>
      <w:r>
        <w:t xml:space="preserve"> </w:t>
      </w:r>
      <w:r>
        <w:t xml:space="preserve">“ID Covenant”</w:t>
      </w:r>
      <w:r>
        <w:t xml:space="preserve"> </w:t>
      </w:r>
      <w:r>
        <w:t xml:space="preserve">– incoerenza tra mockup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Categoria</w:t>
      </w:r>
      <w:r>
        <w:t xml:space="preserve">: Incoerenza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Dove</w:t>
      </w:r>
      <w:r>
        <w:t xml:space="preserve">: Mockup slide 4 vs slide 8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Problema</w:t>
      </w:r>
      <w:r>
        <w:t xml:space="preserve">: La colonna</w:t>
      </w:r>
      <w:r>
        <w:t xml:space="preserve"> </w:t>
      </w:r>
      <w:r>
        <w:t xml:space="preserve">“ID Covenant”</w:t>
      </w:r>
      <w:r>
        <w:t xml:space="preserve"> </w:t>
      </w:r>
      <w:r>
        <w:t xml:space="preserve">nelle tabelle monitoraggi scaduti/in scadenza mostra formati diversi tra mockup:</w:t>
      </w:r>
    </w:p>
    <w:p>
      <w:pPr>
        <w:pStyle w:val="Compact"/>
        <w:numPr>
          <w:ilvl w:val="1"/>
          <w:numId w:val="1021"/>
        </w:numPr>
      </w:pPr>
      <w:r>
        <w:t xml:space="preserve">Slide 4 (riga 196):</w:t>
      </w:r>
      <w:r>
        <w:t xml:space="preserve"> </w:t>
      </w:r>
      <w:r>
        <w:t xml:space="preserve">“M2C1E1”</w:t>
      </w:r>
      <w:r>
        <w:t xml:space="preserve"> </w:t>
      </w:r>
      <w:r>
        <w:t xml:space="preserve">nella colonna</w:t>
      </w:r>
      <w:r>
        <w:t xml:space="preserve"> </w:t>
      </w:r>
      <w:r>
        <w:t xml:space="preserve">“ID Covenant”</w:t>
      </w:r>
      <w:r>
        <w:t xml:space="preserve"> </w:t>
      </w:r>
      <w:r>
        <w:t xml:space="preserve">(ma questo e’ un ID evento, non covenant)</w:t>
      </w:r>
    </w:p>
    <w:p>
      <w:pPr>
        <w:pStyle w:val="Compact"/>
        <w:numPr>
          <w:ilvl w:val="1"/>
          <w:numId w:val="1021"/>
        </w:numPr>
      </w:pPr>
      <w:r>
        <w:t xml:space="preserve">Slide 8 (riga 434):</w:t>
      </w:r>
      <w:r>
        <w:t xml:space="preserve"> </w:t>
      </w:r>
      <w:r>
        <w:t xml:space="preserve">“Prat002cov001”</w:t>
      </w:r>
      <w:r>
        <w:t xml:space="preserve"> </w:t>
      </w:r>
      <w:r>
        <w:t xml:space="preserve">nella colonna</w:t>
      </w:r>
      <w:r>
        <w:t xml:space="preserve"> </w:t>
      </w:r>
      <w:r>
        <w:t xml:space="preserve">“ID Covenant”</w:t>
      </w:r>
    </w:p>
    <w:p>
      <w:pPr>
        <w:pStyle w:val="Compact"/>
        <w:numPr>
          <w:ilvl w:val="1"/>
          <w:numId w:val="1021"/>
        </w:numPr>
      </w:pPr>
      <w:r>
        <w:t xml:space="preserve">BR sezione 3.2.5:</w:t>
      </w:r>
      <w:r>
        <w:t xml:space="preserve"> </w:t>
      </w:r>
      <w:r>
        <w:t xml:space="preserve">“L’identificativo del covenant, composto da ID pratica + ID Covenant (E.g. M3C2)”</w:t>
      </w:r>
    </w:p>
    <w:p>
      <w:pPr>
        <w:pStyle w:val="Compact"/>
        <w:numPr>
          <w:ilvl w:val="0"/>
          <w:numId w:val="1000"/>
        </w:numPr>
      </w:pPr>
      <w:r>
        <w:t xml:space="preserve">Il mockup mette l’ID evento nella colonna ID Covenant, mentre il BR dice che l’ID Covenant e’ M{n}C{n} (senza la parte evento).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Domanda per il funzionale</w:t>
      </w:r>
      <w:r>
        <w:t xml:space="preserve">: La colonna</w:t>
      </w:r>
      <w:r>
        <w:t xml:space="preserve"> </w:t>
      </w:r>
      <w:r>
        <w:t xml:space="preserve">“ID Covenant”</w:t>
      </w:r>
      <w:r>
        <w:t xml:space="preserve"> </w:t>
      </w:r>
      <w:r>
        <w:t xml:space="preserve">deve mostrare l’ID covenant (es. M3C2) come da BR, o l’ID evento (es. M3C2E4)?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Risposta del funzionale</w:t>
      </w:r>
      <w:r>
        <w:t xml:space="preserve">: La colonna ID Covenant deve seguire il formato M{n}C{n} (senza la parte evento). La colonna ID Evento di Monitoraggio deve seguire invece il formato M{n}C{n}E{n}.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23"/>
    <w:bookmarkStart w:id="24" w:name="Xd3381f7e6b02f75d4488e026a8f742cf8b499e0"/>
    <w:p>
      <w:pPr>
        <w:pStyle w:val="Heading4"/>
      </w:pPr>
      <w:r>
        <w:t xml:space="preserve">9. Dashboard mockup: ID pratica usa</w:t>
      </w:r>
      <w:r>
        <w:t xml:space="preserve"> </w:t>
      </w:r>
      <w:r>
        <w:t xml:space="preserve">“Prat001”</w:t>
      </w:r>
      <w:r>
        <w:t xml:space="preserve"> </w:t>
      </w:r>
      <w:r>
        <w:t xml:space="preserve">ma BR definisce</w:t>
      </w:r>
      <w:r>
        <w:t xml:space="preserve"> </w:t>
      </w:r>
      <w:r>
        <w:t xml:space="preserve">“M1”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Categoria</w:t>
      </w:r>
      <w:r>
        <w:t xml:space="preserve">: Incoerenza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Dove</w:t>
      </w:r>
      <w:r>
        <w:t xml:space="preserve">: Mockup slide 1-3 vs BR V6 sezione 2.3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Problema</w:t>
      </w:r>
      <w:r>
        <w:t xml:space="preserve">: Tutti i mockup della dashboard e della tabella pratiche usano</w:t>
      </w:r>
      <w:r>
        <w:t xml:space="preserve"> </w:t>
      </w:r>
      <w:r>
        <w:t xml:space="preserve">“Prat001”</w:t>
      </w:r>
      <w:r>
        <w:t xml:space="preserve">,</w:t>
      </w:r>
      <w:r>
        <w:t xml:space="preserve"> </w:t>
      </w:r>
      <w:r>
        <w:t xml:space="preserve">“Prat002”</w:t>
      </w:r>
      <w:r>
        <w:t xml:space="preserve">, ecc. come ID pratica, mentre il BR definisce chiaramente il formato come</w:t>
      </w:r>
      <w:r>
        <w:t xml:space="preserve"> </w:t>
      </w:r>
      <w:r>
        <w:t xml:space="preserve">“M1”</w:t>
      </w:r>
      <w:r>
        <w:t xml:space="preserve">,</w:t>
      </w:r>
      <w:r>
        <w:t xml:space="preserve"> </w:t>
      </w:r>
      <w:r>
        <w:t xml:space="preserve">“M2”</w:t>
      </w:r>
      <w:r>
        <w:t xml:space="preserve">, ecc. (lettera M + numero progressivo).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Domanda per il funzionale</w:t>
      </w:r>
      <w:r>
        <w:t xml:space="preserve">: I mockup con</w:t>
      </w:r>
      <w:r>
        <w:t xml:space="preserve"> </w:t>
      </w:r>
      <w:r>
        <w:t xml:space="preserve">“Prat001”</w:t>
      </w:r>
      <w:r>
        <w:t xml:space="preserve"> </w:t>
      </w:r>
      <w:r>
        <w:t xml:space="preserve">rappresentano dati placeholder/esempio e il formato reale sara’</w:t>
      </w:r>
      <w:r>
        <w:t xml:space="preserve"> </w:t>
      </w:r>
      <w:r>
        <w:t xml:space="preserve">“M1”</w:t>
      </w:r>
      <w:r>
        <w:t xml:space="preserve">? Oppure volete adottare un formato diverso (es.</w:t>
      </w:r>
      <w:r>
        <w:t xml:space="preserve"> </w:t>
      </w:r>
      <w:r>
        <w:t xml:space="preserve">“PRAT001”</w:t>
      </w:r>
      <w:r>
        <w:t xml:space="preserve"> </w:t>
      </w:r>
      <w:r>
        <w:t xml:space="preserve">con padding zero)?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Risposta del funzionale</w:t>
      </w:r>
      <w:r>
        <w:t xml:space="preserve">: Il formato per ID Pratica e’ M{n}.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24"/>
    <w:bookmarkStart w:id="25" w:name="Xec4ec2480e2c6900689deb15aa81c860ad1b7cf"/>
    <w:p>
      <w:pPr>
        <w:pStyle w:val="Heading4"/>
      </w:pPr>
      <w:r>
        <w:t xml:space="preserve">10. Mockup</w:t>
      </w:r>
      <w:r>
        <w:t xml:space="preserve"> </w:t>
      </w:r>
      <w:r>
        <w:t xml:space="preserve">“Monitoraggi Scaduti”</w:t>
      </w:r>
      <w:r>
        <w:t xml:space="preserve">: colonna</w:t>
      </w:r>
      <w:r>
        <w:t xml:space="preserve"> </w:t>
      </w:r>
      <w:r>
        <w:t xml:space="preserve">“Note”</w:t>
      </w:r>
      <w:r>
        <w:t xml:space="preserve"> </w:t>
      </w:r>
      <w:r>
        <w:t xml:space="preserve">duplicata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Categoria</w:t>
      </w:r>
      <w:r>
        <w:t xml:space="preserve">: Incoerenza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Dove</w:t>
      </w:r>
      <w:r>
        <w:t xml:space="preserve">: Mockup slide 5 (righe 260-262)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Problema</w:t>
      </w:r>
      <w:r>
        <w:t xml:space="preserve">: La tabella</w:t>
      </w:r>
      <w:r>
        <w:t xml:space="preserve"> </w:t>
      </w:r>
      <w:r>
        <w:t xml:space="preserve">“Monitoraggi Scaduti”</w:t>
      </w:r>
      <w:r>
        <w:t xml:space="preserve"> </w:t>
      </w:r>
      <w:r>
        <w:t xml:space="preserve">nel mockup slide 5 ha</w:t>
      </w:r>
      <w:r>
        <w:t xml:space="preserve"> </w:t>
      </w:r>
      <w:r>
        <w:rPr>
          <w:b/>
          <w:bCs/>
        </w:rPr>
        <w:t xml:space="preserve">due colonne</w:t>
      </w:r>
      <w:r>
        <w:rPr>
          <w:b/>
          <w:bCs/>
        </w:rPr>
        <w:t xml:space="preserve"> </w:t>
      </w:r>
      <w:r>
        <w:rPr>
          <w:b/>
          <w:bCs/>
        </w:rPr>
        <w:t xml:space="preserve">“Note”</w:t>
      </w:r>
      <w:r>
        <w:t xml:space="preserve">: una in posizione 3 (dopo Tipologia) e una in posizione 12 (dopo Status). Nella slide 4 la colonna</w:t>
      </w:r>
      <w:r>
        <w:t xml:space="preserve"> </w:t>
      </w:r>
      <w:r>
        <w:t xml:space="preserve">“Note”</w:t>
      </w:r>
      <w:r>
        <w:t xml:space="preserve"> </w:t>
      </w:r>
      <w:r>
        <w:t xml:space="preserve">compare solo una volta.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Domanda per il funzionale</w:t>
      </w:r>
      <w:r>
        <w:t xml:space="preserve">: La seconda colonna</w:t>
      </w:r>
      <w:r>
        <w:t xml:space="preserve"> </w:t>
      </w:r>
      <w:r>
        <w:t xml:space="preserve">“Note”</w:t>
      </w:r>
      <w:r>
        <w:t xml:space="preserve"> </w:t>
      </w:r>
      <w:r>
        <w:t xml:space="preserve">nella slide 5 e’ un errore di duplicazione nel mockup?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Risposta del funzionale</w:t>
      </w:r>
      <w:r>
        <w:t xml:space="preserve">: Refuso nel mockup, errore di duplicazione della colonna</w:t>
      </w:r>
      <w:r>
        <w:t xml:space="preserve"> </w:t>
      </w:r>
      <w:r>
        <w:t xml:space="preserve">“Note”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25"/>
    <w:bookmarkStart w:id="26" w:name="X6278773e976b0a63e259874a0dfe2fc7770f92c"/>
    <w:p>
      <w:pPr>
        <w:pStyle w:val="Heading4"/>
      </w:pPr>
      <w:r>
        <w:t xml:space="preserve">11. Sezione COVNO: processo di sincronizzazione non dettagliato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Categoria</w:t>
      </w:r>
      <w:r>
        <w:t xml:space="preserve">: Gap funzionale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Dove</w:t>
      </w:r>
      <w:r>
        <w:t xml:space="preserve">: BR V6, Sezione 8.3 (righe 1409-1436)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Problema</w:t>
      </w:r>
      <w:r>
        <w:t xml:space="preserve">: La sezione descrive il caricamento di file</w:t>
      </w:r>
      <w:r>
        <w:t xml:space="preserve"> </w:t>
      </w:r>
      <w:r>
        <w:t xml:space="preserve">“DB Obblighi”</w:t>
      </w:r>
      <w:r>
        <w:t xml:space="preserve"> </w:t>
      </w:r>
      <w:r>
        <w:t xml:space="preserve">e</w:t>
      </w:r>
      <w:r>
        <w:t xml:space="preserve"> </w:t>
      </w:r>
      <w:r>
        <w:t xml:space="preserve">“COVN0”</w:t>
      </w:r>
      <w:r>
        <w:t xml:space="preserve"> </w:t>
      </w:r>
      <w:r>
        <w:t xml:space="preserve">per l’aggiornamento dei dati di monitoraggio, ma non specifica:</w:t>
      </w:r>
    </w:p>
    <w:p>
      <w:pPr>
        <w:pStyle w:val="Compact"/>
        <w:numPr>
          <w:ilvl w:val="1"/>
          <w:numId w:val="1025"/>
        </w:numPr>
      </w:pPr>
      <w:r>
        <w:t xml:space="preserve">Il formato dei file (CSV, XLSX, altro?)</w:t>
      </w:r>
    </w:p>
    <w:p>
      <w:pPr>
        <w:pStyle w:val="Compact"/>
        <w:numPr>
          <w:ilvl w:val="1"/>
          <w:numId w:val="1025"/>
        </w:numPr>
      </w:pPr>
      <w:r>
        <w:t xml:space="preserve">La struttura/colonne attese nei file</w:t>
      </w:r>
    </w:p>
    <w:p>
      <w:pPr>
        <w:pStyle w:val="Compact"/>
        <w:numPr>
          <w:ilvl w:val="1"/>
          <w:numId w:val="1025"/>
        </w:numPr>
      </w:pPr>
      <w:r>
        <w:t xml:space="preserve">Le regole di matching (oltre al Tracking ID)</w:t>
      </w:r>
    </w:p>
    <w:p>
      <w:pPr>
        <w:pStyle w:val="Compact"/>
        <w:numPr>
          <w:ilvl w:val="1"/>
          <w:numId w:val="1025"/>
        </w:numPr>
      </w:pPr>
      <w:r>
        <w:t xml:space="preserve">La gestione dei conflitti (cosa succede se un valore nel file contraddice un valore inserito manualmente da Deloitte?)</w:t>
      </w:r>
    </w:p>
    <w:p>
      <w:pPr>
        <w:pStyle w:val="Compact"/>
        <w:numPr>
          <w:ilvl w:val="1"/>
          <w:numId w:val="1025"/>
        </w:numPr>
      </w:pPr>
      <w:r>
        <w:t xml:space="preserve">Se l’aggiornamento e’ incrementale o sostitutivo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Domanda per il funzionale</w:t>
      </w:r>
      <w:r>
        <w:t xml:space="preserve">: Potete fornire un tracciato record dei file COVN0 e DB Obblighi con i campi, i formati e le regole di aggiornamento?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Risposta:</w:t>
      </w:r>
      <w:r>
        <w:t xml:space="preserve"> </w:t>
      </w:r>
      <w:r>
        <w:rPr>
          <w:i/>
          <w:iCs/>
        </w:rPr>
        <w:t xml:space="preserve">(in attesa di risposta)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Nota</w:t>
      </w:r>
      <w:r>
        <w:t xml:space="preserve">: se non arriva chiarimento, il team tecnico procedera’ con l’assunzione indicata nella Parte 2.</w:t>
      </w:r>
    </w:p>
    <w:bookmarkEnd w:id="26"/>
    <w:bookmarkStart w:id="27" w:name="Xf9010c860c62d8890130e549dda1f114a85fddb"/>
    <w:p>
      <w:pPr>
        <w:pStyle w:val="Heading4"/>
      </w:pPr>
      <w:r>
        <w:t xml:space="preserve">12. Soglia</w:t>
      </w:r>
      <w:r>
        <w:t xml:space="preserve"> </w:t>
      </w:r>
      <w:r>
        <w:t xml:space="preserve">“Da attenzionare”</w:t>
      </w:r>
      <w:r>
        <w:t xml:space="preserve"> </w:t>
      </w:r>
      <w:r>
        <w:t xml:space="preserve">– condizione OR o AND tra le due regole?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Categoria</w:t>
      </w:r>
      <w:r>
        <w:t xml:space="preserve">: Ambiguita’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Dove</w:t>
      </w:r>
      <w:r>
        <w:t xml:space="preserve">: BR V6, Sezione 3.2.7 (riga 542-543) e Macchina Stati (riga 24)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Problema</w:t>
      </w:r>
      <w:r>
        <w:t xml:space="preserve">: Lo stato</w:t>
      </w:r>
      <w:r>
        <w:t xml:space="preserve"> </w:t>
      </w:r>
      <w:r>
        <w:t xml:space="preserve">“Da attenzionare”</w:t>
      </w:r>
      <w:r>
        <w:t xml:space="preserve"> </w:t>
      </w:r>
      <w:r>
        <w:t xml:space="preserve">si attiva quando: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28"/>
        </w:numPr>
      </w:pPr>
      <w:r>
        <w:t xml:space="preserve">Il valore covenant si discosta del 10% dalla soglia di rottura,</w:t>
      </w:r>
      <w:r>
        <w:t xml:space="preserve"> </w:t>
      </w:r>
      <w:r>
        <w:rPr>
          <w:b/>
          <w:bCs/>
        </w:rPr>
        <w:t xml:space="preserve">oppure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29"/>
        </w:numPr>
      </w:pPr>
      <w:r>
        <w:t xml:space="preserve">Il valore covenant si discosta del 30% dalla soglia di rottura</w:t>
      </w:r>
      <w:r>
        <w:t xml:space="preserve"> </w:t>
      </w:r>
      <w:r>
        <w:rPr>
          <w:b/>
          <w:bCs/>
        </w:rPr>
        <w:t xml:space="preserve">ed</w:t>
      </w:r>
      <w:r>
        <w:t xml:space="preserve"> </w:t>
      </w:r>
      <w:r>
        <w:t xml:space="preserve">e’ differito del 40% rispetto alla rilevazione precedente (avvicinandosi al valore soglia)</w:t>
      </w:r>
    </w:p>
    <w:p>
      <w:pPr>
        <w:pStyle w:val="Compact"/>
        <w:numPr>
          <w:ilvl w:val="0"/>
          <w:numId w:val="1000"/>
        </w:numPr>
      </w:pPr>
      <w:r>
        <w:t xml:space="preserve">Le due condizioni (A) e (B) sono in OR tra loro (basta una). Ma non e’ chiaro:</w:t>
      </w:r>
    </w:p>
    <w:p>
      <w:pPr>
        <w:pStyle w:val="Compact"/>
        <w:numPr>
          <w:ilvl w:val="1"/>
          <w:numId w:val="1030"/>
        </w:numPr>
      </w:pPr>
      <w:r>
        <w:t xml:space="preserve">“Discosta del 10%”</w:t>
      </w:r>
      <w:r>
        <w:t xml:space="preserve"> </w:t>
      </w:r>
      <w:r>
        <w:t xml:space="preserve">significa che il valore e’ entro il 10% della soglia (vicino alla soglia)?</w:t>
      </w:r>
    </w:p>
    <w:p>
      <w:pPr>
        <w:pStyle w:val="Compact"/>
        <w:numPr>
          <w:ilvl w:val="1"/>
          <w:numId w:val="1030"/>
        </w:numPr>
      </w:pPr>
      <w:r>
        <w:t xml:space="preserve">“Avvicinandosi al valore soglia”</w:t>
      </w:r>
      <w:r>
        <w:t xml:space="preserve"> </w:t>
      </w:r>
      <w:r>
        <w:t xml:space="preserve">– come si determina la direzione? Se il segno e’</w:t>
      </w:r>
      <w:r>
        <w:t xml:space="preserve"> </w:t>
      </w:r>
      <w:r>
        <w:t xml:space="preserve">“&lt;”</w:t>
      </w:r>
      <w:r>
        <w:t xml:space="preserve">, avvicinarsi significa che il valore sta crescendo?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Domanda per il funzionale</w:t>
      </w:r>
      <w:r>
        <w:t xml:space="preserve">: Potete fornire un esempio numerico per entrambe le condizioni? Es. se il covenant e’</w:t>
      </w:r>
      <w:r>
        <w:t xml:space="preserve"> </w:t>
      </w:r>
      <w:r>
        <w:t xml:space="preserve">“Leverage &lt; 70”</w:t>
      </w:r>
      <w:r>
        <w:t xml:space="preserve">, a quale valore scatta</w:t>
      </w:r>
      <w:r>
        <w:t xml:space="preserve"> </w:t>
      </w:r>
      <w:r>
        <w:t xml:space="preserve">“Da attenzionare”</w:t>
      </w:r>
      <w:r>
        <w:t xml:space="preserve">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Risposta del funzionale</w:t>
      </w:r>
      <w:r>
        <w:t xml:space="preserve">: Esempio numerico fornito con formule precise: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Condizione A (10% dalla soglia)</w:t>
      </w:r>
      <w:r>
        <w:t xml:space="preserve">:</w:t>
      </w:r>
    </w:p>
    <w:p>
      <w:pPr>
        <w:pStyle w:val="Compact"/>
        <w:numPr>
          <w:ilvl w:val="2"/>
          <w:numId w:val="1032"/>
        </w:numPr>
      </w:pPr>
      <w:r>
        <w:t xml:space="preserve">Segno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:</w:t>
      </w:r>
      <w:r>
        <w:t xml:space="preserve"> </w:t>
      </w:r>
      <w:r>
        <w:rPr>
          <w:rStyle w:val="VerbatimChar"/>
        </w:rPr>
        <w:t xml:space="preserve">(valore_soglia - 10% * valore_soglia) &lt;= valore_covenant &lt; valore_soglia</w:t>
      </w:r>
      <w:r>
        <w:t xml:space="preserve">. Es. soglia &lt;70: 63 &lt;= 66 &lt; 70 → Da attenzionare.</w:t>
      </w:r>
    </w:p>
    <w:p>
      <w:pPr>
        <w:pStyle w:val="Compact"/>
        <w:numPr>
          <w:ilvl w:val="2"/>
          <w:numId w:val="1032"/>
        </w:numPr>
      </w:pPr>
      <w:r>
        <w:t xml:space="preserve">Segno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:</w:t>
      </w:r>
      <w:r>
        <w:t xml:space="preserve"> </w:t>
      </w:r>
      <w:r>
        <w:rPr>
          <w:rStyle w:val="VerbatimChar"/>
        </w:rPr>
        <w:t xml:space="preserve">(valore_soglia + 10% * valore_soglia) &gt;= valore_covenant &gt; valore_soglia</w:t>
      </w:r>
      <w:r>
        <w:t xml:space="preserve">. Es. soglia &gt;70: 77 &gt;= 75 &gt; 70 → Da attenzionare.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Condizione B (30% dalla soglia + 40% variazione)</w:t>
      </w:r>
      <w:r>
        <w:t xml:space="preserve">:</w:t>
      </w:r>
    </w:p>
    <w:p>
      <w:pPr>
        <w:pStyle w:val="Compact"/>
        <w:numPr>
          <w:ilvl w:val="2"/>
          <w:numId w:val="1033"/>
        </w:numPr>
      </w:pPr>
      <w:r>
        <w:t xml:space="preserve">Segno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:</w:t>
      </w:r>
      <w:r>
        <w:t xml:space="preserve"> </w:t>
      </w:r>
      <w:r>
        <w:rPr>
          <w:rStyle w:val="VerbatimChar"/>
        </w:rPr>
        <w:t xml:space="preserve">(valore_soglia - 30% * valore_soglia) &lt;= valore_covenant[t] &lt; valore_soglia AND valore_covenant[t] &gt;= 140% * valore_covenant[t-1]</w:t>
      </w:r>
      <w:r>
        <w:t xml:space="preserve">. Es. soglia &lt;70, valore[t]=50, valore[t-1]=30: limite 30%=49, limite 40% da t-1=42; 50&gt;49 e 50&gt;42 e 50&lt;70 → Da attenzionare.</w:t>
      </w:r>
    </w:p>
    <w:p>
      <w:pPr>
        <w:pStyle w:val="Compact"/>
        <w:numPr>
          <w:ilvl w:val="2"/>
          <w:numId w:val="1033"/>
        </w:numPr>
      </w:pPr>
      <w:r>
        <w:t xml:space="preserve">Segno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:</w:t>
      </w:r>
      <w:r>
        <w:t xml:space="preserve"> </w:t>
      </w:r>
      <w:r>
        <w:rPr>
          <w:rStyle w:val="VerbatimChar"/>
        </w:rPr>
        <w:t xml:space="preserve">(valore_soglia + 30% * valore_soglia) &gt;= valore_covenant[t] &gt; valore_soglia AND valore_covenant[t] &lt;= 60% * valore_covenant[t-1]</w:t>
      </w:r>
      <w:r>
        <w:t xml:space="preserve">. Es. soglia &gt;70, valore[t]=80, valore[t-1]=140: limite 30%=91, limite 40% da t-1=84; 80&lt;91 e 80&lt;84 e 80&gt;70 → Da attenzionare.</w:t>
      </w:r>
    </w:p>
    <w:p>
      <w:pPr>
        <w:pStyle w:val="Compact"/>
        <w:numPr>
          <w:ilvl w:val="1"/>
          <w:numId w:val="1031"/>
        </w:numPr>
      </w:pPr>
      <w:r>
        <w:t xml:space="preserve">Le due condizioni A e B sono in OR.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27"/>
    <w:bookmarkStart w:id="28" w:name="X68a96f37ec2852ca35473dfa673d69f0305483f"/>
    <w:p>
      <w:pPr>
        <w:pStyle w:val="Heading4"/>
      </w:pPr>
      <w:r>
        <w:t xml:space="preserve">13. Eccezione</w:t>
      </w:r>
      <w:r>
        <w:t xml:space="preserve"> </w:t>
      </w:r>
      <w:r>
        <w:t xml:space="preserve">“Salta Monitoraggio”</w:t>
      </w:r>
      <w:r>
        <w:t xml:space="preserve"> </w:t>
      </w:r>
      <w:r>
        <w:t xml:space="preserve">– effetto sullo stato e sui conteggi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Categoria</w:t>
      </w:r>
      <w:r>
        <w:t xml:space="preserve">: Gap funzionale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Dove</w:t>
      </w:r>
      <w:r>
        <w:t xml:space="preserve">: BR V6, Sezione 3.4.1 (riga 604) e Macchina Stati (riga 35)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Problema</w:t>
      </w:r>
      <w:r>
        <w:t xml:space="preserve">: Il BR dice che l’eccezione</w:t>
      </w:r>
      <w:r>
        <w:t xml:space="preserve"> </w:t>
      </w:r>
      <w:r>
        <w:t xml:space="preserve">“genera un cambio di stato per l’evento di monitoraggio, il quale passera’ allo status</w:t>
      </w:r>
      <w:r>
        <w:t xml:space="preserve"> </w:t>
      </w:r>
      <w:r>
        <w:t xml:space="preserve">‘green’</w:t>
      </w:r>
      <w:r>
        <w:t xml:space="preserve">”</w:t>
      </w:r>
      <w:r>
        <w:t xml:space="preserve">. Ma non chiarisce:</w:t>
      </w:r>
    </w:p>
    <w:p>
      <w:pPr>
        <w:pStyle w:val="Compact"/>
        <w:numPr>
          <w:ilvl w:val="1"/>
          <w:numId w:val="1035"/>
        </w:numPr>
      </w:pPr>
      <w:r>
        <w:t xml:space="preserve">Se l’evento saltato viene conteggiato in</w:t>
      </w:r>
      <w:r>
        <w:t xml:space="preserve"> </w:t>
      </w:r>
      <w:r>
        <w:t xml:space="preserve">“# Monitoraggi OK”</w:t>
      </w:r>
      <w:r>
        <w:t xml:space="preserve"> </w:t>
      </w:r>
      <w:r>
        <w:t xml:space="preserve">o escluso dai conteggi</w:t>
      </w:r>
    </w:p>
    <w:p>
      <w:pPr>
        <w:pStyle w:val="Compact"/>
        <w:numPr>
          <w:ilvl w:val="1"/>
          <w:numId w:val="1035"/>
        </w:numPr>
      </w:pPr>
      <w:r>
        <w:t xml:space="preserve">Se</w:t>
      </w:r>
      <w:r>
        <w:t xml:space="preserve"> </w:t>
      </w:r>
      <w:r>
        <w:t xml:space="preserve">“Data avvenuto monitoraggio”</w:t>
      </w:r>
      <w:r>
        <w:t xml:space="preserve"> </w:t>
      </w:r>
      <w:r>
        <w:t xml:space="preserve">viene compilata con la data dell’eccezione o resta vuota</w:t>
      </w:r>
    </w:p>
    <w:p>
      <w:pPr>
        <w:pStyle w:val="Compact"/>
        <w:numPr>
          <w:ilvl w:val="1"/>
          <w:numId w:val="1035"/>
        </w:numPr>
      </w:pPr>
      <w:r>
        <w:t xml:space="preserve">Se il</w:t>
      </w:r>
      <w:r>
        <w:t xml:space="preserve"> </w:t>
      </w:r>
      <w:r>
        <w:t xml:space="preserve">“Valore Monitoraggio”</w:t>
      </w:r>
      <w:r>
        <w:t xml:space="preserve"> </w:t>
      </w:r>
      <w:r>
        <w:t xml:space="preserve">resta vuoto o viene compilato con un valore speciale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Domanda per il funzionale</w:t>
      </w:r>
      <w:r>
        <w:t xml:space="preserve">: Un evento con eccezione approvata viene conteggiato come</w:t>
      </w:r>
      <w:r>
        <w:t xml:space="preserve"> </w:t>
      </w:r>
      <w:r>
        <w:t xml:space="preserve">“OK”</w:t>
      </w:r>
      <w:r>
        <w:t xml:space="preserve"> </w:t>
      </w:r>
      <w:r>
        <w:t xml:space="preserve">nei conteggi? La data avvenuto monitoraggio viene compilata?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Risposta del funzionale</w:t>
      </w:r>
      <w:r>
        <w:t xml:space="preserve">: In seguito all’azione</w:t>
      </w:r>
      <w:r>
        <w:t xml:space="preserve"> </w:t>
      </w:r>
      <w:r>
        <w:t xml:space="preserve">“Salta Monitoraggio”</w:t>
      </w:r>
      <w:r>
        <w:t xml:space="preserve"> </w:t>
      </w:r>
      <w:r>
        <w:t xml:space="preserve">l’evento viene conteggiato in # Monitoraggi OK,</w:t>
      </w:r>
      <w:r>
        <w:t xml:space="preserve"> </w:t>
      </w:r>
      <w:r>
        <w:t xml:space="preserve">“Data avvenuto Monitoraggio”</w:t>
      </w:r>
      <w:r>
        <w:t xml:space="preserve"> </w:t>
      </w:r>
      <w:r>
        <w:t xml:space="preserve">viene compilata con la data in cui viene svolta l’azione</w:t>
      </w:r>
      <w:r>
        <w:t xml:space="preserve"> </w:t>
      </w:r>
      <w:r>
        <w:t xml:space="preserve">“Salta Monitoraggio”</w:t>
      </w:r>
      <w:r>
        <w:t xml:space="preserve"> </w:t>
      </w:r>
      <w:r>
        <w:t xml:space="preserve">e</w:t>
      </w:r>
      <w:r>
        <w:t xml:space="preserve"> </w:t>
      </w:r>
      <w:r>
        <w:t xml:space="preserve">“Valore Monitoraggio”</w:t>
      </w:r>
      <w:r>
        <w:t xml:space="preserve"> </w:t>
      </w:r>
      <w:r>
        <w:t xml:space="preserve">resta vuoto.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28"/>
    <w:bookmarkStart w:id="29" w:name="Xff1d92293fa7e42d8e599ab2a8b4270cf15a702"/>
    <w:p>
      <w:pPr>
        <w:pStyle w:val="Heading4"/>
      </w:pPr>
      <w:r>
        <w:t xml:space="preserve">14. Spread: storico variazioni – manca il campo</w:t>
      </w:r>
      <w:r>
        <w:t xml:space="preserve"> </w:t>
      </w:r>
      <w:r>
        <w:t xml:space="preserve">“Azione: Scarica”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Categoria</w:t>
      </w:r>
      <w:r>
        <w:t xml:space="preserve">: Incoerenza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Dove</w:t>
      </w:r>
      <w:r>
        <w:t xml:space="preserve">: BR V6, Sezione 3.5.2 (righe 690-694) vs Sezione 7.3.5 (righe 1360-1369)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Problema</w:t>
      </w:r>
      <w:r>
        <w:t xml:space="preserve">: La sezione 3.5.2 (vista ISP) descrive lo Storico Spread con colonne: Data Variazione, Documento, Azione (Scarica), Cluster. La sezione 7.3.5 (creazione Deloitte) descrive una tabella diversa: Data Riferimento, Data avvenuto monitoraggio, Valore Monitorato, Cluster di Riferimento, Valore Margine (%). Le due tabelle hanno strutture completamente diverse per lo stesso concetto.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Domanda per il funzionale</w:t>
      </w:r>
      <w:r>
        <w:t xml:space="preserve">: Lo</w:t>
      </w:r>
      <w:r>
        <w:t xml:space="preserve"> </w:t>
      </w:r>
      <w:r>
        <w:t xml:space="preserve">“Storico Spread”</w:t>
      </w:r>
      <w:r>
        <w:t xml:space="preserve"> </w:t>
      </w:r>
      <w:r>
        <w:t xml:space="preserve">ha una struttura unica per ISP e Deloitte? Se si, quale delle due versioni e’ corretta?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Risposta del funzionale</w:t>
      </w:r>
      <w:r>
        <w:t xml:space="preserve">: Gli oggetti identificati sono due oggetti differenti correttamente requisitati in maniera differente: l’oggetto requisitato</w:t>
      </w:r>
      <w:r>
        <w:t xml:space="preserve"> </w:t>
      </w:r>
      <w:r>
        <w:t xml:space="preserve">“Tabella storico Spread”</w:t>
      </w:r>
      <w:r>
        <w:t xml:space="preserve"> </w:t>
      </w:r>
      <w:r>
        <w:t xml:space="preserve">(sezione 3.5.2) ha una struttura definita e differente rispetto alla</w:t>
      </w:r>
      <w:r>
        <w:t xml:space="preserve"> </w:t>
      </w:r>
      <w:r>
        <w:t xml:space="preserve">“Tabella Spread”</w:t>
      </w:r>
      <w:r>
        <w:t xml:space="preserve"> </w:t>
      </w:r>
      <w:r>
        <w:t xml:space="preserve">(sezione 7.3.5). Sono entrambi corretti.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risposta</w:t>
      </w:r>
      <w:r>
        <w:t xml:space="preserve">: 2026-05-05</w:t>
      </w:r>
    </w:p>
    <w:bookmarkEnd w:id="29"/>
    <w:bookmarkStart w:id="30" w:name="X0e26d35f9bae6def20c8bd3884e6683883d01ea"/>
    <w:p>
      <w:pPr>
        <w:pStyle w:val="Heading4"/>
      </w:pPr>
      <w:r>
        <w:t xml:space="preserve">15. Mailing List: trigger notifiche non specificati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Categoria</w:t>
      </w:r>
      <w:r>
        <w:t xml:space="preserve">: Gap funzionale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Dove</w:t>
      </w:r>
      <w:r>
        <w:t xml:space="preserve">: BR V6, Sezione 6 (tutto)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Problema</w:t>
      </w:r>
      <w:r>
        <w:t xml:space="preserve">: La sezione descrive la gestione della mailing list (CRUD contatti, upload AD Form, estrazione GenAI) ma non specifica:</w:t>
      </w:r>
    </w:p>
    <w:p>
      <w:pPr>
        <w:pStyle w:val="Compact"/>
        <w:numPr>
          <w:ilvl w:val="1"/>
          <w:numId w:val="1038"/>
        </w:numPr>
      </w:pPr>
      <w:r>
        <w:t xml:space="preserve">Quali eventi generano notifiche email ai contatti della mailing list</w:t>
      </w:r>
    </w:p>
    <w:p>
      <w:pPr>
        <w:pStyle w:val="Compact"/>
        <w:numPr>
          <w:ilvl w:val="1"/>
          <w:numId w:val="1038"/>
        </w:numPr>
      </w:pPr>
      <w:r>
        <w:t xml:space="preserve">Se la mailing list si applica solo alla pratica di monitoraggio o anche al censimento</w:t>
      </w:r>
    </w:p>
    <w:p>
      <w:pPr>
        <w:pStyle w:val="Compact"/>
        <w:numPr>
          <w:ilvl w:val="1"/>
          <w:numId w:val="1038"/>
        </w:numPr>
      </w:pPr>
      <w:r>
        <w:t xml:space="preserve">Se ci sono ruoli diversi nella mailing list (destinatari obbligatori, CC, ecc.)</w:t>
      </w:r>
    </w:p>
    <w:p>
      <w:pPr>
        <w:pStyle w:val="Compact"/>
        <w:numPr>
          <w:ilvl w:val="1"/>
          <w:numId w:val="1038"/>
        </w:numPr>
      </w:pPr>
      <w:r>
        <w:t xml:space="preserve">La relazione tra mailing list e le notifiche automatiche di scadenza/eccezione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Domanda per il funzionale</w:t>
      </w:r>
      <w:r>
        <w:t xml:space="preserve">: Quando e a chi vengono inviate le notifiche? La mailing list e’ usata per le notifiche di scadenza monitoraggio, eccezioni, variazioni spread, o solo per comunicazioni manuali?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Risposta:</w:t>
      </w:r>
      <w:r>
        <w:t xml:space="preserve"> </w:t>
      </w:r>
      <w:r>
        <w:rPr>
          <w:i/>
          <w:iCs/>
        </w:rPr>
        <w:t xml:space="preserve">(in attesa di risposta)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Nota</w:t>
      </w:r>
      <w:r>
        <w:t xml:space="preserve">: se non arriva chiarimento, il team tecnico procedera’ con l’assunzione indicata nella Parte 2.</w:t>
      </w:r>
    </w:p>
    <w:bookmarkEnd w:id="30"/>
    <w:bookmarkStart w:id="31" w:name="X2b214ad9461b7462cedd3dba1fdb99419a8bb8f"/>
    <w:p>
      <w:pPr>
        <w:pStyle w:val="Heading4"/>
      </w:pPr>
      <w:r>
        <w:t xml:space="preserve">16. Dashboard donut chart: aggiornamento</w:t>
      </w:r>
      <w:r>
        <w:t xml:space="preserve"> </w:t>
      </w:r>
      <w:r>
        <w:t xml:space="preserve">“tempo reale”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Categoria</w:t>
      </w:r>
      <w:r>
        <w:t xml:space="preserve">: Ambiguita’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Bloccante</w:t>
      </w:r>
      <w:r>
        <w:t xml:space="preserve">: No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Dove</w:t>
      </w:r>
      <w:r>
        <w:t xml:space="preserve">: BR V6, Sezione 8.2 (riga 1407)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Problema</w:t>
      </w:r>
      <w:r>
        <w:t xml:space="preserve">: Il BR richiede che</w:t>
      </w:r>
      <w:r>
        <w:t xml:space="preserve"> </w:t>
      </w:r>
      <w:r>
        <w:t xml:space="preserve">“I dati del donut chart devono aggiornarsi in tempo reale quando cambiano gli stati dei monitoraggi nel sistema. Questo aggiornamento deve avvenire senza richiedere un refresh manuale della pagina.”</w:t>
      </w:r>
      <w:r>
        <w:t xml:space="preserve"> </w:t>
      </w:r>
      <w:r>
        <w:t xml:space="preserve">Questo implica una tecnologia push (WebSocket, SSE) che ha impatto architetturale significativo.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Domanda per il funzionale</w:t>
      </w:r>
      <w:r>
        <w:t xml:space="preserve">:</w:t>
      </w:r>
      <w:r>
        <w:t xml:space="preserve"> </w:t>
      </w:r>
      <w:r>
        <w:t xml:space="preserve">“Tempo reale”</w:t>
      </w:r>
      <w:r>
        <w:t xml:space="preserve"> </w:t>
      </w:r>
      <w:r>
        <w:t xml:space="preserve">significa letteralmente push dal server (WebSocket) o e’ sufficiente un polling periodico (es. ogni 30 secondi)?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Risposta:</w:t>
      </w:r>
      <w:r>
        <w:t xml:space="preserve"> </w:t>
      </w:r>
      <w:r>
        <w:rPr>
          <w:i/>
          <w:iCs/>
        </w:rPr>
        <w:t xml:space="preserve">(in attesa di risposta)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Nota</w:t>
      </w:r>
      <w:r>
        <w:t xml:space="preserve">: se non arriva chiarimento, il team tecnico procedera’ con l’assunzione indicata nella Parte 2.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parte-2-per-il-team-tecnico"/>
    <w:p>
      <w:pPr>
        <w:pStyle w:val="Heading2"/>
      </w:pPr>
      <w:r>
        <w:t xml:space="preserve">Parte 2 – Per il team tecnico</w:t>
      </w:r>
    </w:p>
    <w:p>
      <w:pPr>
        <w:pStyle w:val="FirstParagraph"/>
      </w:pPr>
      <w:r>
        <w:t xml:space="preserve">Questa sezione contiene le assunzioni che il team tecnico adottera’ in assenza di chiarimenti dal funzionale. Ogni assunzione e’ legata a un problema della Parte 1.</w:t>
      </w:r>
    </w:p>
    <w:bookmarkStart w:id="34" w:name="assunzioni-proposte"/>
    <w:p>
      <w:pPr>
        <w:pStyle w:val="Heading3"/>
      </w:pPr>
      <w:r>
        <w:t xml:space="preserve">Assunzioni proposte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Problema rif.</w:t>
            </w:r>
          </w:p>
        </w:tc>
        <w:tc>
          <w:tcPr/>
          <w:p>
            <w:pPr>
              <w:pStyle w:val="Compact"/>
            </w:pPr>
            <w:r>
              <w:t xml:space="preserve">Assunzione proposta</w:t>
            </w:r>
          </w:p>
        </w:tc>
        <w:tc>
          <w:tcPr/>
          <w:p>
            <w:pPr>
              <w:pStyle w:val="Compact"/>
            </w:pPr>
            <w:r>
              <w:t xml:space="preserve">Rischio se errata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Risposta funzionale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A-001</w:t>
            </w:r>
          </w:p>
        </w:tc>
        <w:tc>
          <w:tcPr/>
          <w:p>
            <w:pPr>
              <w:pStyle w:val="Compact"/>
            </w:pPr>
            <w:r>
              <w:t xml:space="preserve">NB-1</w:t>
            </w:r>
          </w:p>
        </w:tc>
        <w:tc>
          <w:tcPr/>
          <w:p>
            <w:pPr>
              <w:pStyle w:val="Compact"/>
            </w:pPr>
            <w:r>
              <w:t xml:space="preserve">Formula = Scadenza - Today. Positivo = giorni rimanenti, negativo = giorni di ritardo.</w:t>
            </w:r>
          </w:p>
        </w:tc>
        <w:tc>
          <w:tcPr/>
          <w:p>
            <w:pPr>
              <w:pStyle w:val="Compact"/>
            </w:pPr>
            <w:r>
              <w:t xml:space="preserve">Tutti i valori mostrati in tabella hanno segno invertito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</w:t>
            </w:r>
          </w:p>
        </w:tc>
        <w:tc>
          <w:tcPr/>
          <w:p>
            <w:pPr>
              <w:pStyle w:val="Compact"/>
            </w:pPr>
            <w:r>
              <w:t xml:space="preserve">“Invertiamo la formula in Data di scadenza - Today”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A-002</w:t>
            </w:r>
          </w:p>
        </w:tc>
        <w:tc>
          <w:tcPr/>
          <w:p>
            <w:pPr>
              <w:pStyle w:val="Compact"/>
            </w:pPr>
            <w:r>
              <w:t xml:space="preserve">NB-2</w:t>
            </w:r>
          </w:p>
        </w:tc>
        <w:tc>
          <w:tcPr/>
          <w:p>
            <w:pPr>
              <w:pStyle w:val="Compact"/>
            </w:pPr>
            <w:r>
              <w:t xml:space="preserve">Se nessun documento in lavorazione e nessun evento in scadenza/scaduto,</w:t>
            </w:r>
            <w:r>
              <w:t xml:space="preserve"> </w:t>
            </w:r>
            <w:r>
              <w:t xml:space="preserve">“IN CARICO A”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“Utente Banca”</w:t>
            </w:r>
          </w:p>
        </w:tc>
        <w:tc>
          <w:tcPr/>
          <w:p>
            <w:pPr>
              <w:pStyle w:val="Compact"/>
            </w:pPr>
            <w:r>
              <w:t xml:space="preserve">Label fuorviante per l’utente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</w:t>
            </w:r>
          </w:p>
        </w:tc>
        <w:tc>
          <w:tcPr/>
          <w:p>
            <w:pPr>
              <w:pStyle w:val="Compact"/>
            </w:pPr>
            <w:r>
              <w:t xml:space="preserve">“Mostrare Utente Banca”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A-003</w:t>
            </w:r>
          </w:p>
        </w:tc>
        <w:tc>
          <w:tcPr/>
          <w:p>
            <w:pPr>
              <w:pStyle w:val="Compact"/>
            </w:pPr>
            <w:r>
              <w:t xml:space="preserve">NB-3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t xml:space="preserve">“Monitoraggi in Scadenza”</w:t>
            </w:r>
            <w:r>
              <w:t xml:space="preserve"> </w:t>
            </w:r>
            <w:r>
              <w:t xml:space="preserve">ha le stesse colonne di</w:t>
            </w:r>
            <w:r>
              <w:t xml:space="preserve"> </w:t>
            </w:r>
            <w:r>
              <w:t xml:space="preserve">“Monitoraggi Scaduti”</w:t>
            </w:r>
            <w:r>
              <w:t xml:space="preserve"> </w:t>
            </w:r>
            <w:r>
              <w:t xml:space="preserve">(sez. 8.4)</w:t>
            </w:r>
          </w:p>
        </w:tc>
        <w:tc>
          <w:tcPr/>
          <w:p>
            <w:pPr>
              <w:pStyle w:val="Compact"/>
            </w:pPr>
            <w:r>
              <w:t xml:space="preserve">Colonne diverse da aggiungere/rimuovere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</w:t>
            </w:r>
          </w:p>
        </w:tc>
        <w:tc>
          <w:tcPr/>
          <w:p>
            <w:pPr>
              <w:pStyle w:val="Compact"/>
            </w:pPr>
            <w:r>
              <w:t xml:space="preserve">“Refuso, colonne identiche”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A-004</w:t>
            </w:r>
          </w:p>
        </w:tc>
        <w:tc>
          <w:tcPr/>
          <w:p>
            <w:pPr>
              <w:pStyle w:val="Compact"/>
            </w:pPr>
            <w:r>
              <w:t xml:space="preserve">NB-4</w:t>
            </w:r>
          </w:p>
        </w:tc>
        <w:tc>
          <w:tcPr/>
          <w:p>
            <w:pPr>
              <w:pStyle w:val="Compact"/>
            </w:pPr>
            <w:r>
              <w:t xml:space="preserve">Correggere in</w:t>
            </w:r>
            <w:r>
              <w:t xml:space="preserve"> </w:t>
            </w:r>
            <w:r>
              <w:t xml:space="preserve">“chiudere anticipatamente la pratica di monitoraggio”</w:t>
            </w:r>
          </w:p>
        </w:tc>
        <w:tc>
          <w:tcPr/>
          <w:p>
            <w:pPr>
              <w:pStyle w:val="Compact"/>
            </w:pPr>
            <w:r>
              <w:t xml:space="preserve">Nessun rischio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</w:t>
            </w:r>
          </w:p>
        </w:tc>
        <w:tc>
          <w:tcPr/>
          <w:p>
            <w:pPr>
              <w:pStyle w:val="Compact"/>
            </w:pPr>
            <w:r>
              <w:t xml:space="preserve">“Confermato refuso”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A-005</w:t>
            </w:r>
          </w:p>
        </w:tc>
        <w:tc>
          <w:tcPr/>
          <w:p>
            <w:pPr>
              <w:pStyle w:val="Compact"/>
            </w:pPr>
            <w:r>
              <w:t xml:space="preserve">NB-5</w:t>
            </w:r>
          </w:p>
        </w:tc>
        <w:tc>
          <w:tcPr/>
          <w:p>
            <w:pPr>
              <w:pStyle w:val="Compact"/>
            </w:pPr>
            <w:r>
              <w:t xml:space="preserve">Label =</w:t>
            </w:r>
            <w:r>
              <w:t xml:space="preserve"> </w:t>
            </w:r>
            <w:r>
              <w:t xml:space="preserve">“Termina Pratica di Monitoraggio”</w:t>
            </w:r>
          </w:p>
        </w:tc>
        <w:tc>
          <w:tcPr/>
          <w:p>
            <w:pPr>
              <w:pStyle w:val="Compact"/>
            </w:pPr>
            <w:r>
              <w:t xml:space="preserve">Cambio label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</w:t>
            </w:r>
          </w:p>
        </w:tc>
        <w:tc>
          <w:tcPr/>
          <w:p>
            <w:pPr>
              <w:pStyle w:val="Compact"/>
            </w:pPr>
            <w:r>
              <w:t xml:space="preserve">“Confermato”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A-006</w:t>
            </w:r>
          </w:p>
        </w:tc>
        <w:tc>
          <w:tcPr/>
          <w:p>
            <w:pPr>
              <w:pStyle w:val="Compact"/>
            </w:pPr>
            <w:r>
              <w:t xml:space="preserve">NB-6</w:t>
            </w:r>
          </w:p>
        </w:tc>
        <w:tc>
          <w:tcPr/>
          <w:p>
            <w:pPr>
              <w:pStyle w:val="Compact"/>
            </w:pPr>
            <w:r>
              <w:t xml:space="preserve">Usare</w:t>
            </w:r>
            <w:r>
              <w:t xml:space="preserve"> </w:t>
            </w:r>
            <w:r>
              <w:t xml:space="preserve">“Valore Monitoraggio”</w:t>
            </w:r>
            <w:r>
              <w:t xml:space="preserve"> </w:t>
            </w:r>
            <w:r>
              <w:t xml:space="preserve">(termine del BR)</w:t>
            </w:r>
          </w:p>
        </w:tc>
        <w:tc>
          <w:tcPr/>
          <w:p>
            <w:pPr>
              <w:pStyle w:val="Compact"/>
            </w:pPr>
            <w:r>
              <w:t xml:space="preserve">Cambio label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</w:t>
            </w:r>
          </w:p>
        </w:tc>
        <w:tc>
          <w:tcPr/>
          <w:p>
            <w:pPr>
              <w:pStyle w:val="Compact"/>
            </w:pPr>
            <w:r>
              <w:t xml:space="preserve">“Valore Monitoraggio come da BR”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A-007</w:t>
            </w:r>
          </w:p>
        </w:tc>
        <w:tc>
          <w:tcPr/>
          <w:p>
            <w:pPr>
              <w:pStyle w:val="Compact"/>
            </w:pPr>
            <w:r>
              <w:t xml:space="preserve">NB-7</w:t>
            </w:r>
          </w:p>
        </w:tc>
        <w:tc>
          <w:tcPr/>
          <w:p>
            <w:pPr>
              <w:pStyle w:val="Compact"/>
            </w:pPr>
            <w:r>
              <w:t xml:space="preserve">Label =</w:t>
            </w:r>
            <w:r>
              <w:t xml:space="preserve"> </w:t>
            </w:r>
            <w:r>
              <w:t xml:space="preserve">“IN CARICO A”</w:t>
            </w:r>
            <w:r>
              <w:t xml:space="preserve"> </w:t>
            </w:r>
            <w:r>
              <w:t xml:space="preserve">(con spazi)</w:t>
            </w:r>
          </w:p>
        </w:tc>
        <w:tc>
          <w:tcPr/>
          <w:p>
            <w:pPr>
              <w:pStyle w:val="Compact"/>
            </w:pPr>
            <w:r>
              <w:t xml:space="preserve">Cambio label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</w:t>
            </w:r>
          </w:p>
        </w:tc>
        <w:tc>
          <w:tcPr/>
          <w:p>
            <w:pPr>
              <w:pStyle w:val="Compact"/>
            </w:pPr>
            <w:r>
              <w:t xml:space="preserve">“IN CARICO 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A-008</w:t>
            </w:r>
          </w:p>
        </w:tc>
        <w:tc>
          <w:tcPr/>
          <w:p>
            <w:pPr>
              <w:pStyle w:val="Compact"/>
            </w:pPr>
            <w:r>
              <w:t xml:space="preserve">NB-8</w:t>
            </w:r>
          </w:p>
        </w:tc>
        <w:tc>
          <w:tcPr/>
          <w:p>
            <w:pPr>
              <w:pStyle w:val="Compact"/>
            </w:pPr>
            <w:r>
              <w:t xml:space="preserve">Colonna</w:t>
            </w:r>
            <w:r>
              <w:t xml:space="preserve"> </w:t>
            </w:r>
            <w:r>
              <w:t xml:space="preserve">“ID Covenant”</w:t>
            </w:r>
            <w:r>
              <w:t xml:space="preserve"> </w:t>
            </w:r>
            <w:r>
              <w:t xml:space="preserve">mostra M{n}C{n}, colonna separata</w:t>
            </w:r>
            <w:r>
              <w:t xml:space="preserve"> </w:t>
            </w:r>
            <w:r>
              <w:t xml:space="preserve">“ID Evento”</w:t>
            </w:r>
            <w:r>
              <w:t xml:space="preserve"> </w:t>
            </w:r>
            <w:r>
              <w:t xml:space="preserve">mostra M{n}C{n}E{n}</w:t>
            </w:r>
          </w:p>
        </w:tc>
        <w:tc>
          <w:tcPr/>
          <w:p>
            <w:pPr>
              <w:pStyle w:val="Compact"/>
            </w:pPr>
            <w:r>
              <w:t xml:space="preserve">Rework colonne tabella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</w:t>
            </w:r>
          </w:p>
        </w:tc>
        <w:tc>
          <w:tcPr/>
          <w:p>
            <w:pPr>
              <w:pStyle w:val="Compact"/>
            </w:pPr>
            <w:r>
              <w:t xml:space="preserve">“M{n}C{n} per covenant, M{n}C{n}E{n} per evento”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A-009</w:t>
            </w:r>
          </w:p>
        </w:tc>
        <w:tc>
          <w:tcPr/>
          <w:p>
            <w:pPr>
              <w:pStyle w:val="Compact"/>
            </w:pPr>
            <w:r>
              <w:t xml:space="preserve">NB-9</w:t>
            </w:r>
          </w:p>
        </w:tc>
        <w:tc>
          <w:tcPr/>
          <w:p>
            <w:pPr>
              <w:pStyle w:val="Compact"/>
            </w:pPr>
            <w:r>
              <w:t xml:space="preserve">Formato ID pratica =</w:t>
            </w:r>
            <w:r>
              <w:t xml:space="preserve"> </w:t>
            </w:r>
            <w:r>
              <w:t xml:space="preserve">“M{n}”</w:t>
            </w:r>
            <w:r>
              <w:t xml:space="preserve"> </w:t>
            </w:r>
            <w:r>
              <w:t xml:space="preserve">(M1, M2, M3…) senza padding zero.</w:t>
            </w:r>
            <w:r>
              <w:t xml:space="preserve"> </w:t>
            </w:r>
            <w:r>
              <w:t xml:space="preserve">“Prat001”</w:t>
            </w:r>
            <w:r>
              <w:t xml:space="preserve"> </w:t>
            </w:r>
            <w:r>
              <w:t xml:space="preserve">nei mockup e’ placeholder</w:t>
            </w:r>
          </w:p>
        </w:tc>
        <w:tc>
          <w:tcPr/>
          <w:p>
            <w:pPr>
              <w:pStyle w:val="Compact"/>
            </w:pPr>
            <w:r>
              <w:t xml:space="preserve">Se serviva padding zero (M001), rework generazione ID e display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</w:t>
            </w:r>
          </w:p>
        </w:tc>
        <w:tc>
          <w:tcPr/>
          <w:p>
            <w:pPr>
              <w:pStyle w:val="Compact"/>
            </w:pPr>
            <w:r>
              <w:t xml:space="preserve">“Formato M{n}”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A-010</w:t>
            </w:r>
          </w:p>
        </w:tc>
        <w:tc>
          <w:tcPr/>
          <w:p>
            <w:pPr>
              <w:pStyle w:val="Compact"/>
            </w:pPr>
            <w:r>
              <w:t xml:space="preserve">NB-10</w:t>
            </w:r>
          </w:p>
        </w:tc>
        <w:tc>
          <w:tcPr/>
          <w:p>
            <w:pPr>
              <w:pStyle w:val="Compact"/>
            </w:pPr>
            <w:r>
              <w:t xml:space="preserve">La seconda colonna</w:t>
            </w:r>
            <w:r>
              <w:t xml:space="preserve"> </w:t>
            </w:r>
            <w:r>
              <w:t xml:space="preserve">“Note”</w:t>
            </w:r>
            <w:r>
              <w:t xml:space="preserve"> </w:t>
            </w:r>
            <w:r>
              <w:t xml:space="preserve">e’ un errore nel mockup, ignorarla</w:t>
            </w:r>
          </w:p>
        </w:tc>
        <w:tc>
          <w:tcPr/>
          <w:p>
            <w:pPr>
              <w:pStyle w:val="Compact"/>
            </w:pPr>
            <w:r>
              <w:t xml:space="preserve">Manca una colonna richiesta</w:t>
            </w:r>
          </w:p>
        </w:tc>
        <w:tc>
          <w:tcPr/>
          <w:p>
            <w:pPr>
              <w:pStyle w:val="Compact"/>
            </w:pPr>
            <w:r>
              <w:t xml:space="preserve">Basso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</w:t>
            </w:r>
          </w:p>
        </w:tc>
        <w:tc>
          <w:tcPr/>
          <w:p>
            <w:pPr>
              <w:pStyle w:val="Compact"/>
            </w:pPr>
            <w:r>
              <w:t xml:space="preserve">“Refuso nel mockup”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A-011</w:t>
            </w:r>
          </w:p>
        </w:tc>
        <w:tc>
          <w:tcPr/>
          <w:p>
            <w:pPr>
              <w:pStyle w:val="Compact"/>
            </w:pPr>
            <w:r>
              <w:t xml:space="preserve">NB-11</w:t>
            </w:r>
          </w:p>
        </w:tc>
        <w:tc>
          <w:tcPr/>
          <w:p>
            <w:pPr>
              <w:pStyle w:val="Compact"/>
            </w:pPr>
            <w:r>
              <w:t xml:space="preserve">Upload manuale COVN0/DB Obblighi in formato XLSX. Aggiornamento incrementale per Tracking ID. Conflitti: il file vince sui dati automatici, non su quelli inseriti manualmente da Deloitte.</w:t>
            </w:r>
          </w:p>
        </w:tc>
        <w:tc>
          <w:tcPr/>
          <w:p>
            <w:pPr>
              <w:pStyle w:val="Compact"/>
            </w:pPr>
            <w:r>
              <w:t xml:space="preserve">Formato/logica diversi da reimplementare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attesa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A-012</w:t>
            </w:r>
          </w:p>
        </w:tc>
        <w:tc>
          <w:tcPr/>
          <w:p>
            <w:pPr>
              <w:pStyle w:val="Compact"/>
            </w:pPr>
            <w:r>
              <w:t xml:space="preserve">NB-12</w:t>
            </w:r>
          </w:p>
        </w:tc>
        <w:tc>
          <w:tcPr/>
          <w:p>
            <w:pPr>
              <w:pStyle w:val="Compact"/>
            </w:pPr>
            <w:r>
              <w:t xml:space="preserve">“10% dalla soglia”</w:t>
            </w:r>
            <w:r>
              <w:t xml:space="preserve"> </w:t>
            </w:r>
            <w:r>
              <w:t xml:space="preserve">= valore entro il 90%-100% della soglia (es. soglia 70 con segno</w:t>
            </w:r>
            <w:r>
              <w:t xml:space="preserve"> </w:t>
            </w:r>
            <w:r>
              <w:t xml:space="preserve">“&lt;”</w:t>
            </w:r>
            <w:r>
              <w:t xml:space="preserve">: valore &gt; 63 e &lt; 70 attiva</w:t>
            </w:r>
            <w:r>
              <w:t xml:space="preserve"> </w:t>
            </w:r>
            <w:r>
              <w:t xml:space="preserve">“Da attenzionare”</w:t>
            </w:r>
            <w:r>
              <w:t xml:space="preserve">). Le due condizioni sono in OR.</w:t>
            </w:r>
          </w:p>
        </w:tc>
        <w:tc>
          <w:tcPr/>
          <w:p>
            <w:pPr>
              <w:pStyle w:val="Compact"/>
            </w:pPr>
            <w:r>
              <w:t xml:space="preserve">Calcolo soglia errato, stati monitoraggio sbagliati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 con dettaglio</w:t>
            </w:r>
          </w:p>
        </w:tc>
        <w:tc>
          <w:tcPr/>
          <w:p>
            <w:pPr>
              <w:pStyle w:val="Compact"/>
            </w:pPr>
            <w:r>
              <w:t xml:space="preserve">Formule precise fornite con esempi numerici per entrambi i segni e entrambe le condizioni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A-013</w:t>
            </w:r>
          </w:p>
        </w:tc>
        <w:tc>
          <w:tcPr/>
          <w:p>
            <w:pPr>
              <w:pStyle w:val="Compact"/>
            </w:pPr>
            <w:r>
              <w:t xml:space="preserve">NB-13</w:t>
            </w:r>
          </w:p>
        </w:tc>
        <w:tc>
          <w:tcPr/>
          <w:p>
            <w:pPr>
              <w:pStyle w:val="Compact"/>
            </w:pPr>
            <w:r>
              <w:t xml:space="preserve">Evento con eccezione: conteggiato come</w:t>
            </w:r>
            <w:r>
              <w:t xml:space="preserve"> </w:t>
            </w:r>
            <w:r>
              <w:t xml:space="preserve">“OK”</w:t>
            </w:r>
            <w:r>
              <w:t xml:space="preserve">, data avvenuto monitoraggio = data dell’eccezione, valore monitoraggio =</w:t>
            </w:r>
            <w:r>
              <w:t xml:space="preserve"> </w:t>
            </w:r>
            <w:r>
              <w:t xml:space="preserve">“N/A”</w:t>
            </w:r>
          </w:p>
        </w:tc>
        <w:tc>
          <w:tcPr/>
          <w:p>
            <w:pPr>
              <w:pStyle w:val="Compact"/>
            </w:pPr>
            <w:r>
              <w:t xml:space="preserve">Conteggi errati, report inconsistenti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Confermata con correzione</w:t>
            </w:r>
          </w:p>
        </w:tc>
        <w:tc>
          <w:tcPr/>
          <w:p>
            <w:pPr>
              <w:pStyle w:val="Compact"/>
            </w:pPr>
            <w:r>
              <w:t xml:space="preserve">“Conteggiato OK, data = data azione, valore resta vuoto (non N/A)”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A-014</w:t>
            </w:r>
          </w:p>
        </w:tc>
        <w:tc>
          <w:tcPr/>
          <w:p>
            <w:pPr>
              <w:pStyle w:val="Compact"/>
            </w:pPr>
            <w:r>
              <w:t xml:space="preserve">NB-14</w:t>
            </w:r>
          </w:p>
        </w:tc>
        <w:tc>
          <w:tcPr/>
          <w:p>
            <w:pPr>
              <w:pStyle w:val="Compact"/>
            </w:pPr>
            <w:r>
              <w:t xml:space="preserve">La tabella Storico Spread della sezione 7.3.5 (con Data Riferimento, Valore Monitorato, Cluster, Margine) e’ quella definitiva. La sezione 3.5.2 e’ una versione precedente.</w:t>
            </w:r>
          </w:p>
        </w:tc>
        <w:tc>
          <w:tcPr/>
          <w:p>
            <w:pPr>
              <w:pStyle w:val="Compact"/>
            </w:pPr>
            <w:r>
              <w:t xml:space="preserve">Tabella da rifare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Rigettata</w:t>
            </w:r>
          </w:p>
        </w:tc>
        <w:tc>
          <w:tcPr/>
          <w:p>
            <w:pPr>
              <w:pStyle w:val="Compact"/>
            </w:pPr>
            <w:r>
              <w:t xml:space="preserve">“Sono due oggetti distinti entrambi corretti: Tabella storico Spread (sez. 3.5.2) e Tabella Spread (sez. 7.3.5)”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A-015</w:t>
            </w:r>
          </w:p>
        </w:tc>
        <w:tc>
          <w:tcPr/>
          <w:p>
            <w:pPr>
              <w:pStyle w:val="Compact"/>
            </w:pPr>
            <w:r>
              <w:t xml:space="preserve">NB-15</w:t>
            </w:r>
          </w:p>
        </w:tc>
        <w:tc>
          <w:tcPr/>
          <w:p>
            <w:pPr>
              <w:pStyle w:val="Compact"/>
            </w:pPr>
            <w:r>
              <w:t xml:space="preserve">La mailing list e’ usata per notifiche automatiche di: scadenza monitoraggio (7 giorni prima), monitoraggio scaduto, eccezione richiesta/gestita, variazione spread. Tutti i contatti sono in TO (nessuna distinzione CC).</w:t>
            </w:r>
          </w:p>
        </w:tc>
        <w:tc>
          <w:tcPr/>
          <w:p>
            <w:pPr>
              <w:pStyle w:val="Compact"/>
            </w:pPr>
            <w:r>
              <w:t xml:space="preserve">Template notifiche da rifare, logica destinatari diversa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attesa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A-016</w:t>
            </w:r>
          </w:p>
        </w:tc>
        <w:tc>
          <w:tcPr/>
          <w:p>
            <w:pPr>
              <w:pStyle w:val="Compact"/>
            </w:pPr>
            <w:r>
              <w:t xml:space="preserve">NB-16</w:t>
            </w:r>
          </w:p>
        </w:tc>
        <w:tc>
          <w:tcPr/>
          <w:p>
            <w:pPr>
              <w:pStyle w:val="Compact"/>
            </w:pPr>
            <w:r>
              <w:t xml:space="preserve">“Tempo reale”</w:t>
            </w:r>
            <w:r>
              <w:t xml:space="preserve"> </w:t>
            </w:r>
            <w:r>
              <w:t xml:space="preserve">= polling dal frontend ogni 60 secondi, non WebSocket</w:t>
            </w:r>
          </w:p>
        </w:tc>
        <w:tc>
          <w:tcPr/>
          <w:p>
            <w:pPr>
              <w:pStyle w:val="Compact"/>
            </w:pPr>
            <w:r>
              <w:t xml:space="preserve">Se servono WebSocket, impatto architetturale significativo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attesa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34"/>
    <w:bookmarkStart w:id="35" w:name="disallineamenti-col-codice"/>
    <w:p>
      <w:pPr>
        <w:pStyle w:val="Heading3"/>
      </w:pPr>
      <w:r>
        <w:t xml:space="preserve">Disallineamenti col codice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Concetto BR</w:t>
            </w:r>
          </w:p>
        </w:tc>
        <w:tc>
          <w:tcPr/>
          <w:p>
            <w:pPr>
              <w:pStyle w:val="Compact"/>
            </w:pPr>
            <w:r>
              <w:t xml:space="preserve">Nel codice</w:t>
            </w:r>
          </w:p>
        </w:tc>
        <w:tc>
          <w:tcPr/>
          <w:p>
            <w:pPr>
              <w:pStyle w:val="Compact"/>
            </w:pPr>
            <w:r>
              <w:t xml:space="preserve">File/Classe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D-001</w:t>
            </w:r>
          </w:p>
        </w:tc>
        <w:tc>
          <w:tcPr/>
          <w:p>
            <w:pPr>
              <w:pStyle w:val="Compact"/>
            </w:pPr>
            <w:r>
              <w:t xml:space="preserve">Stati documento monitoraggio:</w:t>
            </w:r>
            <w:r>
              <w:t xml:space="preserve"> </w:t>
            </w:r>
            <w:r>
              <w:t xml:space="preserve">“In attesa di conferma”</w:t>
            </w:r>
            <w:r>
              <w:t xml:space="preserve">,</w:t>
            </w:r>
            <w:r>
              <w:t xml:space="preserve"> </w:t>
            </w:r>
            <w:r>
              <w:t xml:space="preserve">“Verifica dati in corso”</w:t>
            </w:r>
            <w:r>
              <w:t xml:space="preserve">,</w:t>
            </w:r>
            <w:r>
              <w:t xml:space="preserve"> </w:t>
            </w:r>
            <w:r>
              <w:t xml:space="preserve">“Estrazione GenAI in corso”</w:t>
            </w:r>
            <w:r>
              <w:t xml:space="preserve">,</w:t>
            </w:r>
            <w:r>
              <w:t xml:space="preserve"> </w:t>
            </w:r>
            <w:r>
              <w:t xml:space="preserve">“Estrazione GenAI da validare”</w:t>
            </w:r>
            <w:r>
              <w:t xml:space="preserve">,</w:t>
            </w:r>
            <w:r>
              <w:t xml:space="preserve"> </w:t>
            </w:r>
            <w:r>
              <w:t xml:space="preserve">“Completato”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DocumentStateEnum</w:t>
            </w:r>
            <w:r>
              <w:t xml:space="preserve">: TO_BE_UPLOAD, TO_BE_DOWNLOAD, TO_BE_VALIDATED, VALIDATED, UPLOADED, 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Ba-back-end/.../enumeration/document/DocumentStateEnum.java</w:t>
            </w:r>
          </w:p>
        </w:tc>
        <w:tc>
          <w:tcPr/>
          <w:p>
            <w:pPr>
              <w:pStyle w:val="Compact"/>
            </w:pPr>
            <w:r>
              <w:t xml:space="preserve">Il BR definisce stati completamente diversi per i documenti di monitoraggio. L’enum esistente serve il flusso censimento. Servira’ un nuovo enum o un’estensione.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D-002</w:t>
            </w:r>
          </w:p>
        </w:tc>
        <w:tc>
          <w:tcPr/>
          <w:p>
            <w:pPr>
              <w:pStyle w:val="Compact"/>
            </w:pPr>
            <w:r>
              <w:t xml:space="preserve">Stati documento monitoraggio (sottostati Deloitte):</w:t>
            </w:r>
            <w:r>
              <w:t xml:space="preserve"> </w:t>
            </w:r>
            <w:r>
              <w:t xml:space="preserve">“Estrazione GenAI in corso”</w:t>
            </w:r>
            <w:r>
              <w:t xml:space="preserve">,</w:t>
            </w:r>
            <w:r>
              <w:t xml:space="preserve"> </w:t>
            </w:r>
            <w:r>
              <w:t xml:space="preserve">“Estrazione GenAI da validare”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SectionStateEnum</w:t>
            </w:r>
            <w:r>
              <w:t xml:space="preserve">: SECTION_COMPLETE_AI_EXTRACTION_IN_PROGRESS, SECTION_COMPLETE_AI_TO_VERIFY_EXTRACTION, SECTION_COMPLETE_AI_TO_VALIDATE_REPORT, SECTION_REPORT_GENERATED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Ba-back-end/.../enumeration/agency_desk/SectionStateEnum.java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rStyle w:val="VerbatimChar"/>
              </w:rPr>
              <w:t xml:space="preserve">SectionStateEnum</w:t>
            </w:r>
            <w:r>
              <w:t xml:space="preserve"> </w:t>
            </w:r>
            <w:r>
              <w:t xml:space="preserve">ha logica simile ma naming diverso e si applica a livello di sezione, non di singolo documento. Per il monitoraggio servono stati a livello documento.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D-003</w:t>
            </w:r>
          </w:p>
        </w:tc>
        <w:tc>
          <w:tcPr/>
          <w:p>
            <w:pPr>
              <w:pStyle w:val="Compact"/>
            </w:pPr>
            <w:r>
              <w:t xml:space="preserve">Periodicita’ monitoraggio: Annuale, Semestrale, Trimestrale, Mensile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MonitoringPeriodicityEnum</w:t>
            </w:r>
            <w:r>
              <w:t xml:space="preserve">: ANNUALE, SEMESTRALE, TRIMESTRALE, MENSILE,</w:t>
            </w:r>
            <w:r>
              <w:t xml:space="preserve"> </w:t>
            </w:r>
            <w:r>
              <w:rPr>
                <w:b/>
                <w:bCs/>
              </w:rPr>
              <w:t xml:space="preserve">ALTRO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Ba-back-end/.../enumeration/agency_desk/MonitoringPeriodicityEnum.java</w:t>
            </w:r>
          </w:p>
        </w:tc>
        <w:tc>
          <w:tcPr/>
          <w:p>
            <w:pPr>
              <w:pStyle w:val="Compact"/>
            </w:pPr>
            <w:r>
              <w:t xml:space="preserve">Il BR non menziona il valore</w:t>
            </w:r>
            <w:r>
              <w:t xml:space="preserve"> </w:t>
            </w:r>
            <w:r>
              <w:t xml:space="preserve">“ALTRO”</w:t>
            </w:r>
            <w:r>
              <w:t xml:space="preserve"> </w:t>
            </w:r>
            <w:r>
              <w:t xml:space="preserve">che esiste nell’enum. Chiarire se va mantenuto per retrocompatibilita’.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D-004</w:t>
            </w:r>
          </w:p>
        </w:tc>
        <w:tc>
          <w:tcPr/>
          <w:p>
            <w:pPr>
              <w:pStyle w:val="Compact"/>
            </w:pPr>
            <w:r>
              <w:t xml:space="preserve">ID Pratica Monitoraggio: formato</w:t>
            </w:r>
            <w:r>
              <w:t xml:space="preserve"> </w:t>
            </w:r>
            <w:r>
              <w:t xml:space="preserve">“M{n}”</w:t>
            </w:r>
          </w:p>
        </w:tc>
        <w:tc>
          <w:tcPr/>
          <w:p>
            <w:pPr>
              <w:pStyle w:val="Compact"/>
            </w:pPr>
            <w:r>
              <w:t xml:space="preserve">Nessun generatore di ID monitoraggio</w:t>
            </w:r>
          </w:p>
        </w:tc>
        <w:tc>
          <w:tcPr/>
          <w:p>
            <w:pPr>
              <w:pStyle w:val="Compact"/>
            </w:pPr>
            <w:r>
              <w:t xml:space="preserve">Nessun file dedicato</w:t>
            </w:r>
          </w:p>
        </w:tc>
        <w:tc>
          <w:tcPr/>
          <w:p>
            <w:pPr>
              <w:pStyle w:val="Compact"/>
            </w:pPr>
            <w:r>
              <w:t xml:space="preserve">Non esiste logica di generazione ID per le pratiche di monitoraggio. La</w:t>
            </w:r>
            <w:r>
              <w:t xml:space="preserve"> </w:t>
            </w:r>
            <w:r>
              <w:rPr>
                <w:rStyle w:val="VerbatimChar"/>
              </w:rPr>
              <w:t xml:space="preserve">vw_monitoring_practice_summary</w:t>
            </w:r>
            <w:r>
              <w:t xml:space="preserve"> </w:t>
            </w: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mp.code</w:t>
            </w:r>
            <w:r>
              <w:t xml:space="preserve"> </w:t>
            </w:r>
            <w:r>
              <w:t xml:space="preserve">come</w:t>
            </w:r>
            <w:r>
              <w:t xml:space="preserve"> </w:t>
            </w:r>
            <w:r>
              <w:rPr>
                <w:rStyle w:val="VerbatimChar"/>
              </w:rPr>
              <w:t xml:space="preserve">practice_code</w:t>
            </w:r>
            <w:r>
              <w:t xml:space="preserve"> </w:t>
            </w:r>
            <w:r>
              <w:t xml:space="preserve">ma non e’ chiaro il formato.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D-005</w:t>
            </w:r>
          </w:p>
        </w:tc>
        <w:tc>
          <w:tcPr/>
          <w:p>
            <w:pPr>
              <w:pStyle w:val="Compact"/>
            </w:pPr>
            <w:r>
              <w:t xml:space="preserve">Entita’ Covenant (con campi: Tipologia, Valore Limite, Segno, Periodicita’, Covenant Variabile, Note)</w:t>
            </w:r>
          </w:p>
        </w:tc>
        <w:tc>
          <w:tcPr/>
          <w:p>
            <w:pPr>
              <w:pStyle w:val="Compact"/>
            </w:pPr>
            <w:r>
              <w:t xml:space="preserve">Nessuna entita’</w:t>
            </w:r>
            <w:r>
              <w:t xml:space="preserve"> </w:t>
            </w:r>
            <w:r>
              <w:rPr>
                <w:rStyle w:val="VerbatimChar"/>
              </w:rPr>
              <w:t xml:space="preserve">Covenant</w:t>
            </w:r>
            <w:r>
              <w:t xml:space="preserve"> </w:t>
            </w:r>
            <w:r>
              <w:t xml:space="preserve">nel dominio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Ba-back-end/.../domain/</w:t>
            </w:r>
          </w:p>
        </w:tc>
        <w:tc>
          <w:tcPr/>
          <w:p>
            <w:pPr>
              <w:pStyle w:val="Compact"/>
            </w:pPr>
            <w:r>
              <w:t xml:space="preserve">Esistono enum per tipi covenant (</w:t>
            </w:r>
            <w:r>
              <w:rPr>
                <w:rStyle w:val="VerbatimChar"/>
              </w:rPr>
              <w:t xml:space="preserve">CovenantTypeNumericEnum</w:t>
            </w:r>
            <w:r>
              <w:t xml:space="preserve"> </w:t>
            </w:r>
            <w:r>
              <w:t xml:space="preserve">con ~53 valori,</w:t>
            </w:r>
            <w:r>
              <w:t xml:space="preserve"> </w:t>
            </w:r>
            <w:r>
              <w:rPr>
                <w:rStyle w:val="VerbatimChar"/>
              </w:rPr>
              <w:t xml:space="preserve">CovenantSignEnum</w:t>
            </w:r>
            <w:r>
              <w:t xml:space="preserve">) ma nessuna entita’ JPA. Tutto da creare.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D-006</w:t>
            </w:r>
          </w:p>
        </w:tc>
        <w:tc>
          <w:tcPr/>
          <w:p>
            <w:pPr>
              <w:pStyle w:val="Compact"/>
            </w:pPr>
            <w:r>
              <w:t xml:space="preserve">Entita’ Evento di Monitoraggio (con campi: ID, Data Riferimento, Scadenza, Valore Monitoraggio, Status, Data Avvenuto Monitoraggio)</w:t>
            </w:r>
          </w:p>
        </w:tc>
        <w:tc>
          <w:tcPr/>
          <w:p>
            <w:pPr>
              <w:pStyle w:val="Compact"/>
            </w:pPr>
            <w:r>
              <w:t xml:space="preserve">Nessuna entita’</w:t>
            </w:r>
            <w:r>
              <w:t xml:space="preserve"> </w:t>
            </w:r>
            <w:r>
              <w:rPr>
                <w:rStyle w:val="VerbatimChar"/>
              </w:rPr>
              <w:t xml:space="preserve">MonitoringEvent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Ba-back-end/.../domain/</w:t>
            </w:r>
          </w:p>
        </w:tc>
        <w:tc>
          <w:tcPr/>
          <w:p>
            <w:pPr>
              <w:pStyle w:val="Compact"/>
            </w:pPr>
            <w:r>
              <w:t xml:space="preserve">Non esiste. Tutto da creare.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D-007</w:t>
            </w:r>
          </w:p>
        </w:tc>
        <w:tc>
          <w:tcPr/>
          <w:p>
            <w:pPr>
              <w:pStyle w:val="Compact"/>
            </w:pPr>
            <w:r>
              <w:t xml:space="preserve">Macchina a stati multi-livello: Pratica -&gt; Covenant -&gt; Evento -&gt; Documento</w:t>
            </w:r>
          </w:p>
        </w:tc>
        <w:tc>
          <w:tcPr/>
          <w:p>
            <w:pPr>
              <w:pStyle w:val="Compact"/>
            </w:pPr>
            <w:r>
              <w:t xml:space="preserve">Nessuna macchina a stati per monitoraggio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Ba-back-end/.../service/psm/PsmStateService.java</w:t>
            </w:r>
          </w:p>
        </w:tc>
        <w:tc>
          <w:tcPr/>
          <w:p>
            <w:pPr>
              <w:pStyle w:val="Compact"/>
            </w:pPr>
            <w:r>
              <w:t xml:space="preserve">La PSM esistente gestisce stati pratica generici (censimento/booking/pre-closing/post-closing). Per il monitoraggio servono 4 livelli di stato indipendenti.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D-008</w:t>
            </w:r>
          </w:p>
        </w:tc>
        <w:tc>
          <w:tcPr/>
          <w:p>
            <w:pPr>
              <w:pStyle w:val="Compact"/>
            </w:pPr>
            <w:r>
              <w:t xml:space="preserve">Email monitoraggio: notifiche scadenza, eccezione, rifiuto documento, variazione spread</w:t>
            </w:r>
          </w:p>
        </w:tc>
        <w:tc>
          <w:tcPr/>
          <w:p>
            <w:pPr>
              <w:pStyle w:val="Compact"/>
            </w:pPr>
            <w:r>
              <w:t xml:space="preserve">Nessun template email per monitoraggio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Ba-back-end/.../enumeration/EmailTemplateEnum.java</w:t>
            </w:r>
          </w:p>
        </w:tc>
        <w:tc>
          <w:tcPr/>
          <w:p>
            <w:pPr>
              <w:pStyle w:val="Compact"/>
            </w:pPr>
            <w:r>
              <w:t xml:space="preserve">Servira’ aggiungere 6-10 nuovi template email in</w:t>
            </w:r>
            <w:r>
              <w:t xml:space="preserve"> </w:t>
            </w:r>
            <w:r>
              <w:rPr>
                <w:rStyle w:val="VerbatimChar"/>
              </w:rPr>
              <w:t xml:space="preserve">EmailTemplateEnum</w:t>
            </w:r>
            <w:r>
              <w:t xml:space="preserve"> </w:t>
            </w:r>
            <w:r>
              <w:t xml:space="preserve">e i corrispettivi template in Ba-email-manager.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D-009</w:t>
            </w:r>
          </w:p>
        </w:tc>
        <w:tc>
          <w:tcPr/>
          <w:p>
            <w:pPr>
              <w:pStyle w:val="Compact"/>
            </w:pPr>
            <w:r>
              <w:t xml:space="preserve">Spread: tabella spread per pratica, storico variazioni, collegamento a covenant</w:t>
            </w:r>
          </w:p>
        </w:tc>
        <w:tc>
          <w:tcPr/>
          <w:p>
            <w:pPr>
              <w:pStyle w:val="Compact"/>
            </w:pPr>
            <w:r>
              <w:t xml:space="preserve">Nessuna logica spread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Ba-back-end/</w:t>
            </w:r>
          </w:p>
        </w:tc>
        <w:tc>
          <w:tcPr/>
          <w:p>
            <w:pPr>
              <w:pStyle w:val="Compact"/>
            </w:pPr>
            <w:r>
              <w:t xml:space="preserve">La parola</w:t>
            </w:r>
            <w:r>
              <w:t xml:space="preserve"> </w:t>
            </w:r>
            <w:r>
              <w:t xml:space="preserve">“spread”</w:t>
            </w:r>
            <w:r>
              <w:t xml:space="preserve"> </w:t>
            </w:r>
            <w:r>
              <w:t xml:space="preserve">nei file BE si riferisce a spreadsheet (fogli Excel), non a spread finanziari. Tutto da creare.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D-010</w:t>
            </w:r>
          </w:p>
        </w:tc>
        <w:tc>
          <w:tcPr/>
          <w:p>
            <w:pPr>
              <w:pStyle w:val="Compact"/>
            </w:pPr>
            <w:r>
              <w:t xml:space="preserve">Mailing list per pratica monitoraggio: CRUD contatti, upload AD Form, estrazione GenAI</w:t>
            </w:r>
          </w:p>
        </w:tc>
        <w:tc>
          <w:tcPr/>
          <w:p>
            <w:pPr>
              <w:pStyle w:val="Compac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isBookingMailingListReportGenerated()</w:t>
            </w:r>
            <w:r>
              <w:t xml:space="preserve"> </w:t>
            </w:r>
            <w:r>
              <w:t xml:space="preserve">per il flusso 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Ba-back-end/.../service/psm/PsmStateService.java</w:t>
            </w:r>
          </w:p>
        </w:tc>
        <w:tc>
          <w:tcPr/>
          <w:p>
            <w:pPr>
              <w:pStyle w:val="Compact"/>
            </w:pPr>
            <w:r>
              <w:t xml:space="preserve">Il concetto di mailing list esiste solo come check booleano nel flusso Booking. Per il monitoraggio serve un modulo completo.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D-011</w:t>
            </w:r>
          </w:p>
        </w:tc>
        <w:tc>
          <w:tcPr/>
          <w:p>
            <w:pPr>
              <w:pStyle w:val="Compact"/>
            </w:pPr>
            <w:r>
              <w:t xml:space="preserve">Frontend: dashboard monitoraggio, tabella pratiche, dettaglio pratica, dettaglio covenant, spread, scadenziere, mailing list</w:t>
            </w:r>
          </w:p>
        </w:tc>
        <w:tc>
          <w:tcPr/>
          <w:p>
            <w:pPr>
              <w:pStyle w:val="Compac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MonitoringComponent</w:t>
            </w:r>
            <w:r>
              <w:t xml:space="preserve"> </w:t>
            </w:r>
            <w:r>
              <w:t xml:space="preserve">generico (step in un wizard di dossier)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Ba-web/.../dossier/step-type-monitoring/monitoring.component.ts</w:t>
            </w:r>
          </w:p>
        </w:tc>
        <w:tc>
          <w:tcPr/>
          <w:p>
            <w:pPr>
              <w:pStyle w:val="Compact"/>
            </w:pPr>
            <w:r>
              <w:t xml:space="preserve">Il FE ha solo un componente monitoring generico usato nel wizard del dossier censimento. Tutte le pagine del modulo monitoraggio sono da creare da zero.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D-012</w:t>
            </w:r>
          </w:p>
        </w:tc>
        <w:tc>
          <w:tcPr/>
          <w:p>
            <w:pPr>
              <w:pStyle w:val="Compact"/>
            </w:pPr>
            <w:r>
              <w:t xml:space="preserve">Document manager: gestione compliance certificate, upload, validazione, stati specifici monitoraggio</w:t>
            </w:r>
          </w:p>
        </w:tc>
        <w:tc>
          <w:tcPr/>
          <w:p>
            <w:pPr>
              <w:pStyle w:val="Compact"/>
            </w:pPr>
            <w:r>
              <w:t xml:space="preserve">Nessun codice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Ba-document-manager/</w:t>
            </w:r>
          </w:p>
        </w:tc>
        <w:tc>
          <w:tcPr/>
          <w:p>
            <w:pPr>
              <w:pStyle w:val="Compact"/>
            </w:pPr>
            <w:r>
              <w:t xml:space="preserve">Il DM non ha alcun codice relativo al monitoraggio. Se la gestione documenti monitoraggio passa dal DM, va implementato da zero.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riepilogo-per-br-analyzer"/>
    <w:p>
      <w:pPr>
        <w:pStyle w:val="Heading2"/>
      </w:pPr>
      <w:r>
        <w:t xml:space="preserve">Riepilogo per br-analyzer</w:t>
      </w:r>
    </w:p>
    <w:p>
      <w:pPr>
        <w:pStyle w:val="FirstParagraph"/>
      </w:pPr>
      <w:r>
        <w:t xml:space="preserve">Ultimo aggiornamento: 2026-05-05 (br-clarify, round 2)</w:t>
      </w:r>
    </w:p>
    <w:bookmarkStart w:id="37" w:name="bloccanti-risolti"/>
    <w:p>
      <w:pPr>
        <w:pStyle w:val="Heading3"/>
      </w:pPr>
      <w:r>
        <w:t xml:space="preserve">Bloccanti risolti</w:t>
      </w:r>
    </w:p>
    <w:p>
      <w:pPr>
        <w:pStyle w:val="Compact"/>
        <w:numPr>
          <w:ilvl w:val="0"/>
          <w:numId w:val="1040"/>
        </w:numPr>
      </w:pPr>
      <w:r>
        <w:t xml:space="preserve">[B1] Formato ID Evento Monitoraggio → Il formato definitivo e’</w:t>
      </w:r>
      <w:r>
        <w:t xml:space="preserve"> </w:t>
      </w:r>
      <w:r>
        <w:rPr>
          <w:rStyle w:val="VerbatimChar"/>
        </w:rPr>
        <w:t xml:space="preserve">M{n}C{n}E{n}</w:t>
      </w:r>
      <w:r>
        <w:t xml:space="preserve"> </w:t>
      </w:r>
      <w:r>
        <w:t xml:space="preserve">(es. M1C1E1). Le occorrenze di</w:t>
      </w:r>
      <w:r>
        <w:t xml:space="preserve"> </w:t>
      </w:r>
      <w:r>
        <w:rPr>
          <w:rStyle w:val="VerbatimChar"/>
        </w:rPr>
        <w:t xml:space="preserve">P1C2M1</w:t>
      </w:r>
      <w:r>
        <w:t xml:space="preserve"> </w:t>
      </w:r>
      <w:r>
        <w:t xml:space="preserve">nel BR sono refusi.</w:t>
      </w:r>
    </w:p>
    <w:p>
      <w:pPr>
        <w:pStyle w:val="Compact"/>
        <w:numPr>
          <w:ilvl w:val="0"/>
          <w:numId w:val="1040"/>
        </w:numPr>
      </w:pPr>
      <w:r>
        <w:t xml:space="preserve">[B2] Macchina stati old vs corrente → La chiusura e’ automatica (versione</w:t>
      </w:r>
      <w:r>
        <w:t xml:space="preserve"> </w:t>
      </w:r>
      <w:r>
        <w:t xml:space="preserve">“old”</w:t>
      </w:r>
      <w:r>
        <w:t xml:space="preserve">). Condizioni aggiornate: (1)</w:t>
      </w:r>
      <w:r>
        <w:t xml:space="preserve"> </w:t>
      </w:r>
      <w:r>
        <w:t xml:space="preserve">“Data di scadenza operazione &lt; Today”</w:t>
      </w:r>
      <w:r>
        <w:t xml:space="preserve">, (2)</w:t>
      </w:r>
      <w:r>
        <w:t xml:space="preserve"> </w:t>
      </w:r>
      <w:r>
        <w:t xml:space="preserve">“Data di scadenza piu’ lontana tra gli eventi di monitoraggio &lt; Today”</w:t>
      </w:r>
      <w:r>
        <w:t xml:space="preserve">, (3) assenza di eventi con status</w:t>
      </w:r>
      <w:r>
        <w:t xml:space="preserve"> </w:t>
      </w:r>
      <w:r>
        <w:t xml:space="preserve">“Monitoraggio Scaduto”</w:t>
      </w:r>
      <w:r>
        <w:t xml:space="preserve"> </w:t>
      </w:r>
      <w:r>
        <w:t xml:space="preserve">/</w:t>
      </w:r>
      <w:r>
        <w:t xml:space="preserve"> </w:t>
      </w:r>
      <w:r>
        <w:t xml:space="preserve">“Monitoraggio Fuori Soglia”</w:t>
      </w:r>
      <w:r>
        <w:t xml:space="preserve"> </w:t>
      </w:r>
      <w:r>
        <w:t xml:space="preserve">/</w:t>
      </w:r>
      <w:r>
        <w:t xml:space="preserve"> </w:t>
      </w:r>
      <w:r>
        <w:t xml:space="preserve">“Monitoraggio in Scadenza”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[B3] Sezione 3.2.7 incompleta → Lo Status Monitoraggio del singolo Covenant segue le logiche di priorita’ dello stato pratica, basate sugli eventi. Macchina a stati aggiornata:</w:t>
      </w:r>
      <w:r>
        <w:t xml:space="preserve"> </w:t>
      </w:r>
      <w:r>
        <w:rPr>
          <w:rStyle w:val="VerbatimChar"/>
        </w:rPr>
        <w:t xml:space="preserve">202604_Macchina Stati Monitoring_v2.xlsx</w:t>
      </w:r>
      <w:r>
        <w:t xml:space="preserve"> </w:t>
      </w:r>
      <w:r>
        <w:t xml:space="preserve">– nuovo sheet</w:t>
      </w:r>
      <w:r>
        <w:t xml:space="preserve"> </w:t>
      </w:r>
      <w:r>
        <w:t xml:space="preserve">“Singolo Covenant”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[B4] Semaforo →</w:t>
      </w:r>
      <w:r>
        <w:t xml:space="preserve"> </w:t>
      </w:r>
      <w:r>
        <w:rPr>
          <w:b/>
          <w:bCs/>
        </w:rPr>
        <w:t xml:space="preserve">6 colori distinti</w:t>
      </w:r>
      <w:r>
        <w:t xml:space="preserve"> </w:t>
      </w:r>
      <w:r>
        <w:t xml:space="preserve">(corretto rispetto alla risposta precedente): Verde=OK, Giallo=In scadenza, Arancione=Da attenzionare, Rosso=Scaduto, Rosso scuro=Fuori soglia, Grigio=Concluso. Servono 6 classi CSS e 6 valori filtro.</w:t>
      </w:r>
    </w:p>
    <w:p>
      <w:pPr>
        <w:pStyle w:val="Compact"/>
        <w:numPr>
          <w:ilvl w:val="0"/>
          <w:numId w:val="1040"/>
        </w:numPr>
      </w:pPr>
      <w:r>
        <w:t xml:space="preserve">[B5] Assegnazione Utente Deloitte → Per Wave 3/3bis l’utente Deloitte e’ ereditato dalla pratica di censimento, senza auto-assegnazione.</w:t>
      </w:r>
    </w:p>
    <w:bookmarkEnd w:id="37"/>
    <w:bookmarkStart w:id="38" w:name="bloccanti-ancora-aperti"/>
    <w:p>
      <w:pPr>
        <w:pStyle w:val="Heading3"/>
      </w:pPr>
      <w:r>
        <w:t xml:space="preserve">Bloccanti ancora aperti</w:t>
      </w:r>
    </w:p>
    <w:p>
      <w:pPr>
        <w:pStyle w:val="FirstParagraph"/>
      </w:pPr>
      <w:r>
        <w:t xml:space="preserve">Nessun bloccante aperto. Tutti i bloccanti sono stati risolti.</w:t>
      </w:r>
    </w:p>
    <w:bookmarkEnd w:id="38"/>
    <w:bookmarkStart w:id="39" w:name="stato-assunzioni"/>
    <w:p>
      <w:pPr>
        <w:pStyle w:val="Heading3"/>
      </w:pPr>
      <w:r>
        <w:t xml:space="preserve">Stato assunzioni</w:t>
      </w:r>
    </w:p>
    <w:p>
      <w:pPr>
        <w:pStyle w:val="FirstParagraph"/>
      </w:pPr>
      <w:r>
        <w:t xml:space="preserve">Assunzioni confermate dal funzionale: A-001, A-002, A-003, A-004, A-005, A-006, A-007, A-008, A-009, A-010, A-012, A-013</w:t>
      </w:r>
      <w:r>
        <w:t xml:space="preserve"> </w:t>
      </w:r>
      <w:r>
        <w:t xml:space="preserve">Assunzioni adottate (nessuna risposta, si procede con l’assunzione proposta): A-011, A-015, A-016</w:t>
      </w:r>
      <w:r>
        <w:t xml:space="preserve"> </w:t>
      </w:r>
      <w:r>
        <w:t xml:space="preserve">Assunzioni rigettate (risposta diversa dall’assunzione):</w:t>
      </w:r>
      <w:r>
        <w:t xml:space="preserve"> </w:t>
      </w:r>
      <w:r>
        <w:t xml:space="preserve">- A-014: assunzione era</w:t>
      </w:r>
      <w:r>
        <w:t xml:space="preserve"> </w:t>
      </w:r>
      <w:r>
        <w:t xml:space="preserve">“tabella sez. 7.3.5 definitiva, sez. 3.5.2 precedente”</w:t>
      </w:r>
      <w:r>
        <w:t xml:space="preserve"> </w:t>
      </w:r>
      <w:r>
        <w:t xml:space="preserve">→ il funzionale ha risposto</w:t>
      </w:r>
      <w:r>
        <w:t xml:space="preserve"> </w:t>
      </w:r>
      <w:r>
        <w:t xml:space="preserve">“sono due oggetti distinti entrambi corretti (Tabella storico Spread e Tabella Spread)”</w:t>
      </w:r>
    </w:p>
    <w:p>
      <w:pPr>
        <w:pStyle w:val="BodyText"/>
      </w:pPr>
      <w:r>
        <w:t xml:space="preserve">Note sulle assunzioni confermate:</w:t>
      </w:r>
      <w:r>
        <w:t xml:space="preserve"> </w:t>
      </w:r>
      <w:r>
        <w:t xml:space="preserve">- A-012: confermata con dettaglio – formule precise fornite per entrambi i segni e entrambe le condizioni</w:t>
      </w:r>
      <w:r>
        <w:t xml:space="preserve"> </w:t>
      </w:r>
      <w:r>
        <w:t xml:space="preserve">- A-013: confermata con correzione –</w:t>
      </w:r>
      <w:r>
        <w:t xml:space="preserve"> </w:t>
      </w:r>
      <w:r>
        <w:t xml:space="preserve">“Valore Monitoraggio”</w:t>
      </w:r>
      <w:r>
        <w:t xml:space="preserve"> </w:t>
      </w:r>
      <w:r>
        <w:t xml:space="preserve">resta vuoto (non</w:t>
      </w:r>
      <w:r>
        <w:t xml:space="preserve"> </w:t>
      </w:r>
      <w:r>
        <w:t xml:space="preserve">“N/A”</w:t>
      </w:r>
      <w:r>
        <w:t xml:space="preserve"> </w:t>
      </w:r>
      <w:r>
        <w:t xml:space="preserve">come assunto)</w:t>
      </w:r>
    </w:p>
    <w:bookmarkEnd w:id="39"/>
    <w:bookmarkStart w:id="40" w:name="repository-coinvolte"/>
    <w:p>
      <w:pPr>
        <w:pStyle w:val="Heading3"/>
      </w:pPr>
      <w:r>
        <w:t xml:space="preserve">Repository coinvolte</w:t>
      </w:r>
    </w:p>
    <w:p>
      <w:pPr>
        <w:pStyle w:val="Compact"/>
        <w:numPr>
          <w:ilvl w:val="0"/>
          <w:numId w:val="1041"/>
        </w:numPr>
      </w:pPr>
      <w:r>
        <w:t xml:space="preserve">BE (Ba-back-end) -&gt;</w:t>
      </w:r>
      <w:r>
        <w:t xml:space="preserve"> </w:t>
      </w:r>
      <w:r>
        <w:rPr>
          <w:rStyle w:val="VerbatimChar"/>
        </w:rPr>
        <w:t xml:space="preserve">C:\Users\diuliano\Progetti\Banca_Agente\Ba-back-end</w:t>
      </w:r>
    </w:p>
    <w:p>
      <w:pPr>
        <w:pStyle w:val="Compact"/>
        <w:numPr>
          <w:ilvl w:val="0"/>
          <w:numId w:val="1041"/>
        </w:numPr>
      </w:pPr>
      <w:r>
        <w:t xml:space="preserve">FE (Ba-web) -&gt;</w:t>
      </w:r>
      <w:r>
        <w:t xml:space="preserve"> </w:t>
      </w:r>
      <w:r>
        <w:rPr>
          <w:rStyle w:val="VerbatimChar"/>
        </w:rPr>
        <w:t xml:space="preserve">C:\Users\diuliano\Progetti\Banca_Agente\Ba-web</w:t>
      </w:r>
    </w:p>
    <w:p>
      <w:pPr>
        <w:pStyle w:val="Compact"/>
        <w:numPr>
          <w:ilvl w:val="0"/>
          <w:numId w:val="1041"/>
        </w:numPr>
      </w:pPr>
      <w:r>
        <w:t xml:space="preserve">DM (Ba-document-manager) -&gt;</w:t>
      </w:r>
      <w:r>
        <w:t xml:space="preserve"> </w:t>
      </w:r>
      <w:r>
        <w:rPr>
          <w:rStyle w:val="VerbatimChar"/>
        </w:rPr>
        <w:t xml:space="preserve">C:\Users\diuliano\Progetti\Banca_Agente\Ba-document-manager</w:t>
      </w:r>
    </w:p>
    <w:p>
      <w:pPr>
        <w:pStyle w:val="Compact"/>
        <w:numPr>
          <w:ilvl w:val="0"/>
          <w:numId w:val="1041"/>
        </w:numPr>
      </w:pPr>
      <w:r>
        <w:t xml:space="preserve">EM (Ba-email-manager) -&gt;</w:t>
      </w:r>
      <w:r>
        <w:t xml:space="preserve"> </w:t>
      </w:r>
      <w:r>
        <w:rPr>
          <w:rStyle w:val="VerbatimChar"/>
        </w:rPr>
        <w:t xml:space="preserve">C:\Users\diuliano\Progetti\Banca_Agente\Ba-email-manager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2026-05-05T10:50:55Z</dcterms:created>
  <dcterms:modified xsi:type="dcterms:W3CDTF">2026-05-05T10:50:55Z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