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865FCB" w14:textId="77777777" w:rsidR="002076A2" w:rsidRDefault="00000000">
      <w:pPr>
        <w:spacing w:line="240" w:lineRule="auto"/>
        <w:rPr>
          <w:rFonts w:ascii="EB Garamond" w:eastAsia="EB Garamond" w:hAnsi="EB Garamond" w:cs="EB Garamond"/>
          <w:b/>
          <w:bCs/>
          <w:sz w:val="20"/>
          <w:szCs w:val="20"/>
        </w:rPr>
      </w:pPr>
      <w:r>
        <w:rPr>
          <w:rFonts w:ascii="EB Garamond" w:eastAsia="EB Garamond" w:hAnsi="EB Garamond" w:cs="EB Garamond"/>
          <w:b/>
          <w:bCs/>
          <w:sz w:val="20"/>
          <w:szCs w:val="20"/>
        </w:rPr>
        <w:t>N. {{RGT}} R.G.T.</w:t>
      </w:r>
    </w:p>
    <w:p w14:paraId="3615E67C" w14:textId="77777777" w:rsidR="002076A2" w:rsidRDefault="00000000">
      <w:pPr>
        <w:spacing w:line="240" w:lineRule="auto"/>
        <w:rPr>
          <w:rFonts w:ascii="EB Garamond" w:eastAsia="EB Garamond" w:hAnsi="EB Garamond" w:cs="EB Garamond"/>
          <w:b/>
          <w:bCs/>
          <w:sz w:val="20"/>
          <w:szCs w:val="20"/>
        </w:rPr>
      </w:pPr>
      <w:r>
        <w:rPr>
          <w:rFonts w:ascii="EB Garamond" w:eastAsia="EB Garamond" w:hAnsi="EB Garamond" w:cs="EB Garamond"/>
          <w:b/>
          <w:bCs/>
          <w:sz w:val="20"/>
          <w:szCs w:val="20"/>
        </w:rPr>
        <w:t>N. {{RGNR}} R.G.N.R.</w:t>
      </w:r>
    </w:p>
    <w:p w14:paraId="0137E091" w14:textId="77777777" w:rsidR="002076A2" w:rsidRDefault="00000000">
      <w:pPr>
        <w:spacing w:line="240" w:lineRule="auto"/>
        <w:rPr>
          <w:rFonts w:ascii="EB Garamond" w:eastAsia="EB Garamond" w:hAnsi="EB Garamond" w:cs="EB Garamond"/>
          <w:b/>
          <w:bCs/>
          <w:sz w:val="20"/>
          <w:szCs w:val="20"/>
        </w:rPr>
      </w:pPr>
      <w:r>
        <w:rPr>
          <w:rFonts w:ascii="EB Garamond" w:eastAsia="EB Garamond" w:hAnsi="EB Garamond" w:cs="EB Garamond"/>
          <w:b/>
          <w:bCs/>
          <w:sz w:val="20"/>
          <w:szCs w:val="20"/>
        </w:rPr>
        <w:t>N. {{SIAMM}} SIAMM</w:t>
      </w:r>
    </w:p>
    <w:p w14:paraId="57AED305" w14:textId="77777777" w:rsidR="002076A2" w:rsidRDefault="00000000">
      <w:pPr>
        <w:widowControl w:val="0"/>
        <w:spacing w:line="240" w:lineRule="auto"/>
        <w:jc w:val="center"/>
        <w:rPr>
          <w:rFonts w:ascii="EB Garamond Medium" w:eastAsia="EB Garamond Medium" w:hAnsi="EB Garamond Medium" w:cs="EB Garamond Medium"/>
          <w:sz w:val="24"/>
          <w:szCs w:val="24"/>
        </w:rPr>
      </w:pPr>
      <w:r>
        <w:rPr>
          <w:rFonts w:ascii="EB Garamond Medium" w:eastAsia="EB Garamond Medium" w:hAnsi="EB Garamond Medium" w:cs="EB Garamond Medium"/>
          <w:noProof/>
          <w:sz w:val="24"/>
          <w:szCs w:val="24"/>
        </w:rPr>
        <w:drawing>
          <wp:inline distT="114300" distB="114300" distL="114300" distR="114300" wp14:anchorId="130188A4" wp14:editId="3CE3C755">
            <wp:extent cx="390329" cy="42477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390329" cy="424770"/>
                    </a:xfrm>
                    <a:prstGeom prst="rect">
                      <a:avLst/>
                    </a:prstGeom>
                    <a:ln/>
                  </pic:spPr>
                </pic:pic>
              </a:graphicData>
            </a:graphic>
          </wp:inline>
        </w:drawing>
      </w:r>
    </w:p>
    <w:p w14:paraId="68E2576F" w14:textId="77777777" w:rsidR="002076A2" w:rsidRDefault="00000000">
      <w:pPr>
        <w:widowControl w:val="0"/>
        <w:spacing w:line="240" w:lineRule="auto"/>
        <w:jc w:val="center"/>
        <w:rPr>
          <w:rFonts w:ascii="EB Garamond" w:eastAsia="EB Garamond" w:hAnsi="EB Garamond" w:cs="EB Garamond"/>
          <w:b/>
          <w:bCs/>
          <w:sz w:val="28"/>
          <w:szCs w:val="28"/>
        </w:rPr>
      </w:pPr>
      <w:r>
        <w:rPr>
          <w:rFonts w:ascii="EB Garamond" w:eastAsia="EB Garamond" w:hAnsi="EB Garamond" w:cs="EB Garamond"/>
          <w:b/>
          <w:bCs/>
          <w:sz w:val="28"/>
          <w:szCs w:val="28"/>
        </w:rPr>
        <w:t>TRIBUNALE DI BRINDISI</w:t>
      </w:r>
    </w:p>
    <w:p w14:paraId="4E4122DA" w14:textId="77777777" w:rsidR="002076A2" w:rsidRDefault="00000000">
      <w:pPr>
        <w:widowControl w:val="0"/>
        <w:spacing w:line="240" w:lineRule="auto"/>
        <w:jc w:val="center"/>
        <w:rPr>
          <w:rFonts w:ascii="EB Garamond" w:eastAsia="EB Garamond" w:hAnsi="EB Garamond" w:cs="EB Garamond"/>
          <w:b/>
          <w:bCs/>
          <w:sz w:val="24"/>
          <w:szCs w:val="24"/>
        </w:rPr>
      </w:pPr>
      <w:r>
        <w:rPr>
          <w:rFonts w:ascii="EB Garamond" w:eastAsia="EB Garamond" w:hAnsi="EB Garamond" w:cs="EB Garamond"/>
          <w:b/>
          <w:bCs/>
          <w:sz w:val="28"/>
          <w:szCs w:val="28"/>
        </w:rPr>
        <w:t>Sezione Penale</w:t>
      </w:r>
    </w:p>
    <w:p w14:paraId="33E2E3C2" w14:textId="77777777" w:rsidR="002076A2" w:rsidRDefault="00000000">
      <w:pPr>
        <w:pBdr>
          <w:top w:val="single" w:sz="4" w:space="1" w:color="000000"/>
          <w:left w:val="single" w:sz="4" w:space="4" w:color="000000"/>
          <w:bottom w:val="single" w:sz="4" w:space="1" w:color="000000"/>
          <w:right w:val="single" w:sz="4" w:space="4" w:color="000000"/>
        </w:pBdr>
        <w:spacing w:line="240" w:lineRule="auto"/>
        <w:jc w:val="center"/>
        <w:rPr>
          <w:rFonts w:ascii="Montserrat" w:eastAsia="Montserrat" w:hAnsi="Montserrat" w:cs="Montserrat"/>
          <w:b/>
          <w:bCs/>
          <w:sz w:val="32"/>
          <w:szCs w:val="32"/>
        </w:rPr>
      </w:pPr>
      <w:r>
        <w:rPr>
          <w:rFonts w:ascii="Montserrat" w:eastAsia="Montserrat" w:hAnsi="Montserrat" w:cs="Montserrat"/>
          <w:b/>
          <w:bCs/>
          <w:sz w:val="32"/>
          <w:szCs w:val="32"/>
        </w:rPr>
        <w:t xml:space="preserve">DECRETO DI LIQUIDAZIONE DEGLI ONORARI </w:t>
      </w:r>
    </w:p>
    <w:p w14:paraId="224845CC" w14:textId="77777777" w:rsidR="002076A2" w:rsidRDefault="00000000">
      <w:pPr>
        <w:pBdr>
          <w:top w:val="single" w:sz="4" w:space="1" w:color="000000"/>
          <w:left w:val="single" w:sz="4" w:space="4" w:color="000000"/>
          <w:bottom w:val="single" w:sz="4" w:space="1" w:color="000000"/>
          <w:right w:val="single" w:sz="4" w:space="4" w:color="000000"/>
        </w:pBdr>
        <w:spacing w:line="240" w:lineRule="auto"/>
        <w:jc w:val="center"/>
        <w:rPr>
          <w:rFonts w:ascii="Montserrat" w:eastAsia="Montserrat" w:hAnsi="Montserrat" w:cs="Montserrat"/>
          <w:b/>
          <w:bCs/>
          <w:sz w:val="32"/>
          <w:szCs w:val="32"/>
        </w:rPr>
      </w:pPr>
      <w:r>
        <w:rPr>
          <w:rFonts w:ascii="Montserrat" w:eastAsia="Montserrat" w:hAnsi="Montserrat" w:cs="Montserrat"/>
          <w:b/>
          <w:bCs/>
          <w:sz w:val="32"/>
          <w:szCs w:val="32"/>
        </w:rPr>
        <w:t>PROFESSIONALI</w:t>
      </w:r>
    </w:p>
    <w:p w14:paraId="49AA5F0D" w14:textId="77777777" w:rsidR="002076A2" w:rsidRDefault="00000000">
      <w:pPr>
        <w:pBdr>
          <w:top w:val="single" w:sz="4" w:space="1" w:color="000000"/>
          <w:left w:val="single" w:sz="4" w:space="4" w:color="000000"/>
          <w:bottom w:val="single" w:sz="4" w:space="1" w:color="000000"/>
          <w:right w:val="single" w:sz="4" w:space="4" w:color="000000"/>
        </w:pBdr>
        <w:spacing w:line="240" w:lineRule="auto"/>
        <w:jc w:val="center"/>
        <w:rPr>
          <w:rFonts w:ascii="EB Garamond Medium" w:eastAsia="EB Garamond Medium" w:hAnsi="EB Garamond Medium" w:cs="EB Garamond Medium"/>
          <w:i/>
          <w:iCs/>
          <w:sz w:val="20"/>
          <w:szCs w:val="20"/>
        </w:rPr>
      </w:pPr>
      <w:r>
        <w:rPr>
          <w:rFonts w:ascii="EB Garamond Medium" w:eastAsia="EB Garamond Medium" w:hAnsi="EB Garamond Medium" w:cs="EB Garamond Medium"/>
          <w:i/>
          <w:iCs/>
          <w:sz w:val="20"/>
          <w:szCs w:val="20"/>
        </w:rPr>
        <w:t>(D.P.R. 30.5.2002 n. 115)</w:t>
      </w:r>
    </w:p>
    <w:p w14:paraId="280D5B8D" w14:textId="77777777" w:rsidR="002076A2" w:rsidRDefault="002076A2">
      <w:pPr>
        <w:spacing w:line="240" w:lineRule="auto"/>
        <w:rPr>
          <w:rFonts w:ascii="EB Garamond Medium" w:eastAsia="EB Garamond Medium" w:hAnsi="EB Garamond Medium" w:cs="EB Garamond Medium"/>
          <w:sz w:val="24"/>
          <w:szCs w:val="24"/>
        </w:rPr>
      </w:pPr>
    </w:p>
    <w:p w14:paraId="237E044B" w14:textId="77777777" w:rsidR="002076A2" w:rsidRDefault="00000000">
      <w:pPr>
        <w:spacing w:line="240" w:lineRule="auto"/>
        <w:jc w:val="center"/>
        <w:rPr>
          <w:rFonts w:ascii="EB Garamond" w:eastAsia="EB Garamond" w:hAnsi="EB Garamond" w:cs="EB Garamond"/>
          <w:b/>
          <w:bCs/>
          <w:sz w:val="28"/>
          <w:szCs w:val="28"/>
        </w:rPr>
      </w:pPr>
      <w:r>
        <w:rPr>
          <w:rFonts w:ascii="EB Garamond" w:eastAsia="EB Garamond" w:hAnsi="EB Garamond" w:cs="EB Garamond"/>
          <w:b/>
          <w:bCs/>
          <w:sz w:val="28"/>
          <w:szCs w:val="28"/>
        </w:rPr>
        <w:t>IL TRIBUNALE</w:t>
      </w:r>
    </w:p>
    <w:p w14:paraId="34778372" w14:textId="77777777" w:rsidR="002076A2" w:rsidRDefault="00000000">
      <w:pPr>
        <w:spacing w:line="240" w:lineRule="auto"/>
        <w:jc w:val="center"/>
        <w:rPr>
          <w:rFonts w:ascii="EB Garamond Medium" w:eastAsia="EB Garamond Medium" w:hAnsi="EB Garamond Medium" w:cs="EB Garamond Medium"/>
          <w:i/>
          <w:iCs/>
          <w:sz w:val="24"/>
          <w:szCs w:val="24"/>
        </w:rPr>
      </w:pPr>
      <w:r>
        <w:rPr>
          <w:rFonts w:ascii="EB Garamond Medium" w:eastAsia="EB Garamond Medium" w:hAnsi="EB Garamond Medium" w:cs="EB Garamond Medium"/>
          <w:i/>
          <w:iCs/>
          <w:sz w:val="24"/>
          <w:szCs w:val="24"/>
        </w:rPr>
        <w:t>nella persona del Giudice {{Giudice}}</w:t>
      </w:r>
    </w:p>
    <w:p w14:paraId="67FA69DA" w14:textId="77777777" w:rsidR="002076A2" w:rsidRDefault="002076A2">
      <w:pPr>
        <w:spacing w:line="240" w:lineRule="auto"/>
        <w:rPr>
          <w:rFonts w:ascii="EB Garamond Medium" w:eastAsia="EB Garamond Medium" w:hAnsi="EB Garamond Medium" w:cs="EB Garamond Medium"/>
          <w:smallCaps/>
          <w:sz w:val="24"/>
          <w:szCs w:val="24"/>
        </w:rPr>
      </w:pPr>
    </w:p>
    <w:p w14:paraId="0CBBCE4E" w14:textId="0DFDEFAB" w:rsidR="002076A2" w:rsidRPr="008E4D72" w:rsidRDefault="00000000">
      <w:pPr>
        <w:numPr>
          <w:ilvl w:val="0"/>
          <w:numId w:val="2"/>
        </w:numPr>
        <w:spacing w:line="240" w:lineRule="auto"/>
        <w:jc w:val="both"/>
        <w:rPr>
          <w:rFonts w:ascii="Garamond" w:eastAsia="Garamond" w:hAnsi="Garamond" w:cs="Garamond"/>
          <w:sz w:val="24"/>
          <w:szCs w:val="24"/>
        </w:rPr>
      </w:pPr>
      <w:r>
        <w:rPr>
          <w:rFonts w:ascii="EB Garamond" w:eastAsia="EB Garamond" w:hAnsi="EB Garamond" w:cs="EB Garamond"/>
          <w:b/>
          <w:bCs/>
          <w:smallCaps/>
          <w:sz w:val="24"/>
          <w:szCs w:val="24"/>
        </w:rPr>
        <w:t>Letta</w:t>
      </w:r>
      <w:r>
        <w:rPr>
          <w:rFonts w:ascii="EB Garamond" w:eastAsia="EB Garamond" w:hAnsi="EB Garamond" w:cs="EB Garamond"/>
          <w:b/>
          <w:bCs/>
          <w:sz w:val="24"/>
          <w:szCs w:val="24"/>
        </w:rPr>
        <w:t xml:space="preserve"> </w:t>
      </w:r>
      <w:r>
        <w:rPr>
          <w:rFonts w:ascii="EB Garamond Medium" w:eastAsia="EB Garamond Medium" w:hAnsi="EB Garamond Medium" w:cs="EB Garamond Medium"/>
          <w:sz w:val="24"/>
          <w:szCs w:val="24"/>
        </w:rPr>
        <w:t xml:space="preserve">l’istanza di liquidazione delle competenze professionali avanzata dall’{{avvocato}}, in qualità di difensore di fiducia di </w:t>
      </w:r>
      <w:r w:rsidRPr="008E4D72">
        <w:rPr>
          <w:rFonts w:ascii="EB Garamond Medium" w:eastAsia="EB Garamond Medium" w:hAnsi="EB Garamond Medium" w:cs="EB Garamond Medium"/>
          <w:b/>
          <w:bCs/>
          <w:sz w:val="24"/>
          <w:szCs w:val="24"/>
        </w:rPr>
        <w:t>{{assistito}}</w:t>
      </w:r>
      <w:r w:rsidRPr="008E4D72">
        <w:rPr>
          <w:rFonts w:ascii="EB Garamond Medium" w:eastAsia="EB Garamond Medium" w:hAnsi="EB Garamond Medium" w:cs="EB Garamond Medium"/>
          <w:sz w:val="24"/>
          <w:szCs w:val="24"/>
        </w:rPr>
        <w:t>,</w:t>
      </w:r>
      <w:r w:rsidR="008E4D72">
        <w:rPr>
          <w:rFonts w:ascii="EB Garamond Medium" w:eastAsia="EB Garamond Medium" w:hAnsi="EB Garamond Medium" w:cs="EB Garamond Medium"/>
          <w:sz w:val="24"/>
          <w:szCs w:val="24"/>
        </w:rPr>
        <w:t xml:space="preserve"> nato/a a {{luogo nascita assistito}} il {{data nascita assistito}}</w:t>
      </w:r>
      <w:r>
        <w:rPr>
          <w:rFonts w:ascii="EB Garamond Medium" w:eastAsia="EB Garamond Medium" w:hAnsi="EB Garamond Medium" w:cs="EB Garamond Medium"/>
          <w:sz w:val="24"/>
          <w:szCs w:val="24"/>
        </w:rPr>
        <w:t xml:space="preserve"> </w:t>
      </w:r>
      <w:r w:rsidR="008E4D72">
        <w:rPr>
          <w:rFonts w:ascii="EB Garamond Medium" w:eastAsia="EB Garamond Medium" w:hAnsi="EB Garamond Medium" w:cs="EB Garamond Medium"/>
          <w:sz w:val="24"/>
          <w:szCs w:val="24"/>
        </w:rPr>
        <w:t xml:space="preserve">e residente in {{luogo residenza assistito}}, {{elettivamente domiciliato/a presso lo studio del difensore di fiducia}}, </w:t>
      </w:r>
      <w:r>
        <w:rPr>
          <w:rFonts w:ascii="EB Garamond Medium" w:eastAsia="EB Garamond Medium" w:hAnsi="EB Garamond Medium" w:cs="EB Garamond Medium"/>
          <w:sz w:val="24"/>
          <w:szCs w:val="24"/>
        </w:rPr>
        <w:t>imputato</w:t>
      </w:r>
      <w:r w:rsidR="008E4D72">
        <w:rPr>
          <w:rFonts w:ascii="EB Garamond Medium" w:eastAsia="EB Garamond Medium" w:hAnsi="EB Garamond Medium" w:cs="EB Garamond Medium"/>
          <w:sz w:val="24"/>
          <w:szCs w:val="24"/>
        </w:rPr>
        <w:t>/a {{oppure parte civile}}</w:t>
      </w:r>
      <w:r>
        <w:rPr>
          <w:rFonts w:ascii="EB Garamond Medium" w:eastAsia="EB Garamond Medium" w:hAnsi="EB Garamond Medium" w:cs="EB Garamond Medium"/>
          <w:sz w:val="24"/>
          <w:szCs w:val="24"/>
        </w:rPr>
        <w:t xml:space="preserve"> nel procedimento </w:t>
      </w:r>
      <w:r w:rsidR="00771E24">
        <w:rPr>
          <w:rFonts w:ascii="EB Garamond Medium" w:eastAsia="EB Garamond Medium" w:hAnsi="EB Garamond Medium" w:cs="EB Garamond Medium"/>
          <w:sz w:val="24"/>
          <w:szCs w:val="24"/>
        </w:rPr>
        <w:t>indicato in epigrafe</w:t>
      </w:r>
      <w:r>
        <w:rPr>
          <w:rFonts w:ascii="EB Garamond Medium" w:eastAsia="EB Garamond Medium" w:hAnsi="EB Garamond Medium" w:cs="EB Garamond Medium"/>
          <w:sz w:val="24"/>
          <w:szCs w:val="24"/>
        </w:rPr>
        <w:t xml:space="preserve">, </w:t>
      </w:r>
      <w:r w:rsidRPr="008E4D72">
        <w:rPr>
          <w:rFonts w:ascii="EB Garamond Medium" w:eastAsia="EB Garamond Medium" w:hAnsi="EB Garamond Medium" w:cs="EB Garamond Medium"/>
          <w:sz w:val="24"/>
          <w:szCs w:val="24"/>
        </w:rPr>
        <w:t>definitosi all’udienza del {{data sentenza}};</w:t>
      </w:r>
    </w:p>
    <w:p w14:paraId="1BE62E5A" w14:textId="4669EE41" w:rsidR="002076A2" w:rsidRPr="008E4D72" w:rsidRDefault="00000000">
      <w:pPr>
        <w:numPr>
          <w:ilvl w:val="0"/>
          <w:numId w:val="2"/>
        </w:numPr>
        <w:spacing w:line="240" w:lineRule="auto"/>
        <w:jc w:val="both"/>
        <w:rPr>
          <w:rFonts w:ascii="Garamond" w:eastAsia="Garamond" w:hAnsi="Garamond" w:cs="Garamond"/>
          <w:sz w:val="24"/>
          <w:szCs w:val="24"/>
        </w:rPr>
      </w:pPr>
      <w:r w:rsidRPr="008E4D72">
        <w:rPr>
          <w:rFonts w:ascii="EB Garamond" w:eastAsia="EB Garamond" w:hAnsi="EB Garamond" w:cs="EB Garamond"/>
          <w:b/>
          <w:bCs/>
          <w:smallCaps/>
          <w:sz w:val="24"/>
          <w:szCs w:val="24"/>
        </w:rPr>
        <w:t>Rilevato</w:t>
      </w:r>
      <w:r w:rsidRPr="008E4D72">
        <w:rPr>
          <w:rFonts w:ascii="EB Garamond" w:eastAsia="EB Garamond" w:hAnsi="EB Garamond" w:cs="EB Garamond"/>
          <w:b/>
          <w:bCs/>
          <w:sz w:val="24"/>
          <w:szCs w:val="24"/>
        </w:rPr>
        <w:t xml:space="preserve"> </w:t>
      </w:r>
      <w:r w:rsidRPr="008E4D72">
        <w:rPr>
          <w:rFonts w:ascii="EB Garamond Medium" w:eastAsia="EB Garamond Medium" w:hAnsi="EB Garamond Medium" w:cs="EB Garamond Medium"/>
          <w:sz w:val="24"/>
          <w:szCs w:val="24"/>
        </w:rPr>
        <w:t>che l’istante veniva ammesso al patrocinio a spese dello Stato</w:t>
      </w:r>
      <w:r w:rsidR="008E4D72" w:rsidRPr="008E4D72">
        <w:rPr>
          <w:rFonts w:ascii="EB Garamond Medium" w:eastAsia="EB Garamond Medium" w:hAnsi="EB Garamond Medium" w:cs="EB Garamond Medium"/>
          <w:sz w:val="24"/>
          <w:szCs w:val="24"/>
        </w:rPr>
        <w:t xml:space="preserve"> con decreto n. {{mod 27}} Mod. 27 del {{data ammissione}}</w:t>
      </w:r>
      <w:r w:rsidRPr="008E4D72">
        <w:rPr>
          <w:rFonts w:ascii="EB Garamond Medium" w:eastAsia="EB Garamond Medium" w:hAnsi="EB Garamond Medium" w:cs="EB Garamond Medium"/>
          <w:sz w:val="24"/>
          <w:szCs w:val="24"/>
        </w:rPr>
        <w:t>;</w:t>
      </w:r>
    </w:p>
    <w:p w14:paraId="688CE605" w14:textId="77777777" w:rsidR="002076A2" w:rsidRDefault="00000000">
      <w:pPr>
        <w:numPr>
          <w:ilvl w:val="0"/>
          <w:numId w:val="2"/>
        </w:numPr>
        <w:spacing w:line="240" w:lineRule="auto"/>
        <w:jc w:val="both"/>
        <w:rPr>
          <w:rFonts w:ascii="Garamond" w:eastAsia="Garamond" w:hAnsi="Garamond" w:cs="Garamond"/>
          <w:sz w:val="24"/>
          <w:szCs w:val="24"/>
        </w:rPr>
      </w:pPr>
      <w:r w:rsidRPr="008E4D72">
        <w:rPr>
          <w:rFonts w:ascii="EB Garamond" w:eastAsia="EB Garamond" w:hAnsi="EB Garamond" w:cs="EB Garamond"/>
          <w:b/>
          <w:bCs/>
          <w:smallCaps/>
          <w:sz w:val="24"/>
          <w:szCs w:val="24"/>
        </w:rPr>
        <w:t xml:space="preserve">Ritenuta </w:t>
      </w:r>
      <w:r w:rsidRPr="008E4D72">
        <w:rPr>
          <w:rFonts w:ascii="EB Garamond Medium" w:eastAsia="EB Garamond Medium" w:hAnsi="EB Garamond Medium" w:cs="EB Garamond Medium"/>
          <w:sz w:val="24"/>
          <w:szCs w:val="24"/>
        </w:rPr>
        <w:t xml:space="preserve">la propria competenza, visionati gli atti </w:t>
      </w:r>
      <w:r>
        <w:rPr>
          <w:rFonts w:ascii="EB Garamond Medium" w:eastAsia="EB Garamond Medium" w:hAnsi="EB Garamond Medium" w:cs="EB Garamond Medium"/>
          <w:sz w:val="24"/>
          <w:szCs w:val="24"/>
        </w:rPr>
        <w:t>del procedimento;</w:t>
      </w:r>
    </w:p>
    <w:p w14:paraId="006137EB" w14:textId="77777777" w:rsidR="002076A2" w:rsidRDefault="00000000">
      <w:pPr>
        <w:numPr>
          <w:ilvl w:val="0"/>
          <w:numId w:val="2"/>
        </w:numPr>
        <w:spacing w:line="240" w:lineRule="auto"/>
        <w:jc w:val="both"/>
        <w:rPr>
          <w:rFonts w:ascii="Garamond" w:eastAsia="Garamond" w:hAnsi="Garamond" w:cs="Garamond"/>
          <w:sz w:val="24"/>
          <w:szCs w:val="24"/>
        </w:rPr>
      </w:pPr>
      <w:r>
        <w:rPr>
          <w:rFonts w:ascii="EB Garamond" w:eastAsia="EB Garamond" w:hAnsi="EB Garamond" w:cs="EB Garamond"/>
          <w:b/>
          <w:bCs/>
          <w:smallCaps/>
          <w:sz w:val="24"/>
          <w:szCs w:val="24"/>
        </w:rPr>
        <w:t>Tenuto conto</w:t>
      </w:r>
      <w:r>
        <w:rPr>
          <w:rFonts w:ascii="EB Garamond Medium" w:eastAsia="EB Garamond Medium" w:hAnsi="EB Garamond Medium" w:cs="EB Garamond Medium"/>
          <w:sz w:val="24"/>
          <w:szCs w:val="24"/>
        </w:rPr>
        <w:t xml:space="preserve"> dei principi desumibili dalle vigenti disposizioni di legge e di regolamento, secondo cui:</w:t>
      </w:r>
    </w:p>
    <w:p w14:paraId="2CAAEDA4" w14:textId="77777777" w:rsidR="002076A2" w:rsidRDefault="00000000">
      <w:pPr>
        <w:numPr>
          <w:ilvl w:val="0"/>
          <w:numId w:val="6"/>
        </w:numPr>
        <w:spacing w:line="240" w:lineRule="auto"/>
        <w:jc w:val="both"/>
        <w:rPr>
          <w:rFonts w:ascii="EB Garamond Medium" w:eastAsia="EB Garamond Medium" w:hAnsi="EB Garamond Medium" w:cs="EB Garamond Medium"/>
          <w:sz w:val="20"/>
          <w:szCs w:val="20"/>
        </w:rPr>
      </w:pPr>
      <w:r>
        <w:rPr>
          <w:rFonts w:ascii="EB Garamond Medium" w:eastAsia="EB Garamond Medium" w:hAnsi="EB Garamond Medium" w:cs="EB Garamond Medium"/>
          <w:sz w:val="20"/>
          <w:szCs w:val="20"/>
        </w:rPr>
        <w:t>la liquidazione è effettuata al termine di ciascuna fase o grado del processo […] dall’autorità giudiziaria che ha proceduto, a meno che non si tratti di compensi dovuti per le fasi o i gradi anteriori del processo, se il provvedimento di ammissione al patrocinio è intervenuto dopo la loro definizione; la competenza per la liquidazione dei compensi maturati in relazione ai procedimenti incidentali della fase spetta al giudice della fase o del grado del processo principale in cui è stata svolta l'attività difensiva da remunerare (art. 83, d.P.R. 115/2002);</w:t>
      </w:r>
    </w:p>
    <w:p w14:paraId="346B7A0E" w14:textId="77777777" w:rsidR="002076A2" w:rsidRDefault="00000000">
      <w:pPr>
        <w:numPr>
          <w:ilvl w:val="0"/>
          <w:numId w:val="6"/>
        </w:numPr>
        <w:spacing w:line="240" w:lineRule="auto"/>
        <w:jc w:val="both"/>
        <w:rPr>
          <w:rFonts w:ascii="EB Garamond Medium" w:eastAsia="EB Garamond Medium" w:hAnsi="EB Garamond Medium" w:cs="EB Garamond Medium"/>
          <w:sz w:val="20"/>
          <w:szCs w:val="20"/>
        </w:rPr>
      </w:pPr>
      <w:r>
        <w:rPr>
          <w:rFonts w:ascii="EB Garamond Medium" w:eastAsia="EB Garamond Medium" w:hAnsi="EB Garamond Medium" w:cs="EB Garamond Medium"/>
          <w:sz w:val="20"/>
          <w:szCs w:val="20"/>
        </w:rPr>
        <w:t>non possono essere liquidati onorari per attività espletate prima dell’ammissione al patrocinio a spese dello Stato, poiché gli effetti dell'ammissione si producono a decorrere dalla data in cui l’istanza è stata presentata o è pervenuta all’ufficio del magistrato, ovvero a decorrere dal primo atto in cui interviene il difensore, se l’interessato fa riserva di presentare l’istanza e questa è presentata entro i venti giorni successivi (</w:t>
      </w:r>
      <w:r>
        <w:rPr>
          <w:rFonts w:ascii="EB Garamond Medium" w:eastAsia="EB Garamond Medium" w:hAnsi="EB Garamond Medium" w:cs="EB Garamond Medium"/>
          <w:i/>
          <w:iCs/>
          <w:sz w:val="20"/>
          <w:szCs w:val="20"/>
        </w:rPr>
        <w:t xml:space="preserve">ex </w:t>
      </w:r>
      <w:r>
        <w:rPr>
          <w:rFonts w:ascii="EB Garamond Medium" w:eastAsia="EB Garamond Medium" w:hAnsi="EB Garamond Medium" w:cs="EB Garamond Medium"/>
          <w:sz w:val="20"/>
          <w:szCs w:val="20"/>
        </w:rPr>
        <w:t>artt. 109 e 107, d.P.R. 115/2002);</w:t>
      </w:r>
    </w:p>
    <w:p w14:paraId="1A364C45" w14:textId="77777777" w:rsidR="002076A2" w:rsidRDefault="00000000">
      <w:pPr>
        <w:numPr>
          <w:ilvl w:val="0"/>
          <w:numId w:val="6"/>
        </w:numPr>
        <w:spacing w:line="240" w:lineRule="auto"/>
        <w:jc w:val="both"/>
        <w:rPr>
          <w:rFonts w:ascii="EB Garamond Medium" w:eastAsia="EB Garamond Medium" w:hAnsi="EB Garamond Medium" w:cs="EB Garamond Medium"/>
          <w:sz w:val="20"/>
          <w:szCs w:val="20"/>
        </w:rPr>
      </w:pPr>
      <w:r>
        <w:rPr>
          <w:rFonts w:ascii="EB Garamond Medium" w:eastAsia="EB Garamond Medium" w:hAnsi="EB Garamond Medium" w:cs="EB Garamond Medium"/>
          <w:sz w:val="20"/>
          <w:szCs w:val="20"/>
        </w:rPr>
        <w:t>ai fini della liquidazione del compenso al difensore si tiene conto: “</w:t>
      </w:r>
      <w:r>
        <w:rPr>
          <w:rFonts w:ascii="EB Garamond Medium" w:eastAsia="EB Garamond Medium" w:hAnsi="EB Garamond Medium" w:cs="EB Garamond Medium"/>
          <w:i/>
          <w:iCs/>
          <w:sz w:val="20"/>
          <w:szCs w:val="20"/>
        </w:rPr>
        <w:t>delle caratteristiche, dell'urgenza e del pregio dell'attività prestata, dell’importanza, della natura, della complessità del procedimento, della gravità e del numero delle imputazioni, del numero e della complessità delle questioni giuridiche e di fatto trattate, dei contrasti giurisprudenziali, dell'autorità giudiziaria dinanzi cui si svolge la prestazione, della rilevanza patrimoniale, del numero dei documenti e degli atti da esaminare, della continuità dell'impegno anche in relazione alla frequenza di trasferimenti fuori dal luogo ove svolge la professione in modo prevalente, nonché dell'esito ottenuto avuto anche riguardo alle conseguenze civili e alle condizioni finanziarie del cliente. Si tiene altresì conto del numero di udienze, pubbliche o camerali, diverse da quelle di mero rinvio, e del tempo necessario all'espletamento delle attività medesime. Il giudice tiene conto dei valori medi di cui alle tabelle allegate, che, in applicazione dei parametri generali, possono essere aumentati di regola fino al 50, ovvero possono essere diminuiti in ogni caso non oltre il 50%</w:t>
      </w:r>
      <w:r>
        <w:rPr>
          <w:rFonts w:ascii="EB Garamond Medium" w:eastAsia="EB Garamond Medium" w:hAnsi="EB Garamond Medium" w:cs="EB Garamond Medium"/>
          <w:sz w:val="20"/>
          <w:szCs w:val="20"/>
        </w:rPr>
        <w:t xml:space="preserve">” (art. 12, D.M. </w:t>
      </w:r>
      <w:r>
        <w:rPr>
          <w:rFonts w:ascii="EB Garamond Medium" w:eastAsia="EB Garamond Medium" w:hAnsi="EB Garamond Medium" w:cs="EB Garamond Medium"/>
          <w:sz w:val="20"/>
          <w:szCs w:val="20"/>
        </w:rPr>
        <w:lastRenderedPageBreak/>
        <w:t>n. 55/2014); altresì, “</w:t>
      </w:r>
      <w:r>
        <w:rPr>
          <w:rFonts w:ascii="EB Garamond Medium" w:eastAsia="EB Garamond Medium" w:hAnsi="EB Garamond Medium" w:cs="EB Garamond Medium"/>
          <w:i/>
          <w:iCs/>
          <w:sz w:val="20"/>
          <w:szCs w:val="20"/>
        </w:rPr>
        <w:t>costituisce elemento di valutazione negativa, in sede di liquidazione giudiziale del compenso, l'adozione di condotte abusive tali da ostacolare la definizione dei procedimenti in tempi ragionevoli</w:t>
      </w:r>
      <w:r>
        <w:rPr>
          <w:rFonts w:ascii="EB Garamond Medium" w:eastAsia="EB Garamond Medium" w:hAnsi="EB Garamond Medium" w:cs="EB Garamond Medium"/>
          <w:sz w:val="20"/>
          <w:szCs w:val="20"/>
        </w:rPr>
        <w:t>” (art. 4, comma 7, D.M. n. 55/2014);</w:t>
      </w:r>
    </w:p>
    <w:p w14:paraId="3018BD19" w14:textId="77777777" w:rsidR="002076A2" w:rsidRDefault="00000000">
      <w:pPr>
        <w:numPr>
          <w:ilvl w:val="0"/>
          <w:numId w:val="6"/>
        </w:numPr>
        <w:spacing w:line="240" w:lineRule="auto"/>
        <w:jc w:val="both"/>
        <w:rPr>
          <w:rFonts w:ascii="EB Garamond Medium" w:eastAsia="EB Garamond Medium" w:hAnsi="EB Garamond Medium" w:cs="EB Garamond Medium"/>
          <w:sz w:val="20"/>
          <w:szCs w:val="20"/>
        </w:rPr>
      </w:pPr>
      <w:r>
        <w:rPr>
          <w:rFonts w:ascii="EB Garamond Medium" w:eastAsia="EB Garamond Medium" w:hAnsi="EB Garamond Medium" w:cs="EB Garamond Medium"/>
          <w:sz w:val="20"/>
          <w:szCs w:val="20"/>
        </w:rPr>
        <w:t>in caso di liquidazione del difensore di persona ammessa al gratuito patrocinio, altresì, si tiene specifico conto della concreta incidenza degli atti assunti rispetto alla posizione processuale della persona difesa (</w:t>
      </w:r>
      <w:r>
        <w:rPr>
          <w:rFonts w:ascii="EB Garamond Medium" w:eastAsia="EB Garamond Medium" w:hAnsi="EB Garamond Medium" w:cs="EB Garamond Medium"/>
          <w:i/>
          <w:iCs/>
          <w:sz w:val="20"/>
          <w:szCs w:val="20"/>
        </w:rPr>
        <w:t xml:space="preserve">ex </w:t>
      </w:r>
      <w:r>
        <w:rPr>
          <w:rFonts w:ascii="EB Garamond Medium" w:eastAsia="EB Garamond Medium" w:hAnsi="EB Garamond Medium" w:cs="EB Garamond Medium"/>
          <w:sz w:val="20"/>
          <w:szCs w:val="20"/>
        </w:rPr>
        <w:t>art. 12, cpv., D.M. n. 55/2014); gli importi spettanti al difensore sono ridotti di un terzo (ai sensi dell’art. 106-</w:t>
      </w:r>
      <w:r>
        <w:rPr>
          <w:rFonts w:ascii="EB Garamond Medium" w:eastAsia="EB Garamond Medium" w:hAnsi="EB Garamond Medium" w:cs="EB Garamond Medium"/>
          <w:i/>
          <w:iCs/>
          <w:sz w:val="20"/>
          <w:szCs w:val="20"/>
        </w:rPr>
        <w:t>bis</w:t>
      </w:r>
      <w:r>
        <w:rPr>
          <w:rFonts w:ascii="EB Garamond Medium" w:eastAsia="EB Garamond Medium" w:hAnsi="EB Garamond Medium" w:cs="EB Garamond Medium"/>
          <w:sz w:val="20"/>
          <w:szCs w:val="20"/>
        </w:rPr>
        <w:t>, d.P.R. n. 115/2002); il compenso per le impugnazioni coltivate dalla parte non è liquidato se le stesse sono dichiarate inammissibili (art. 106, comma 1, d.P.R. n.  115/2002); in caso di difensore che ha svolto la sua attività fuori dal luogo ove egli svolge la sua attività in modo prevalente non è dovuta l’indennità di trasferta prevista dalla tariffa professionale (</w:t>
      </w:r>
      <w:r>
        <w:rPr>
          <w:rFonts w:ascii="EB Garamond Medium" w:eastAsia="EB Garamond Medium" w:hAnsi="EB Garamond Medium" w:cs="EB Garamond Medium"/>
          <w:i/>
          <w:iCs/>
          <w:sz w:val="20"/>
          <w:szCs w:val="20"/>
        </w:rPr>
        <w:t xml:space="preserve">ex </w:t>
      </w:r>
      <w:r>
        <w:rPr>
          <w:rFonts w:ascii="EB Garamond Medium" w:eastAsia="EB Garamond Medium" w:hAnsi="EB Garamond Medium" w:cs="EB Garamond Medium"/>
          <w:sz w:val="20"/>
          <w:szCs w:val="20"/>
        </w:rPr>
        <w:t>art. 82 d.P.R. n. 115/2002);</w:t>
      </w:r>
    </w:p>
    <w:p w14:paraId="401B2D3E" w14:textId="77777777" w:rsidR="002076A2" w:rsidRDefault="00000000">
      <w:pPr>
        <w:numPr>
          <w:ilvl w:val="0"/>
          <w:numId w:val="6"/>
        </w:numPr>
        <w:spacing w:line="240" w:lineRule="auto"/>
        <w:jc w:val="both"/>
        <w:rPr>
          <w:rFonts w:ascii="EB Garamond Medium" w:eastAsia="EB Garamond Medium" w:hAnsi="EB Garamond Medium" w:cs="EB Garamond Medium"/>
          <w:sz w:val="20"/>
          <w:szCs w:val="20"/>
        </w:rPr>
      </w:pPr>
      <w:r>
        <w:rPr>
          <w:rFonts w:ascii="EB Garamond Medium" w:eastAsia="EB Garamond Medium" w:hAnsi="EB Garamond Medium" w:cs="EB Garamond Medium"/>
          <w:sz w:val="20"/>
          <w:szCs w:val="20"/>
        </w:rPr>
        <w:t>in caso di difensore che assiste più soggetti aventi la medesima posizione processuale, il compenso unico da liquidare può di regola essere aumentato per ogni soggetto oltre il primo nella misura del 30%, fino a un massimo di dieci soggetti, e del 10% per ogni soggetto oltre i primi dieci, fino a un massimo di venti. La disposizione del periodo precedente si applica anche quando il numero dei soggetti ovvero delle imputazioni è incrementato per effetto di riunione di più procedimenti, dal momento della disposta riunione, e anche quando il professionista difende un singolo soggetto contro più soggetti, sempre che la prestazione non comporti l'esame di medesime situazioni di fatto o di diritto. Quando, ferma l'identità di posizione procedimentale o processuale, la prestazione professionale non comporta l'esame di specifiche e distinte situazioni di fatto o di diritto in relazione ai diversi soggetti e in rapporto alle contestazioni, il compenso altrimenti liquidabile per l'assistenza di un solo soggetto è ridotto in misura non superiore al 30% (art. 12, cpv., D.M. n. 55/2014);</w:t>
      </w:r>
    </w:p>
    <w:p w14:paraId="6DA37019" w14:textId="77777777" w:rsidR="002076A2" w:rsidRDefault="00000000">
      <w:pPr>
        <w:numPr>
          <w:ilvl w:val="0"/>
          <w:numId w:val="6"/>
        </w:numPr>
        <w:spacing w:line="240" w:lineRule="auto"/>
        <w:jc w:val="both"/>
        <w:rPr>
          <w:rFonts w:ascii="EB Garamond Medium" w:eastAsia="EB Garamond Medium" w:hAnsi="EB Garamond Medium" w:cs="EB Garamond Medium"/>
          <w:sz w:val="20"/>
          <w:szCs w:val="20"/>
        </w:rPr>
      </w:pPr>
      <w:r>
        <w:rPr>
          <w:rFonts w:ascii="EB Garamond Medium" w:eastAsia="EB Garamond Medium" w:hAnsi="EB Garamond Medium" w:cs="EB Garamond Medium"/>
          <w:sz w:val="20"/>
          <w:szCs w:val="20"/>
        </w:rPr>
        <w:t>è sempre dovuta una somma per rimborso spese forfettarie, nella misura del 15% del compenso totale della prestazione (art. 2, D.M. n. 55/2014).</w:t>
      </w:r>
    </w:p>
    <w:p w14:paraId="32106159" w14:textId="77777777" w:rsidR="002076A2" w:rsidRDefault="00000000">
      <w:pPr>
        <w:numPr>
          <w:ilvl w:val="0"/>
          <w:numId w:val="3"/>
        </w:numPr>
        <w:spacing w:line="240" w:lineRule="auto"/>
        <w:jc w:val="both"/>
        <w:rPr>
          <w:rFonts w:ascii="Garamond" w:eastAsia="Garamond" w:hAnsi="Garamond" w:cs="Garamond"/>
          <w:sz w:val="24"/>
          <w:szCs w:val="24"/>
        </w:rPr>
      </w:pPr>
      <w:r>
        <w:rPr>
          <w:rFonts w:ascii="EB Garamond" w:eastAsia="EB Garamond" w:hAnsi="EB Garamond" w:cs="EB Garamond"/>
          <w:b/>
          <w:bCs/>
          <w:smallCaps/>
          <w:sz w:val="24"/>
          <w:szCs w:val="24"/>
        </w:rPr>
        <w:t>Tenuto conto</w:t>
      </w:r>
      <w:r>
        <w:rPr>
          <w:rFonts w:ascii="EB Garamond Medium" w:eastAsia="EB Garamond Medium" w:hAnsi="EB Garamond Medium" w:cs="EB Garamond Medium"/>
          <w:sz w:val="24"/>
          <w:szCs w:val="24"/>
        </w:rPr>
        <w:t xml:space="preserve"> dei parametri previsti dai vigenti decreti ministeriali e dei criteri per la liquidazione dei compensi indicati nel </w:t>
      </w:r>
      <w:r>
        <w:rPr>
          <w:rFonts w:ascii="EB Garamond Medium" w:eastAsia="EB Garamond Medium" w:hAnsi="EB Garamond Medium" w:cs="EB Garamond Medium"/>
          <w:i/>
          <w:iCs/>
          <w:sz w:val="24"/>
          <w:szCs w:val="24"/>
        </w:rPr>
        <w:t>Protocollo di intesa in materia di patrocinio a spese dello Stato</w:t>
      </w:r>
      <w:r>
        <w:rPr>
          <w:rFonts w:ascii="EB Garamond Medium" w:eastAsia="EB Garamond Medium" w:hAnsi="EB Garamond Medium" w:cs="EB Garamond Medium"/>
          <w:sz w:val="24"/>
          <w:szCs w:val="24"/>
        </w:rPr>
        <w:t xml:space="preserve"> sottoscritto in questo distretto, che sulla base dei parametri indicati di cui all’art. 12, D.M. n. 55/2014 ha suddiviso i procedimenti in tre categorie (“</w:t>
      </w:r>
      <w:r>
        <w:rPr>
          <w:rFonts w:ascii="EB Garamond Medium" w:eastAsia="EB Garamond Medium" w:hAnsi="EB Garamond Medium" w:cs="EB Garamond Medium"/>
          <w:i/>
          <w:iCs/>
          <w:sz w:val="24"/>
          <w:szCs w:val="24"/>
        </w:rPr>
        <w:t>semplici</w:t>
      </w:r>
      <w:r>
        <w:rPr>
          <w:rFonts w:ascii="EB Garamond Medium" w:eastAsia="EB Garamond Medium" w:hAnsi="EB Garamond Medium" w:cs="EB Garamond Medium"/>
          <w:sz w:val="24"/>
          <w:szCs w:val="24"/>
        </w:rPr>
        <w:t>”, “</w:t>
      </w:r>
      <w:r>
        <w:rPr>
          <w:rFonts w:ascii="EB Garamond Medium" w:eastAsia="EB Garamond Medium" w:hAnsi="EB Garamond Medium" w:cs="EB Garamond Medium"/>
          <w:i/>
          <w:iCs/>
          <w:sz w:val="24"/>
          <w:szCs w:val="24"/>
        </w:rPr>
        <w:t>medi</w:t>
      </w:r>
      <w:r>
        <w:rPr>
          <w:rFonts w:ascii="EB Garamond Medium" w:eastAsia="EB Garamond Medium" w:hAnsi="EB Garamond Medium" w:cs="EB Garamond Medium"/>
          <w:sz w:val="24"/>
          <w:szCs w:val="24"/>
        </w:rPr>
        <w:t>” e “</w:t>
      </w:r>
      <w:r>
        <w:rPr>
          <w:rFonts w:ascii="EB Garamond Medium" w:eastAsia="EB Garamond Medium" w:hAnsi="EB Garamond Medium" w:cs="EB Garamond Medium"/>
          <w:i/>
          <w:iCs/>
          <w:sz w:val="24"/>
          <w:szCs w:val="24"/>
        </w:rPr>
        <w:t>complessi</w:t>
      </w:r>
      <w:r>
        <w:rPr>
          <w:rFonts w:ascii="EB Garamond Medium" w:eastAsia="EB Garamond Medium" w:hAnsi="EB Garamond Medium" w:cs="EB Garamond Medium"/>
          <w:sz w:val="24"/>
          <w:szCs w:val="24"/>
        </w:rPr>
        <w:t>”), valorizzando in particolare:</w:t>
      </w:r>
    </w:p>
    <w:p w14:paraId="39736D52" w14:textId="77777777" w:rsidR="002076A2" w:rsidRDefault="00000000">
      <w:pPr>
        <w:numPr>
          <w:ilvl w:val="0"/>
          <w:numId w:val="5"/>
        </w:numPr>
        <w:spacing w:line="240" w:lineRule="auto"/>
        <w:jc w:val="both"/>
        <w:rPr>
          <w:rFonts w:ascii="EB Garamond Medium" w:eastAsia="EB Garamond Medium" w:hAnsi="EB Garamond Medium" w:cs="EB Garamond Medium"/>
          <w:sz w:val="20"/>
          <w:szCs w:val="20"/>
        </w:rPr>
      </w:pPr>
      <w:r>
        <w:rPr>
          <w:rFonts w:ascii="EB Garamond Medium" w:eastAsia="EB Garamond Medium" w:hAnsi="EB Garamond Medium" w:cs="EB Garamond Medium"/>
          <w:sz w:val="20"/>
          <w:szCs w:val="20"/>
        </w:rPr>
        <w:t>numero di testimoni escussi, complessità dell’attività istruttoria e della documentazione acquisita ed esaminata: è di regola semplice il processo nel quale viene ascoltato al massimo un testimone;</w:t>
      </w:r>
    </w:p>
    <w:p w14:paraId="1C35C266" w14:textId="77777777" w:rsidR="002076A2" w:rsidRDefault="00000000">
      <w:pPr>
        <w:numPr>
          <w:ilvl w:val="0"/>
          <w:numId w:val="5"/>
        </w:numPr>
        <w:spacing w:line="240" w:lineRule="auto"/>
        <w:jc w:val="both"/>
        <w:rPr>
          <w:rFonts w:ascii="EB Garamond Medium" w:eastAsia="EB Garamond Medium" w:hAnsi="EB Garamond Medium" w:cs="EB Garamond Medium"/>
          <w:sz w:val="20"/>
          <w:szCs w:val="20"/>
        </w:rPr>
      </w:pPr>
      <w:r>
        <w:rPr>
          <w:rFonts w:ascii="EB Garamond Medium" w:eastAsia="EB Garamond Medium" w:hAnsi="EB Garamond Medium" w:cs="EB Garamond Medium"/>
          <w:sz w:val="20"/>
          <w:szCs w:val="20"/>
        </w:rPr>
        <w:t xml:space="preserve">numero e durata delle udienze, ad eccezione di quelle di mero rinvio; è di regola semplice il processo che si esaurisce nell’arco di una sola udienza di breve durata, complesso quello che si protragga per almeno </w:t>
      </w:r>
      <w:proofErr w:type="gramStart"/>
      <w:r>
        <w:rPr>
          <w:rFonts w:ascii="EB Garamond Medium" w:eastAsia="EB Garamond Medium" w:hAnsi="EB Garamond Medium" w:cs="EB Garamond Medium"/>
          <w:sz w:val="20"/>
          <w:szCs w:val="20"/>
        </w:rPr>
        <w:t>5</w:t>
      </w:r>
      <w:proofErr w:type="gramEnd"/>
      <w:r>
        <w:rPr>
          <w:rFonts w:ascii="EB Garamond Medium" w:eastAsia="EB Garamond Medium" w:hAnsi="EB Garamond Medium" w:cs="EB Garamond Medium"/>
          <w:sz w:val="20"/>
          <w:szCs w:val="20"/>
        </w:rPr>
        <w:t xml:space="preserve"> udienze;</w:t>
      </w:r>
    </w:p>
    <w:p w14:paraId="556F9433" w14:textId="77777777" w:rsidR="002076A2" w:rsidRDefault="00000000">
      <w:pPr>
        <w:numPr>
          <w:ilvl w:val="0"/>
          <w:numId w:val="5"/>
        </w:numPr>
        <w:spacing w:line="240" w:lineRule="auto"/>
        <w:jc w:val="both"/>
        <w:rPr>
          <w:rFonts w:ascii="EB Garamond Medium" w:eastAsia="EB Garamond Medium" w:hAnsi="EB Garamond Medium" w:cs="EB Garamond Medium"/>
          <w:sz w:val="20"/>
          <w:szCs w:val="20"/>
        </w:rPr>
      </w:pPr>
      <w:r>
        <w:rPr>
          <w:rFonts w:ascii="EB Garamond Medium" w:eastAsia="EB Garamond Medium" w:hAnsi="EB Garamond Medium" w:cs="EB Garamond Medium"/>
          <w:sz w:val="20"/>
          <w:szCs w:val="20"/>
        </w:rPr>
        <w:t>pendenza di misure cautelari: il procedimento nel quale sono o sono state applicate misure cautelari è di regola classificabile quanto meno come medio;</w:t>
      </w:r>
    </w:p>
    <w:p w14:paraId="34955DDE" w14:textId="77777777" w:rsidR="002076A2" w:rsidRDefault="00000000">
      <w:pPr>
        <w:numPr>
          <w:ilvl w:val="0"/>
          <w:numId w:val="5"/>
        </w:numPr>
        <w:spacing w:line="240" w:lineRule="auto"/>
        <w:jc w:val="both"/>
        <w:rPr>
          <w:rFonts w:ascii="EB Garamond Medium" w:eastAsia="EB Garamond Medium" w:hAnsi="EB Garamond Medium" w:cs="EB Garamond Medium"/>
          <w:sz w:val="20"/>
          <w:szCs w:val="20"/>
        </w:rPr>
      </w:pPr>
      <w:r>
        <w:rPr>
          <w:rFonts w:ascii="EB Garamond Medium" w:eastAsia="EB Garamond Medium" w:hAnsi="EB Garamond Medium" w:cs="EB Garamond Medium"/>
          <w:sz w:val="20"/>
          <w:szCs w:val="20"/>
        </w:rPr>
        <w:t>numero e complessità delle questioni giuridiche e di fatto trattate; caratteristiche, urgenza e pregio dell’attività prestata; importanza, natura e complessità del procedimento; concreta incidenza degli atti assunti rispetto alla posizione processuale della parte assistita; rilevanza patrimoniale. È tendenzialmente complesso un procedimento relativo a reati associativi o di competenza della Corte d’Assise o comunque istruiti dalla Direzione Distrettuale Antimafia.</w:t>
      </w:r>
    </w:p>
    <w:p w14:paraId="613ED25B" w14:textId="77777777" w:rsidR="002076A2" w:rsidRDefault="00000000">
      <w:pPr>
        <w:numPr>
          <w:ilvl w:val="0"/>
          <w:numId w:val="1"/>
        </w:numPr>
        <w:tabs>
          <w:tab w:val="left" w:pos="4650"/>
          <w:tab w:val="right" w:pos="10469"/>
        </w:tabs>
        <w:spacing w:line="240" w:lineRule="auto"/>
        <w:jc w:val="both"/>
        <w:rPr>
          <w:rFonts w:ascii="EB Garamond Medium" w:eastAsia="EB Garamond Medium" w:hAnsi="EB Garamond Medium" w:cs="EB Garamond Medium"/>
          <w:sz w:val="24"/>
          <w:szCs w:val="24"/>
        </w:rPr>
      </w:pPr>
      <w:r>
        <w:rPr>
          <w:rFonts w:ascii="EB Garamond" w:eastAsia="EB Garamond" w:hAnsi="EB Garamond" w:cs="EB Garamond"/>
          <w:b/>
          <w:bCs/>
          <w:smallCaps/>
          <w:sz w:val="24"/>
          <w:szCs w:val="24"/>
        </w:rPr>
        <w:t>Rilevato</w:t>
      </w:r>
      <w:r>
        <w:rPr>
          <w:rFonts w:ascii="EB Garamond" w:eastAsia="EB Garamond" w:hAnsi="EB Garamond" w:cs="EB Garamond"/>
          <w:b/>
          <w:bCs/>
          <w:sz w:val="24"/>
          <w:szCs w:val="24"/>
        </w:rPr>
        <w:t xml:space="preserve"> </w:t>
      </w:r>
      <w:r>
        <w:rPr>
          <w:rFonts w:ascii="EB Garamond Medium" w:eastAsia="EB Garamond Medium" w:hAnsi="EB Garamond Medium" w:cs="EB Garamond Medium"/>
          <w:sz w:val="24"/>
          <w:szCs w:val="24"/>
        </w:rPr>
        <w:t>che, considerando la natura dell’attività prestata, il grado di complessità del procedimento, il numero e la gravità delle imputazioni, la rilevanza delle questioni giuridiche e di fatto trattate, l’entità dell’impegno profuso, il numero di udienze celebrate, e la concreta incidenza che l’attività del difensore ha avuto sulla posizione del suo assistito, il procedimento deve qualificarsi come semplice e che si ritiene congruo liquidare le seguenti fasi:</w:t>
      </w:r>
    </w:p>
    <w:p w14:paraId="4218DC8D" w14:textId="77777777" w:rsidR="002076A2" w:rsidRDefault="00000000">
      <w:pPr>
        <w:numPr>
          <w:ilvl w:val="1"/>
          <w:numId w:val="1"/>
        </w:numPr>
        <w:tabs>
          <w:tab w:val="left" w:pos="4650"/>
          <w:tab w:val="right" w:pos="10469"/>
        </w:tabs>
        <w:spacing w:line="240" w:lineRule="auto"/>
        <w:jc w:val="both"/>
        <w:rPr>
          <w:rFonts w:ascii="EB Garamond" w:eastAsia="EB Garamond" w:hAnsi="EB Garamond" w:cs="EB Garamond"/>
          <w:b/>
          <w:bCs/>
        </w:rPr>
      </w:pPr>
      <w:r>
        <w:rPr>
          <w:rFonts w:ascii="EB Garamond" w:eastAsia="EB Garamond" w:hAnsi="EB Garamond" w:cs="EB Garamond"/>
          <w:b/>
          <w:bCs/>
          <w:smallCaps/>
        </w:rPr>
        <w:t xml:space="preserve">Ritenuto </w:t>
      </w:r>
      <w:r>
        <w:rPr>
          <w:rFonts w:ascii="EB Garamond Medium" w:eastAsia="EB Garamond Medium" w:hAnsi="EB Garamond Medium" w:cs="EB Garamond Medium"/>
        </w:rPr>
        <w:t>che {{motivazione studio}};</w:t>
      </w:r>
    </w:p>
    <w:p w14:paraId="4ED1F1DA" w14:textId="77777777" w:rsidR="002076A2" w:rsidRDefault="00000000">
      <w:pPr>
        <w:numPr>
          <w:ilvl w:val="1"/>
          <w:numId w:val="1"/>
        </w:numPr>
        <w:tabs>
          <w:tab w:val="left" w:pos="4650"/>
          <w:tab w:val="right" w:pos="10469"/>
        </w:tabs>
        <w:spacing w:line="240" w:lineRule="auto"/>
        <w:jc w:val="both"/>
        <w:rPr>
          <w:rFonts w:ascii="EB Garamond Medium" w:eastAsia="EB Garamond Medium" w:hAnsi="EB Garamond Medium" w:cs="EB Garamond Medium"/>
        </w:rPr>
      </w:pPr>
      <w:r>
        <w:rPr>
          <w:rFonts w:ascii="EB Garamond" w:eastAsia="EB Garamond" w:hAnsi="EB Garamond" w:cs="EB Garamond"/>
          <w:b/>
          <w:bCs/>
          <w:smallCaps/>
        </w:rPr>
        <w:t xml:space="preserve">Ritenuto </w:t>
      </w:r>
      <w:r>
        <w:rPr>
          <w:rFonts w:ascii="EB Garamond Medium" w:eastAsia="EB Garamond Medium" w:hAnsi="EB Garamond Medium" w:cs="EB Garamond Medium"/>
        </w:rPr>
        <w:t>che {{motivazione introduttiva}};</w:t>
      </w:r>
    </w:p>
    <w:p w14:paraId="67380FDC" w14:textId="77777777" w:rsidR="002076A2" w:rsidRDefault="00000000">
      <w:pPr>
        <w:numPr>
          <w:ilvl w:val="1"/>
          <w:numId w:val="1"/>
        </w:numPr>
        <w:tabs>
          <w:tab w:val="left" w:pos="4650"/>
          <w:tab w:val="right" w:pos="10469"/>
        </w:tabs>
        <w:spacing w:line="240" w:lineRule="auto"/>
        <w:jc w:val="both"/>
        <w:rPr>
          <w:rFonts w:ascii="EB Garamond Medium" w:eastAsia="EB Garamond Medium" w:hAnsi="EB Garamond Medium" w:cs="EB Garamond Medium"/>
        </w:rPr>
      </w:pPr>
      <w:r>
        <w:rPr>
          <w:rFonts w:ascii="EB Garamond" w:eastAsia="EB Garamond" w:hAnsi="EB Garamond" w:cs="EB Garamond"/>
          <w:b/>
          <w:bCs/>
          <w:smallCaps/>
        </w:rPr>
        <w:t xml:space="preserve">Ritenuto </w:t>
      </w:r>
      <w:r>
        <w:rPr>
          <w:rFonts w:ascii="EB Garamond Medium" w:eastAsia="EB Garamond Medium" w:hAnsi="EB Garamond Medium" w:cs="EB Garamond Medium"/>
        </w:rPr>
        <w:t>che {{motivazione istruttoria}};</w:t>
      </w:r>
    </w:p>
    <w:p w14:paraId="6CC558B0" w14:textId="77777777" w:rsidR="002076A2" w:rsidRDefault="00000000">
      <w:pPr>
        <w:numPr>
          <w:ilvl w:val="1"/>
          <w:numId w:val="1"/>
        </w:numPr>
        <w:tabs>
          <w:tab w:val="left" w:pos="4650"/>
          <w:tab w:val="right" w:pos="10469"/>
        </w:tabs>
        <w:spacing w:line="240" w:lineRule="auto"/>
        <w:jc w:val="both"/>
        <w:rPr>
          <w:rFonts w:ascii="EB Garamond Medium" w:eastAsia="EB Garamond Medium" w:hAnsi="EB Garamond Medium" w:cs="EB Garamond Medium"/>
        </w:rPr>
      </w:pPr>
      <w:r>
        <w:rPr>
          <w:rFonts w:ascii="EB Garamond" w:eastAsia="EB Garamond" w:hAnsi="EB Garamond" w:cs="EB Garamond"/>
          <w:b/>
          <w:bCs/>
          <w:smallCaps/>
        </w:rPr>
        <w:t xml:space="preserve">Ritenuto </w:t>
      </w:r>
      <w:r>
        <w:rPr>
          <w:rFonts w:ascii="EB Garamond Medium" w:eastAsia="EB Garamond Medium" w:hAnsi="EB Garamond Medium" w:cs="EB Garamond Medium"/>
        </w:rPr>
        <w:t>che {{motivazione decisionale}};</w:t>
      </w:r>
    </w:p>
    <w:p w14:paraId="69E85C1C" w14:textId="77777777" w:rsidR="002076A2" w:rsidRDefault="00000000">
      <w:pPr>
        <w:numPr>
          <w:ilvl w:val="0"/>
          <w:numId w:val="1"/>
        </w:numPr>
        <w:tabs>
          <w:tab w:val="left" w:pos="4650"/>
          <w:tab w:val="right" w:pos="10469"/>
        </w:tabs>
        <w:spacing w:line="240" w:lineRule="auto"/>
        <w:jc w:val="both"/>
        <w:rPr>
          <w:rFonts w:ascii="EB Garamond Medium" w:eastAsia="EB Garamond Medium" w:hAnsi="EB Garamond Medium" w:cs="EB Garamond Medium"/>
          <w:sz w:val="24"/>
          <w:szCs w:val="24"/>
        </w:rPr>
      </w:pPr>
      <w:r>
        <w:rPr>
          <w:rFonts w:ascii="EB Garamond" w:eastAsia="EB Garamond" w:hAnsi="EB Garamond" w:cs="EB Garamond"/>
          <w:b/>
          <w:bCs/>
          <w:smallCaps/>
          <w:sz w:val="24"/>
          <w:szCs w:val="24"/>
        </w:rPr>
        <w:t xml:space="preserve">Ritenuto </w:t>
      </w:r>
      <w:r>
        <w:rPr>
          <w:rFonts w:ascii="EB Garamond Medium" w:eastAsia="EB Garamond Medium" w:hAnsi="EB Garamond Medium" w:cs="EB Garamond Medium"/>
          <w:sz w:val="24"/>
          <w:szCs w:val="24"/>
        </w:rPr>
        <w:t>che {{assistenza più assistiti}};</w:t>
      </w:r>
    </w:p>
    <w:p w14:paraId="122287E6" w14:textId="77777777" w:rsidR="002076A2" w:rsidRDefault="00000000">
      <w:pPr>
        <w:numPr>
          <w:ilvl w:val="0"/>
          <w:numId w:val="1"/>
        </w:numPr>
        <w:tabs>
          <w:tab w:val="left" w:pos="4650"/>
          <w:tab w:val="right" w:pos="10469"/>
        </w:tabs>
        <w:spacing w:line="240" w:lineRule="auto"/>
        <w:jc w:val="both"/>
        <w:rPr>
          <w:rFonts w:ascii="EB Garamond Medium" w:eastAsia="EB Garamond Medium" w:hAnsi="EB Garamond Medium" w:cs="EB Garamond Medium"/>
          <w:sz w:val="24"/>
          <w:szCs w:val="24"/>
        </w:rPr>
      </w:pPr>
      <w:r>
        <w:rPr>
          <w:rFonts w:ascii="EB Garamond" w:eastAsia="EB Garamond" w:hAnsi="EB Garamond" w:cs="EB Garamond"/>
          <w:b/>
          <w:bCs/>
          <w:smallCaps/>
          <w:sz w:val="24"/>
          <w:szCs w:val="24"/>
        </w:rPr>
        <w:lastRenderedPageBreak/>
        <w:t xml:space="preserve">Ritenuto </w:t>
      </w:r>
      <w:r>
        <w:rPr>
          <w:rFonts w:ascii="EB Garamond Medium" w:eastAsia="EB Garamond Medium" w:hAnsi="EB Garamond Medium" w:cs="EB Garamond Medium"/>
          <w:sz w:val="24"/>
          <w:szCs w:val="24"/>
        </w:rPr>
        <w:t>che {{</w:t>
      </w:r>
      <w:proofErr w:type="spellStart"/>
      <w:r>
        <w:rPr>
          <w:rFonts w:ascii="EB Garamond Medium" w:eastAsia="EB Garamond Medium" w:hAnsi="EB Garamond Medium" w:cs="EB Garamond Medium"/>
          <w:sz w:val="24"/>
          <w:szCs w:val="24"/>
        </w:rPr>
        <w:t>subcautelare</w:t>
      </w:r>
      <w:proofErr w:type="spellEnd"/>
      <w:r>
        <w:rPr>
          <w:rFonts w:ascii="EB Garamond Medium" w:eastAsia="EB Garamond Medium" w:hAnsi="EB Garamond Medium" w:cs="EB Garamond Medium"/>
          <w:sz w:val="24"/>
          <w:szCs w:val="24"/>
        </w:rPr>
        <w:t>}};</w:t>
      </w:r>
    </w:p>
    <w:p w14:paraId="51C44158" w14:textId="77777777" w:rsidR="002076A2" w:rsidRDefault="002076A2">
      <w:pPr>
        <w:tabs>
          <w:tab w:val="left" w:pos="4650"/>
          <w:tab w:val="right" w:pos="10469"/>
        </w:tabs>
        <w:spacing w:line="240" w:lineRule="auto"/>
        <w:jc w:val="both"/>
        <w:rPr>
          <w:rFonts w:ascii="EB Garamond Medium" w:eastAsia="EB Garamond Medium" w:hAnsi="EB Garamond Medium" w:cs="EB Garamond Medium"/>
          <w:sz w:val="24"/>
          <w:szCs w:val="24"/>
        </w:rPr>
      </w:pPr>
    </w:p>
    <w:p w14:paraId="684756A5" w14:textId="1A7CB307" w:rsidR="002076A2" w:rsidRDefault="00000000">
      <w:pPr>
        <w:tabs>
          <w:tab w:val="left" w:pos="4650"/>
          <w:tab w:val="right" w:pos="10469"/>
        </w:tabs>
        <w:spacing w:line="240" w:lineRule="auto"/>
        <w:jc w:val="both"/>
        <w:rPr>
          <w:rFonts w:ascii="EB Garamond Medium" w:eastAsia="EB Garamond Medium" w:hAnsi="EB Garamond Medium" w:cs="EB Garamond Medium"/>
          <w:sz w:val="24"/>
          <w:szCs w:val="24"/>
        </w:rPr>
      </w:pPr>
      <w:r>
        <w:rPr>
          <w:rFonts w:ascii="EB Garamond Medium" w:eastAsia="EB Garamond Medium" w:hAnsi="EB Garamond Medium" w:cs="EB Garamond Medium"/>
          <w:sz w:val="24"/>
          <w:szCs w:val="24"/>
        </w:rPr>
        <w:t>Tanto considerato, si ritiene, pertanto, individuare l’importo da liquidare nel modo seguente:</w:t>
      </w:r>
    </w:p>
    <w:tbl>
      <w:tblPr>
        <w:tblStyle w:val="a"/>
        <w:tblW w:w="633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050"/>
        <w:gridCol w:w="2280"/>
      </w:tblGrid>
      <w:tr w:rsidR="002076A2" w14:paraId="1D715149" w14:textId="77777777">
        <w:tc>
          <w:tcPr>
            <w:tcW w:w="4050" w:type="dxa"/>
            <w:shd w:val="clear" w:color="auto" w:fill="EFEFEF"/>
            <w:tcMar>
              <w:top w:w="100" w:type="dxa"/>
              <w:left w:w="100" w:type="dxa"/>
              <w:bottom w:w="100" w:type="dxa"/>
              <w:right w:w="100" w:type="dxa"/>
            </w:tcMar>
          </w:tcPr>
          <w:p w14:paraId="13D3D861" w14:textId="77777777" w:rsidR="002076A2" w:rsidRDefault="00000000">
            <w:pPr>
              <w:widowControl w:val="0"/>
              <w:pBdr>
                <w:top w:val="nil"/>
                <w:left w:val="nil"/>
                <w:bottom w:val="nil"/>
                <w:right w:val="nil"/>
                <w:between w:val="nil"/>
              </w:pBdr>
              <w:spacing w:line="240" w:lineRule="auto"/>
              <w:rPr>
                <w:rFonts w:ascii="EB Garamond" w:eastAsia="EB Garamond" w:hAnsi="EB Garamond" w:cs="EB Garamond"/>
                <w:b/>
                <w:bCs/>
                <w:sz w:val="20"/>
                <w:szCs w:val="20"/>
              </w:rPr>
            </w:pPr>
            <w:r>
              <w:rPr>
                <w:rFonts w:ascii="EB Garamond" w:eastAsia="EB Garamond" w:hAnsi="EB Garamond" w:cs="EB Garamond"/>
                <w:b/>
                <w:bCs/>
                <w:sz w:val="20"/>
                <w:szCs w:val="20"/>
              </w:rPr>
              <w:t>Studio</w:t>
            </w:r>
          </w:p>
        </w:tc>
        <w:tc>
          <w:tcPr>
            <w:tcW w:w="2280" w:type="dxa"/>
            <w:tcMar>
              <w:top w:w="100" w:type="dxa"/>
              <w:left w:w="100" w:type="dxa"/>
              <w:bottom w:w="100" w:type="dxa"/>
              <w:right w:w="100" w:type="dxa"/>
            </w:tcMar>
          </w:tcPr>
          <w:p w14:paraId="4120ABF3" w14:textId="77777777" w:rsidR="002076A2" w:rsidRDefault="00000000">
            <w:pPr>
              <w:widowControl w:val="0"/>
              <w:pBdr>
                <w:top w:val="nil"/>
                <w:left w:val="nil"/>
                <w:bottom w:val="nil"/>
                <w:right w:val="nil"/>
                <w:between w:val="nil"/>
              </w:pBdr>
              <w:spacing w:line="240" w:lineRule="auto"/>
              <w:rPr>
                <w:rFonts w:ascii="EB Garamond Medium" w:eastAsia="EB Garamond Medium" w:hAnsi="EB Garamond Medium" w:cs="EB Garamond Medium"/>
                <w:sz w:val="20"/>
                <w:szCs w:val="20"/>
              </w:rPr>
            </w:pPr>
            <w:r>
              <w:rPr>
                <w:rFonts w:ascii="EB Garamond Medium" w:eastAsia="EB Garamond Medium" w:hAnsi="EB Garamond Medium" w:cs="EB Garamond Medium"/>
                <w:sz w:val="20"/>
                <w:szCs w:val="20"/>
              </w:rPr>
              <w:t>€ {{importo studio}}</w:t>
            </w:r>
          </w:p>
        </w:tc>
      </w:tr>
      <w:tr w:rsidR="002076A2" w14:paraId="079B0AEE" w14:textId="77777777">
        <w:tc>
          <w:tcPr>
            <w:tcW w:w="4050" w:type="dxa"/>
            <w:shd w:val="clear" w:color="auto" w:fill="EFEFEF"/>
            <w:tcMar>
              <w:top w:w="100" w:type="dxa"/>
              <w:left w:w="100" w:type="dxa"/>
              <w:bottom w:w="100" w:type="dxa"/>
              <w:right w:w="100" w:type="dxa"/>
            </w:tcMar>
          </w:tcPr>
          <w:p w14:paraId="1F48265A" w14:textId="77777777" w:rsidR="002076A2" w:rsidRDefault="00000000">
            <w:pPr>
              <w:widowControl w:val="0"/>
              <w:pBdr>
                <w:top w:val="nil"/>
                <w:left w:val="nil"/>
                <w:bottom w:val="nil"/>
                <w:right w:val="nil"/>
                <w:between w:val="nil"/>
              </w:pBdr>
              <w:spacing w:line="240" w:lineRule="auto"/>
              <w:rPr>
                <w:rFonts w:ascii="EB Garamond" w:eastAsia="EB Garamond" w:hAnsi="EB Garamond" w:cs="EB Garamond"/>
                <w:b/>
                <w:bCs/>
                <w:sz w:val="20"/>
                <w:szCs w:val="20"/>
              </w:rPr>
            </w:pPr>
            <w:r>
              <w:rPr>
                <w:rFonts w:ascii="EB Garamond" w:eastAsia="EB Garamond" w:hAnsi="EB Garamond" w:cs="EB Garamond"/>
                <w:b/>
                <w:bCs/>
                <w:sz w:val="20"/>
                <w:szCs w:val="20"/>
              </w:rPr>
              <w:t>Introduttiva</w:t>
            </w:r>
          </w:p>
        </w:tc>
        <w:tc>
          <w:tcPr>
            <w:tcW w:w="2280" w:type="dxa"/>
            <w:tcMar>
              <w:top w:w="100" w:type="dxa"/>
              <w:left w:w="100" w:type="dxa"/>
              <w:bottom w:w="100" w:type="dxa"/>
              <w:right w:w="100" w:type="dxa"/>
            </w:tcMar>
          </w:tcPr>
          <w:p w14:paraId="2DF41374" w14:textId="77777777" w:rsidR="002076A2" w:rsidRDefault="00000000">
            <w:pPr>
              <w:widowControl w:val="0"/>
              <w:spacing w:line="240" w:lineRule="auto"/>
              <w:rPr>
                <w:rFonts w:ascii="EB Garamond Medium" w:eastAsia="EB Garamond Medium" w:hAnsi="EB Garamond Medium" w:cs="EB Garamond Medium"/>
                <w:sz w:val="20"/>
                <w:szCs w:val="20"/>
              </w:rPr>
            </w:pPr>
            <w:r>
              <w:rPr>
                <w:rFonts w:ascii="EB Garamond Medium" w:eastAsia="EB Garamond Medium" w:hAnsi="EB Garamond Medium" w:cs="EB Garamond Medium"/>
                <w:sz w:val="20"/>
                <w:szCs w:val="20"/>
              </w:rPr>
              <w:t>€ {{importo introduttiva}}</w:t>
            </w:r>
          </w:p>
        </w:tc>
      </w:tr>
      <w:tr w:rsidR="002076A2" w14:paraId="25B9716B" w14:textId="77777777">
        <w:tc>
          <w:tcPr>
            <w:tcW w:w="4050" w:type="dxa"/>
            <w:shd w:val="clear" w:color="auto" w:fill="EFEFEF"/>
            <w:tcMar>
              <w:top w:w="100" w:type="dxa"/>
              <w:left w:w="100" w:type="dxa"/>
              <w:bottom w:w="100" w:type="dxa"/>
              <w:right w:w="100" w:type="dxa"/>
            </w:tcMar>
          </w:tcPr>
          <w:p w14:paraId="61FF125E" w14:textId="77777777" w:rsidR="002076A2" w:rsidRDefault="00000000">
            <w:pPr>
              <w:widowControl w:val="0"/>
              <w:pBdr>
                <w:top w:val="nil"/>
                <w:left w:val="nil"/>
                <w:bottom w:val="nil"/>
                <w:right w:val="nil"/>
                <w:between w:val="nil"/>
              </w:pBdr>
              <w:spacing w:line="240" w:lineRule="auto"/>
              <w:rPr>
                <w:rFonts w:ascii="EB Garamond" w:eastAsia="EB Garamond" w:hAnsi="EB Garamond" w:cs="EB Garamond"/>
                <w:b/>
                <w:bCs/>
                <w:sz w:val="20"/>
                <w:szCs w:val="20"/>
              </w:rPr>
            </w:pPr>
            <w:r>
              <w:rPr>
                <w:rFonts w:ascii="EB Garamond" w:eastAsia="EB Garamond" w:hAnsi="EB Garamond" w:cs="EB Garamond"/>
                <w:b/>
                <w:bCs/>
                <w:sz w:val="20"/>
                <w:szCs w:val="20"/>
              </w:rPr>
              <w:t>Istruttoria</w:t>
            </w:r>
          </w:p>
        </w:tc>
        <w:tc>
          <w:tcPr>
            <w:tcW w:w="2280" w:type="dxa"/>
            <w:tcMar>
              <w:top w:w="100" w:type="dxa"/>
              <w:left w:w="100" w:type="dxa"/>
              <w:bottom w:w="100" w:type="dxa"/>
              <w:right w:w="100" w:type="dxa"/>
            </w:tcMar>
          </w:tcPr>
          <w:p w14:paraId="11708C0C" w14:textId="77777777" w:rsidR="002076A2" w:rsidRDefault="00000000">
            <w:pPr>
              <w:widowControl w:val="0"/>
              <w:spacing w:line="240" w:lineRule="auto"/>
              <w:rPr>
                <w:rFonts w:ascii="EB Garamond Medium" w:eastAsia="EB Garamond Medium" w:hAnsi="EB Garamond Medium" w:cs="EB Garamond Medium"/>
                <w:sz w:val="20"/>
                <w:szCs w:val="20"/>
              </w:rPr>
            </w:pPr>
            <w:r>
              <w:rPr>
                <w:rFonts w:ascii="EB Garamond Medium" w:eastAsia="EB Garamond Medium" w:hAnsi="EB Garamond Medium" w:cs="EB Garamond Medium"/>
                <w:sz w:val="20"/>
                <w:szCs w:val="20"/>
              </w:rPr>
              <w:t>€ {{importo istruttoria}}</w:t>
            </w:r>
          </w:p>
        </w:tc>
      </w:tr>
      <w:tr w:rsidR="002076A2" w14:paraId="51C7712D" w14:textId="77777777">
        <w:tc>
          <w:tcPr>
            <w:tcW w:w="4050" w:type="dxa"/>
            <w:shd w:val="clear" w:color="auto" w:fill="EFEFEF"/>
            <w:tcMar>
              <w:top w:w="100" w:type="dxa"/>
              <w:left w:w="100" w:type="dxa"/>
              <w:bottom w:w="100" w:type="dxa"/>
              <w:right w:w="100" w:type="dxa"/>
            </w:tcMar>
          </w:tcPr>
          <w:p w14:paraId="5640CD2B" w14:textId="77777777" w:rsidR="002076A2" w:rsidRDefault="00000000">
            <w:pPr>
              <w:widowControl w:val="0"/>
              <w:pBdr>
                <w:top w:val="nil"/>
                <w:left w:val="nil"/>
                <w:bottom w:val="nil"/>
                <w:right w:val="nil"/>
                <w:between w:val="nil"/>
              </w:pBdr>
              <w:spacing w:line="240" w:lineRule="auto"/>
              <w:rPr>
                <w:rFonts w:ascii="EB Garamond" w:eastAsia="EB Garamond" w:hAnsi="EB Garamond" w:cs="EB Garamond"/>
                <w:b/>
                <w:bCs/>
                <w:sz w:val="20"/>
                <w:szCs w:val="20"/>
              </w:rPr>
            </w:pPr>
            <w:r>
              <w:rPr>
                <w:rFonts w:ascii="EB Garamond" w:eastAsia="EB Garamond" w:hAnsi="EB Garamond" w:cs="EB Garamond"/>
                <w:b/>
                <w:bCs/>
                <w:sz w:val="20"/>
                <w:szCs w:val="20"/>
              </w:rPr>
              <w:t>Decisionale</w:t>
            </w:r>
          </w:p>
        </w:tc>
        <w:tc>
          <w:tcPr>
            <w:tcW w:w="2280" w:type="dxa"/>
            <w:tcMar>
              <w:top w:w="100" w:type="dxa"/>
              <w:left w:w="100" w:type="dxa"/>
              <w:bottom w:w="100" w:type="dxa"/>
              <w:right w:w="100" w:type="dxa"/>
            </w:tcMar>
          </w:tcPr>
          <w:p w14:paraId="0F0BC669" w14:textId="77777777" w:rsidR="002076A2" w:rsidRDefault="00000000">
            <w:pPr>
              <w:widowControl w:val="0"/>
              <w:spacing w:line="240" w:lineRule="auto"/>
              <w:rPr>
                <w:rFonts w:ascii="EB Garamond Medium" w:eastAsia="EB Garamond Medium" w:hAnsi="EB Garamond Medium" w:cs="EB Garamond Medium"/>
                <w:sz w:val="20"/>
                <w:szCs w:val="20"/>
              </w:rPr>
            </w:pPr>
            <w:r>
              <w:rPr>
                <w:rFonts w:ascii="EB Garamond Medium" w:eastAsia="EB Garamond Medium" w:hAnsi="EB Garamond Medium" w:cs="EB Garamond Medium"/>
                <w:sz w:val="20"/>
                <w:szCs w:val="20"/>
              </w:rPr>
              <w:t>€ {{importo decisionale}}</w:t>
            </w:r>
          </w:p>
        </w:tc>
      </w:tr>
      <w:tr w:rsidR="002076A2" w14:paraId="2B110CC7" w14:textId="77777777">
        <w:tc>
          <w:tcPr>
            <w:tcW w:w="4050" w:type="dxa"/>
            <w:shd w:val="clear" w:color="auto" w:fill="EFEFEF"/>
            <w:tcMar>
              <w:top w:w="100" w:type="dxa"/>
              <w:left w:w="100" w:type="dxa"/>
              <w:bottom w:w="100" w:type="dxa"/>
              <w:right w:w="100" w:type="dxa"/>
            </w:tcMar>
          </w:tcPr>
          <w:p w14:paraId="6B4DACAD" w14:textId="77777777" w:rsidR="002076A2" w:rsidRDefault="00000000">
            <w:pPr>
              <w:widowControl w:val="0"/>
              <w:pBdr>
                <w:top w:val="nil"/>
                <w:left w:val="nil"/>
                <w:bottom w:val="nil"/>
                <w:right w:val="nil"/>
                <w:between w:val="nil"/>
              </w:pBdr>
              <w:spacing w:line="240" w:lineRule="auto"/>
              <w:jc w:val="right"/>
              <w:rPr>
                <w:rFonts w:ascii="EB Garamond" w:eastAsia="EB Garamond" w:hAnsi="EB Garamond" w:cs="EB Garamond"/>
                <w:b/>
                <w:bCs/>
                <w:sz w:val="20"/>
                <w:szCs w:val="20"/>
                <w:u w:val="single"/>
              </w:rPr>
            </w:pPr>
            <w:r>
              <w:rPr>
                <w:rFonts w:ascii="EB Garamond" w:eastAsia="EB Garamond" w:hAnsi="EB Garamond" w:cs="EB Garamond"/>
                <w:b/>
                <w:bCs/>
                <w:sz w:val="20"/>
                <w:szCs w:val="20"/>
                <w:u w:val="single"/>
              </w:rPr>
              <w:t>Totale parziale</w:t>
            </w:r>
          </w:p>
        </w:tc>
        <w:tc>
          <w:tcPr>
            <w:tcW w:w="2280" w:type="dxa"/>
            <w:tcMar>
              <w:top w:w="100" w:type="dxa"/>
              <w:left w:w="100" w:type="dxa"/>
              <w:bottom w:w="100" w:type="dxa"/>
              <w:right w:w="100" w:type="dxa"/>
            </w:tcMar>
          </w:tcPr>
          <w:p w14:paraId="1DE6672E" w14:textId="77777777" w:rsidR="002076A2" w:rsidRDefault="00000000">
            <w:pPr>
              <w:widowControl w:val="0"/>
              <w:spacing w:line="240" w:lineRule="auto"/>
              <w:rPr>
                <w:rFonts w:ascii="EB Garamond" w:eastAsia="EB Garamond" w:hAnsi="EB Garamond" w:cs="EB Garamond"/>
                <w:b/>
                <w:bCs/>
                <w:sz w:val="20"/>
                <w:szCs w:val="20"/>
                <w:u w:val="single"/>
              </w:rPr>
            </w:pPr>
            <w:r>
              <w:rPr>
                <w:rFonts w:ascii="EB Garamond" w:eastAsia="EB Garamond" w:hAnsi="EB Garamond" w:cs="EB Garamond"/>
                <w:b/>
                <w:bCs/>
                <w:sz w:val="20"/>
                <w:szCs w:val="20"/>
                <w:u w:val="single"/>
              </w:rPr>
              <w:t>€ {{importo tot parziale}}</w:t>
            </w:r>
          </w:p>
        </w:tc>
      </w:tr>
      <w:tr w:rsidR="002076A2" w14:paraId="7EB7E57D" w14:textId="77777777">
        <w:tc>
          <w:tcPr>
            <w:tcW w:w="4050" w:type="dxa"/>
            <w:shd w:val="clear" w:color="auto" w:fill="EFEFEF"/>
            <w:tcMar>
              <w:top w:w="100" w:type="dxa"/>
              <w:left w:w="100" w:type="dxa"/>
              <w:bottom w:w="100" w:type="dxa"/>
              <w:right w:w="100" w:type="dxa"/>
            </w:tcMar>
          </w:tcPr>
          <w:p w14:paraId="4824098E" w14:textId="77777777" w:rsidR="002076A2" w:rsidRDefault="00000000">
            <w:pPr>
              <w:widowControl w:val="0"/>
              <w:pBdr>
                <w:top w:val="nil"/>
                <w:left w:val="nil"/>
                <w:bottom w:val="nil"/>
                <w:right w:val="nil"/>
                <w:between w:val="nil"/>
              </w:pBdr>
              <w:spacing w:line="240" w:lineRule="auto"/>
              <w:rPr>
                <w:rFonts w:ascii="EB Garamond" w:eastAsia="EB Garamond" w:hAnsi="EB Garamond" w:cs="EB Garamond"/>
                <w:b/>
                <w:bCs/>
                <w:i/>
                <w:iCs/>
                <w:sz w:val="20"/>
                <w:szCs w:val="20"/>
              </w:rPr>
            </w:pPr>
            <w:r>
              <w:rPr>
                <w:rFonts w:ascii="EB Garamond" w:eastAsia="EB Garamond" w:hAnsi="EB Garamond" w:cs="EB Garamond"/>
                <w:b/>
                <w:bCs/>
                <w:sz w:val="20"/>
                <w:szCs w:val="20"/>
              </w:rPr>
              <w:t>Riduzione di ⅓ ai sensi dell’art. 106-</w:t>
            </w:r>
            <w:r>
              <w:rPr>
                <w:rFonts w:ascii="EB Garamond" w:eastAsia="EB Garamond" w:hAnsi="EB Garamond" w:cs="EB Garamond"/>
                <w:b/>
                <w:bCs/>
                <w:i/>
                <w:iCs/>
                <w:sz w:val="20"/>
                <w:szCs w:val="20"/>
              </w:rPr>
              <w:t>bis</w:t>
            </w:r>
          </w:p>
        </w:tc>
        <w:tc>
          <w:tcPr>
            <w:tcW w:w="2280" w:type="dxa"/>
            <w:tcMar>
              <w:top w:w="100" w:type="dxa"/>
              <w:left w:w="100" w:type="dxa"/>
              <w:bottom w:w="100" w:type="dxa"/>
              <w:right w:w="100" w:type="dxa"/>
            </w:tcMar>
          </w:tcPr>
          <w:p w14:paraId="298F6F91" w14:textId="77777777" w:rsidR="002076A2" w:rsidRDefault="00000000">
            <w:pPr>
              <w:widowControl w:val="0"/>
              <w:spacing w:line="240" w:lineRule="auto"/>
              <w:rPr>
                <w:rFonts w:ascii="EB Garamond Medium" w:eastAsia="EB Garamond Medium" w:hAnsi="EB Garamond Medium" w:cs="EB Garamond Medium"/>
                <w:sz w:val="20"/>
                <w:szCs w:val="20"/>
              </w:rPr>
            </w:pPr>
            <w:r>
              <w:rPr>
                <w:rFonts w:ascii="EB Garamond Medium" w:eastAsia="EB Garamond Medium" w:hAnsi="EB Garamond Medium" w:cs="EB Garamond Medium"/>
                <w:sz w:val="20"/>
                <w:szCs w:val="20"/>
              </w:rPr>
              <w:t>€ {{</w:t>
            </w:r>
            <w:proofErr w:type="spellStart"/>
            <w:r>
              <w:rPr>
                <w:rFonts w:ascii="EB Garamond Medium" w:eastAsia="EB Garamond Medium" w:hAnsi="EB Garamond Medium" w:cs="EB Garamond Medium"/>
                <w:sz w:val="20"/>
                <w:szCs w:val="20"/>
              </w:rPr>
              <w:t>rid</w:t>
            </w:r>
            <w:proofErr w:type="spellEnd"/>
            <w:r>
              <w:rPr>
                <w:rFonts w:ascii="EB Garamond Medium" w:eastAsia="EB Garamond Medium" w:hAnsi="EB Garamond Medium" w:cs="EB Garamond Medium"/>
                <w:sz w:val="20"/>
                <w:szCs w:val="20"/>
              </w:rPr>
              <w:t xml:space="preserve"> 1/3}}</w:t>
            </w:r>
          </w:p>
        </w:tc>
      </w:tr>
      <w:tr w:rsidR="002076A2" w14:paraId="25664BA7" w14:textId="77777777">
        <w:tc>
          <w:tcPr>
            <w:tcW w:w="4050" w:type="dxa"/>
            <w:shd w:val="clear" w:color="auto" w:fill="EFEFEF"/>
            <w:tcMar>
              <w:top w:w="100" w:type="dxa"/>
              <w:left w:w="100" w:type="dxa"/>
              <w:bottom w:w="100" w:type="dxa"/>
              <w:right w:w="100" w:type="dxa"/>
            </w:tcMar>
          </w:tcPr>
          <w:p w14:paraId="6FEBE81D" w14:textId="77777777" w:rsidR="002076A2" w:rsidRDefault="00000000">
            <w:pPr>
              <w:widowControl w:val="0"/>
              <w:pBdr>
                <w:top w:val="nil"/>
                <w:left w:val="nil"/>
                <w:bottom w:val="nil"/>
                <w:right w:val="nil"/>
                <w:between w:val="nil"/>
              </w:pBdr>
              <w:spacing w:line="240" w:lineRule="auto"/>
              <w:jc w:val="right"/>
              <w:rPr>
                <w:rFonts w:ascii="EB Garamond" w:eastAsia="EB Garamond" w:hAnsi="EB Garamond" w:cs="EB Garamond"/>
                <w:b/>
                <w:bCs/>
                <w:sz w:val="20"/>
                <w:szCs w:val="20"/>
                <w:u w:val="single"/>
              </w:rPr>
            </w:pPr>
            <w:r>
              <w:rPr>
                <w:rFonts w:ascii="EB Garamond" w:eastAsia="EB Garamond" w:hAnsi="EB Garamond" w:cs="EB Garamond"/>
                <w:b/>
                <w:bCs/>
                <w:sz w:val="20"/>
                <w:szCs w:val="20"/>
                <w:u w:val="single"/>
              </w:rPr>
              <w:t>Totale parziale (ridotta come sopra)</w:t>
            </w:r>
          </w:p>
        </w:tc>
        <w:tc>
          <w:tcPr>
            <w:tcW w:w="2280" w:type="dxa"/>
            <w:tcMar>
              <w:top w:w="100" w:type="dxa"/>
              <w:left w:w="100" w:type="dxa"/>
              <w:bottom w:w="100" w:type="dxa"/>
              <w:right w:w="100" w:type="dxa"/>
            </w:tcMar>
          </w:tcPr>
          <w:p w14:paraId="48349C8B" w14:textId="77777777" w:rsidR="002076A2" w:rsidRDefault="00000000">
            <w:pPr>
              <w:widowControl w:val="0"/>
              <w:spacing w:line="240" w:lineRule="auto"/>
              <w:rPr>
                <w:rFonts w:ascii="EB Garamond" w:eastAsia="EB Garamond" w:hAnsi="EB Garamond" w:cs="EB Garamond"/>
                <w:b/>
                <w:bCs/>
                <w:sz w:val="20"/>
                <w:szCs w:val="20"/>
                <w:u w:val="single"/>
              </w:rPr>
            </w:pPr>
            <w:r>
              <w:rPr>
                <w:rFonts w:ascii="EB Garamond" w:eastAsia="EB Garamond" w:hAnsi="EB Garamond" w:cs="EB Garamond"/>
                <w:b/>
                <w:bCs/>
                <w:sz w:val="20"/>
                <w:szCs w:val="20"/>
                <w:u w:val="single"/>
              </w:rPr>
              <w:t>€ {{importo tot ridotto}}</w:t>
            </w:r>
          </w:p>
        </w:tc>
      </w:tr>
      <w:tr w:rsidR="002076A2" w14:paraId="7E34C789" w14:textId="77777777">
        <w:tc>
          <w:tcPr>
            <w:tcW w:w="4050" w:type="dxa"/>
            <w:shd w:val="clear" w:color="auto" w:fill="EFEFEF"/>
            <w:tcMar>
              <w:top w:w="100" w:type="dxa"/>
              <w:left w:w="100" w:type="dxa"/>
              <w:bottom w:w="100" w:type="dxa"/>
              <w:right w:w="100" w:type="dxa"/>
            </w:tcMar>
          </w:tcPr>
          <w:p w14:paraId="60710043" w14:textId="77777777" w:rsidR="002076A2" w:rsidRDefault="00000000">
            <w:pPr>
              <w:widowControl w:val="0"/>
              <w:pBdr>
                <w:top w:val="nil"/>
                <w:left w:val="nil"/>
                <w:bottom w:val="nil"/>
                <w:right w:val="nil"/>
                <w:between w:val="nil"/>
              </w:pBdr>
              <w:spacing w:line="240" w:lineRule="auto"/>
              <w:rPr>
                <w:rFonts w:ascii="EB Garamond" w:eastAsia="EB Garamond" w:hAnsi="EB Garamond" w:cs="EB Garamond"/>
                <w:b/>
                <w:bCs/>
                <w:sz w:val="20"/>
                <w:szCs w:val="20"/>
              </w:rPr>
            </w:pPr>
            <w:r>
              <w:rPr>
                <w:rFonts w:ascii="EB Garamond" w:eastAsia="EB Garamond" w:hAnsi="EB Garamond" w:cs="EB Garamond"/>
                <w:b/>
                <w:bCs/>
                <w:sz w:val="20"/>
                <w:szCs w:val="20"/>
              </w:rPr>
              <w:t>Rimborso forfetario (15%)</w:t>
            </w:r>
          </w:p>
        </w:tc>
        <w:tc>
          <w:tcPr>
            <w:tcW w:w="2280" w:type="dxa"/>
            <w:tcMar>
              <w:top w:w="100" w:type="dxa"/>
              <w:left w:w="100" w:type="dxa"/>
              <w:bottom w:w="100" w:type="dxa"/>
              <w:right w:w="100" w:type="dxa"/>
            </w:tcMar>
          </w:tcPr>
          <w:p w14:paraId="6A23E5D3" w14:textId="77777777" w:rsidR="002076A2" w:rsidRDefault="00000000">
            <w:pPr>
              <w:widowControl w:val="0"/>
              <w:spacing w:line="240" w:lineRule="auto"/>
              <w:rPr>
                <w:rFonts w:ascii="EB Garamond Medium" w:eastAsia="EB Garamond Medium" w:hAnsi="EB Garamond Medium" w:cs="EB Garamond Medium"/>
                <w:sz w:val="20"/>
                <w:szCs w:val="20"/>
              </w:rPr>
            </w:pPr>
            <w:r>
              <w:rPr>
                <w:rFonts w:ascii="EB Garamond Medium" w:eastAsia="EB Garamond Medium" w:hAnsi="EB Garamond Medium" w:cs="EB Garamond Medium"/>
                <w:sz w:val="20"/>
                <w:szCs w:val="20"/>
              </w:rPr>
              <w:t>€ {{rimborso}}</w:t>
            </w:r>
          </w:p>
        </w:tc>
      </w:tr>
      <w:tr w:rsidR="002076A2" w14:paraId="37057C3E" w14:textId="77777777">
        <w:tc>
          <w:tcPr>
            <w:tcW w:w="4050" w:type="dxa"/>
            <w:shd w:val="clear" w:color="auto" w:fill="EFEFEF"/>
            <w:tcMar>
              <w:top w:w="100" w:type="dxa"/>
              <w:left w:w="100" w:type="dxa"/>
              <w:bottom w:w="100" w:type="dxa"/>
              <w:right w:w="100" w:type="dxa"/>
            </w:tcMar>
          </w:tcPr>
          <w:p w14:paraId="49D7C496" w14:textId="77777777" w:rsidR="002076A2" w:rsidRDefault="00000000">
            <w:pPr>
              <w:widowControl w:val="0"/>
              <w:pBdr>
                <w:top w:val="nil"/>
                <w:left w:val="nil"/>
                <w:bottom w:val="nil"/>
                <w:right w:val="nil"/>
                <w:between w:val="nil"/>
              </w:pBdr>
              <w:spacing w:line="240" w:lineRule="auto"/>
              <w:jc w:val="right"/>
              <w:rPr>
                <w:rFonts w:ascii="EB Garamond" w:eastAsia="EB Garamond" w:hAnsi="EB Garamond" w:cs="EB Garamond"/>
                <w:b/>
                <w:bCs/>
                <w:sz w:val="20"/>
                <w:szCs w:val="20"/>
                <w:u w:val="single"/>
              </w:rPr>
            </w:pPr>
            <w:r>
              <w:rPr>
                <w:rFonts w:ascii="EB Garamond" w:eastAsia="EB Garamond" w:hAnsi="EB Garamond" w:cs="EB Garamond"/>
                <w:b/>
                <w:bCs/>
                <w:sz w:val="20"/>
                <w:szCs w:val="20"/>
                <w:u w:val="single"/>
              </w:rPr>
              <w:t>Totale aumentato come sopra</w:t>
            </w:r>
          </w:p>
        </w:tc>
        <w:tc>
          <w:tcPr>
            <w:tcW w:w="2280" w:type="dxa"/>
            <w:tcMar>
              <w:top w:w="100" w:type="dxa"/>
              <w:left w:w="100" w:type="dxa"/>
              <w:bottom w:w="100" w:type="dxa"/>
              <w:right w:w="100" w:type="dxa"/>
            </w:tcMar>
          </w:tcPr>
          <w:p w14:paraId="759D8508" w14:textId="77777777" w:rsidR="002076A2" w:rsidRDefault="00000000">
            <w:pPr>
              <w:widowControl w:val="0"/>
              <w:spacing w:line="240" w:lineRule="auto"/>
              <w:rPr>
                <w:rFonts w:ascii="EB Garamond" w:eastAsia="EB Garamond" w:hAnsi="EB Garamond" w:cs="EB Garamond"/>
                <w:b/>
                <w:bCs/>
                <w:sz w:val="20"/>
                <w:szCs w:val="20"/>
                <w:u w:val="single"/>
              </w:rPr>
            </w:pPr>
            <w:r>
              <w:rPr>
                <w:rFonts w:ascii="EB Garamond" w:eastAsia="EB Garamond" w:hAnsi="EB Garamond" w:cs="EB Garamond"/>
                <w:b/>
                <w:bCs/>
                <w:sz w:val="20"/>
                <w:szCs w:val="20"/>
                <w:u w:val="single"/>
              </w:rPr>
              <w:t>€ {{totale calcoli}}</w:t>
            </w:r>
          </w:p>
        </w:tc>
      </w:tr>
      <w:tr w:rsidR="002076A2" w14:paraId="6DD29EA3" w14:textId="77777777">
        <w:tc>
          <w:tcPr>
            <w:tcW w:w="4050" w:type="dxa"/>
            <w:shd w:val="clear" w:color="auto" w:fill="EFEFEF"/>
            <w:tcMar>
              <w:top w:w="100" w:type="dxa"/>
              <w:left w:w="100" w:type="dxa"/>
              <w:bottom w:w="100" w:type="dxa"/>
              <w:right w:w="100" w:type="dxa"/>
            </w:tcMar>
          </w:tcPr>
          <w:p w14:paraId="687C2592" w14:textId="77777777" w:rsidR="002076A2" w:rsidRDefault="00000000">
            <w:pPr>
              <w:widowControl w:val="0"/>
              <w:pBdr>
                <w:top w:val="nil"/>
                <w:left w:val="nil"/>
                <w:bottom w:val="nil"/>
                <w:right w:val="nil"/>
                <w:between w:val="nil"/>
              </w:pBdr>
              <w:spacing w:line="240" w:lineRule="auto"/>
              <w:rPr>
                <w:rFonts w:ascii="EB Garamond" w:eastAsia="EB Garamond" w:hAnsi="EB Garamond" w:cs="EB Garamond"/>
                <w:b/>
                <w:bCs/>
                <w:sz w:val="20"/>
                <w:szCs w:val="20"/>
              </w:rPr>
            </w:pPr>
            <w:r>
              <w:rPr>
                <w:rFonts w:ascii="EB Garamond" w:eastAsia="EB Garamond" w:hAnsi="EB Garamond" w:cs="EB Garamond"/>
                <w:b/>
                <w:bCs/>
                <w:sz w:val="20"/>
                <w:szCs w:val="20"/>
              </w:rPr>
              <w:t>Aumenti dovuti all’assistenza di più parti</w:t>
            </w:r>
          </w:p>
        </w:tc>
        <w:tc>
          <w:tcPr>
            <w:tcW w:w="2280" w:type="dxa"/>
            <w:tcMar>
              <w:top w:w="100" w:type="dxa"/>
              <w:left w:w="100" w:type="dxa"/>
              <w:bottom w:w="100" w:type="dxa"/>
              <w:right w:w="100" w:type="dxa"/>
            </w:tcMar>
          </w:tcPr>
          <w:p w14:paraId="7DBA4414" w14:textId="77777777" w:rsidR="002076A2" w:rsidRDefault="00000000">
            <w:pPr>
              <w:widowControl w:val="0"/>
              <w:spacing w:line="240" w:lineRule="auto"/>
              <w:rPr>
                <w:rFonts w:ascii="EB Garamond Medium" w:eastAsia="EB Garamond Medium" w:hAnsi="EB Garamond Medium" w:cs="EB Garamond Medium"/>
                <w:sz w:val="20"/>
                <w:szCs w:val="20"/>
              </w:rPr>
            </w:pPr>
            <w:r>
              <w:rPr>
                <w:rFonts w:ascii="EB Garamond Medium" w:eastAsia="EB Garamond Medium" w:hAnsi="EB Garamond Medium" w:cs="EB Garamond Medium"/>
                <w:sz w:val="20"/>
                <w:szCs w:val="20"/>
              </w:rPr>
              <w:t>€ {{Aumenti assistiti}}</w:t>
            </w:r>
          </w:p>
        </w:tc>
      </w:tr>
      <w:tr w:rsidR="008E4D72" w14:paraId="1C29C8F9" w14:textId="77777777">
        <w:tc>
          <w:tcPr>
            <w:tcW w:w="4050" w:type="dxa"/>
            <w:shd w:val="clear" w:color="auto" w:fill="EFEFEF"/>
            <w:tcMar>
              <w:top w:w="100" w:type="dxa"/>
              <w:left w:w="100" w:type="dxa"/>
              <w:bottom w:w="100" w:type="dxa"/>
              <w:right w:w="100" w:type="dxa"/>
            </w:tcMar>
          </w:tcPr>
          <w:p w14:paraId="0AACB926" w14:textId="34FC39E3" w:rsidR="008E4D72" w:rsidRDefault="008E4D72">
            <w:pPr>
              <w:widowControl w:val="0"/>
              <w:pBdr>
                <w:top w:val="nil"/>
                <w:left w:val="nil"/>
                <w:bottom w:val="nil"/>
                <w:right w:val="nil"/>
                <w:between w:val="nil"/>
              </w:pBdr>
              <w:spacing w:line="240" w:lineRule="auto"/>
              <w:rPr>
                <w:rFonts w:ascii="EB Garamond" w:eastAsia="EB Garamond" w:hAnsi="EB Garamond" w:cs="EB Garamond"/>
                <w:b/>
                <w:bCs/>
                <w:sz w:val="20"/>
                <w:szCs w:val="20"/>
              </w:rPr>
            </w:pPr>
            <w:r>
              <w:rPr>
                <w:rFonts w:ascii="EB Garamond" w:eastAsia="EB Garamond" w:hAnsi="EB Garamond" w:cs="EB Garamond"/>
                <w:b/>
                <w:bCs/>
                <w:sz w:val="20"/>
                <w:szCs w:val="20"/>
              </w:rPr>
              <w:t>Aumenti per la fase sub-cautelare</w:t>
            </w:r>
          </w:p>
        </w:tc>
        <w:tc>
          <w:tcPr>
            <w:tcW w:w="2280" w:type="dxa"/>
            <w:tcMar>
              <w:top w:w="100" w:type="dxa"/>
              <w:left w:w="100" w:type="dxa"/>
              <w:bottom w:w="100" w:type="dxa"/>
              <w:right w:w="100" w:type="dxa"/>
            </w:tcMar>
          </w:tcPr>
          <w:p w14:paraId="1F47AFA3" w14:textId="616C191E" w:rsidR="008E4D72" w:rsidRDefault="008E4D72">
            <w:pPr>
              <w:widowControl w:val="0"/>
              <w:spacing w:line="240" w:lineRule="auto"/>
              <w:rPr>
                <w:rFonts w:ascii="EB Garamond Medium" w:eastAsia="EB Garamond Medium" w:hAnsi="EB Garamond Medium" w:cs="EB Garamond Medium"/>
                <w:sz w:val="20"/>
                <w:szCs w:val="20"/>
              </w:rPr>
            </w:pPr>
            <w:r>
              <w:rPr>
                <w:rFonts w:ascii="EB Garamond Medium" w:eastAsia="EB Garamond Medium" w:hAnsi="EB Garamond Medium" w:cs="EB Garamond Medium"/>
                <w:sz w:val="20"/>
                <w:szCs w:val="20"/>
              </w:rPr>
              <w:t>€ {{aumenti cautelare}}</w:t>
            </w:r>
          </w:p>
        </w:tc>
      </w:tr>
      <w:tr w:rsidR="002076A2" w14:paraId="7CD2AE55" w14:textId="77777777">
        <w:tc>
          <w:tcPr>
            <w:tcW w:w="4050" w:type="dxa"/>
            <w:shd w:val="clear" w:color="auto" w:fill="CCCCCC"/>
            <w:tcMar>
              <w:top w:w="100" w:type="dxa"/>
              <w:left w:w="100" w:type="dxa"/>
              <w:bottom w:w="100" w:type="dxa"/>
              <w:right w:w="100" w:type="dxa"/>
            </w:tcMar>
          </w:tcPr>
          <w:p w14:paraId="441CB84B" w14:textId="77777777" w:rsidR="002076A2" w:rsidRDefault="00000000">
            <w:pPr>
              <w:widowControl w:val="0"/>
              <w:pBdr>
                <w:top w:val="nil"/>
                <w:left w:val="nil"/>
                <w:bottom w:val="nil"/>
                <w:right w:val="nil"/>
                <w:between w:val="nil"/>
              </w:pBdr>
              <w:spacing w:line="240" w:lineRule="auto"/>
              <w:jc w:val="right"/>
              <w:rPr>
                <w:rFonts w:ascii="EB Garamond" w:eastAsia="EB Garamond" w:hAnsi="EB Garamond" w:cs="EB Garamond"/>
                <w:b/>
                <w:bCs/>
                <w:sz w:val="20"/>
                <w:szCs w:val="20"/>
                <w:u w:val="single"/>
              </w:rPr>
            </w:pPr>
            <w:r>
              <w:rPr>
                <w:rFonts w:ascii="EB Garamond" w:eastAsia="EB Garamond" w:hAnsi="EB Garamond" w:cs="EB Garamond"/>
                <w:b/>
                <w:bCs/>
                <w:sz w:val="20"/>
                <w:szCs w:val="20"/>
                <w:u w:val="single"/>
              </w:rPr>
              <w:t>Totale definitivo</w:t>
            </w:r>
          </w:p>
        </w:tc>
        <w:tc>
          <w:tcPr>
            <w:tcW w:w="2280" w:type="dxa"/>
            <w:shd w:val="clear" w:color="auto" w:fill="CCCCCC"/>
            <w:tcMar>
              <w:top w:w="100" w:type="dxa"/>
              <w:left w:w="100" w:type="dxa"/>
              <w:bottom w:w="100" w:type="dxa"/>
              <w:right w:w="100" w:type="dxa"/>
            </w:tcMar>
          </w:tcPr>
          <w:p w14:paraId="1CD6F070" w14:textId="277BB69F" w:rsidR="002076A2" w:rsidRDefault="008E4D72">
            <w:pPr>
              <w:widowControl w:val="0"/>
              <w:pBdr>
                <w:top w:val="nil"/>
                <w:left w:val="nil"/>
                <w:bottom w:val="nil"/>
                <w:right w:val="nil"/>
                <w:between w:val="nil"/>
              </w:pBdr>
              <w:spacing w:line="240" w:lineRule="auto"/>
              <w:rPr>
                <w:rFonts w:ascii="EB Garamond" w:eastAsia="EB Garamond" w:hAnsi="EB Garamond" w:cs="EB Garamond"/>
                <w:b/>
                <w:bCs/>
                <w:sz w:val="20"/>
                <w:szCs w:val="20"/>
                <w:u w:val="single"/>
              </w:rPr>
            </w:pPr>
            <w:r>
              <w:rPr>
                <w:rFonts w:ascii="EB Garamond" w:eastAsia="EB Garamond" w:hAnsi="EB Garamond" w:cs="EB Garamond"/>
                <w:b/>
                <w:bCs/>
                <w:sz w:val="20"/>
                <w:szCs w:val="20"/>
                <w:u w:val="single"/>
              </w:rPr>
              <w:t xml:space="preserve">€ </w:t>
            </w:r>
            <w:r w:rsidR="00000000">
              <w:rPr>
                <w:rFonts w:ascii="EB Garamond" w:eastAsia="EB Garamond" w:hAnsi="EB Garamond" w:cs="EB Garamond"/>
                <w:b/>
                <w:bCs/>
                <w:sz w:val="20"/>
                <w:szCs w:val="20"/>
                <w:u w:val="single"/>
              </w:rPr>
              <w:t>{{totale finale}}</w:t>
            </w:r>
          </w:p>
        </w:tc>
      </w:tr>
    </w:tbl>
    <w:p w14:paraId="23A8BAC2" w14:textId="77777777" w:rsidR="002076A2" w:rsidRDefault="002076A2">
      <w:pPr>
        <w:tabs>
          <w:tab w:val="left" w:pos="4650"/>
          <w:tab w:val="right" w:pos="10469"/>
        </w:tabs>
        <w:spacing w:line="240" w:lineRule="auto"/>
        <w:jc w:val="both"/>
        <w:rPr>
          <w:rFonts w:ascii="EB Garamond Medium" w:eastAsia="EB Garamond Medium" w:hAnsi="EB Garamond Medium" w:cs="EB Garamond Medium"/>
        </w:rPr>
      </w:pPr>
    </w:p>
    <w:p w14:paraId="1B115E2D" w14:textId="77777777" w:rsidR="002076A2" w:rsidRDefault="00000000">
      <w:pPr>
        <w:spacing w:line="240" w:lineRule="auto"/>
        <w:ind w:left="360"/>
        <w:jc w:val="center"/>
        <w:rPr>
          <w:rFonts w:ascii="EB Garamond" w:eastAsia="EB Garamond" w:hAnsi="EB Garamond" w:cs="EB Garamond"/>
          <w:b/>
          <w:bCs/>
          <w:sz w:val="26"/>
          <w:szCs w:val="26"/>
          <w:u w:val="single"/>
        </w:rPr>
      </w:pPr>
      <w:r>
        <w:rPr>
          <w:rFonts w:ascii="EB Garamond" w:eastAsia="EB Garamond" w:hAnsi="EB Garamond" w:cs="EB Garamond"/>
          <w:b/>
          <w:bCs/>
          <w:sz w:val="26"/>
          <w:szCs w:val="26"/>
          <w:u w:val="single"/>
        </w:rPr>
        <w:t>P.Q.M.</w:t>
      </w:r>
    </w:p>
    <w:p w14:paraId="04569295" w14:textId="77777777" w:rsidR="002076A2" w:rsidRDefault="002076A2">
      <w:pPr>
        <w:spacing w:line="240" w:lineRule="auto"/>
        <w:ind w:left="360"/>
        <w:jc w:val="center"/>
        <w:rPr>
          <w:rFonts w:ascii="EB Garamond" w:eastAsia="EB Garamond" w:hAnsi="EB Garamond" w:cs="EB Garamond"/>
          <w:b/>
          <w:bCs/>
          <w:u w:val="single"/>
        </w:rPr>
      </w:pPr>
    </w:p>
    <w:p w14:paraId="08421461" w14:textId="7A50157F" w:rsidR="002076A2" w:rsidRDefault="00000000">
      <w:pPr>
        <w:spacing w:line="240" w:lineRule="auto"/>
        <w:jc w:val="both"/>
        <w:rPr>
          <w:rFonts w:ascii="EB Garamond" w:eastAsia="EB Garamond" w:hAnsi="EB Garamond" w:cs="EB Garamond"/>
          <w:b/>
          <w:bCs/>
        </w:rPr>
      </w:pPr>
      <w:r>
        <w:rPr>
          <w:rFonts w:ascii="EB Garamond" w:eastAsia="EB Garamond" w:hAnsi="EB Garamond" w:cs="EB Garamond"/>
          <w:b/>
          <w:bCs/>
        </w:rPr>
        <w:t xml:space="preserve">liquida, in favore dall’{{avvocato}}, in qualità di difensore d’ufficio di {{assistito}}, imputato nel procedimento indicato in epigrafe, la somma complessiva di </w:t>
      </w:r>
      <w:r w:rsidR="008E4D72">
        <w:rPr>
          <w:rFonts w:ascii="EB Garamond" w:eastAsia="EB Garamond" w:hAnsi="EB Garamond" w:cs="EB Garamond"/>
          <w:b/>
          <w:bCs/>
          <w:color w:val="FF0000"/>
        </w:rPr>
        <w:t>€</w:t>
      </w:r>
      <w:r>
        <w:rPr>
          <w:rFonts w:ascii="EB Garamond" w:eastAsia="EB Garamond" w:hAnsi="EB Garamond" w:cs="EB Garamond"/>
          <w:b/>
          <w:bCs/>
          <w:color w:val="FF0000"/>
        </w:rPr>
        <w:t xml:space="preserve"> {{totale finale}}</w:t>
      </w:r>
      <w:r>
        <w:rPr>
          <w:rFonts w:ascii="EB Garamond" w:eastAsia="EB Garamond" w:hAnsi="EB Garamond" w:cs="EB Garamond"/>
          <w:b/>
          <w:bCs/>
        </w:rPr>
        <w:t xml:space="preserve">, oltre al 4% per contributo previdenziale forense, da calcolarsi sull’importo totale appena indicato, ed al 22% per I.V.A., da calcolarsi sul totale degli onorari, delle spese e del contributo previdenziale. </w:t>
      </w:r>
    </w:p>
    <w:p w14:paraId="6A149431" w14:textId="77777777" w:rsidR="002076A2" w:rsidRDefault="00000000">
      <w:pPr>
        <w:numPr>
          <w:ilvl w:val="0"/>
          <w:numId w:val="4"/>
        </w:numPr>
        <w:spacing w:line="240" w:lineRule="auto"/>
        <w:jc w:val="both"/>
        <w:rPr>
          <w:rFonts w:ascii="EB Garamond Medium" w:eastAsia="EB Garamond Medium" w:hAnsi="EB Garamond Medium" w:cs="EB Garamond Medium"/>
        </w:rPr>
      </w:pPr>
      <w:r>
        <w:rPr>
          <w:rFonts w:ascii="EB Garamond Medium" w:eastAsia="EB Garamond Medium" w:hAnsi="EB Garamond Medium" w:cs="EB Garamond Medium"/>
        </w:rPr>
        <w:t>Pone la detta somma provvisoriamente a carico dello Stato, salvo recupero, e delega la Cancelleria all’emissione del relativo mandato.</w:t>
      </w:r>
    </w:p>
    <w:p w14:paraId="32861C87" w14:textId="77777777" w:rsidR="002076A2" w:rsidRDefault="00000000">
      <w:pPr>
        <w:numPr>
          <w:ilvl w:val="0"/>
          <w:numId w:val="4"/>
        </w:numPr>
        <w:spacing w:line="240" w:lineRule="auto"/>
        <w:jc w:val="both"/>
        <w:rPr>
          <w:rFonts w:ascii="EB Garamond Medium" w:eastAsia="EB Garamond Medium" w:hAnsi="EB Garamond Medium" w:cs="EB Garamond Medium"/>
        </w:rPr>
      </w:pPr>
      <w:r>
        <w:rPr>
          <w:rFonts w:ascii="EB Garamond Medium" w:eastAsia="EB Garamond Medium" w:hAnsi="EB Garamond Medium" w:cs="EB Garamond Medium"/>
        </w:rPr>
        <w:t>Manda alla Cancelleria per gli adempimenti di rito.</w:t>
      </w:r>
    </w:p>
    <w:p w14:paraId="5E014321" w14:textId="77777777" w:rsidR="002076A2" w:rsidRDefault="002076A2">
      <w:pPr>
        <w:spacing w:line="240" w:lineRule="auto"/>
        <w:ind w:left="360"/>
        <w:jc w:val="both"/>
        <w:rPr>
          <w:rFonts w:ascii="EB Garamond Medium" w:eastAsia="EB Garamond Medium" w:hAnsi="EB Garamond Medium" w:cs="EB Garamond Medium"/>
        </w:rPr>
      </w:pPr>
    </w:p>
    <w:p w14:paraId="71792BE4" w14:textId="77777777" w:rsidR="002076A2" w:rsidRDefault="00000000">
      <w:pPr>
        <w:spacing w:line="240" w:lineRule="auto"/>
        <w:jc w:val="both"/>
        <w:rPr>
          <w:rFonts w:ascii="EB Garamond Medium" w:eastAsia="EB Garamond Medium" w:hAnsi="EB Garamond Medium" w:cs="EB Garamond Medium"/>
          <w:sz w:val="20"/>
          <w:szCs w:val="20"/>
        </w:rPr>
      </w:pPr>
      <w:r>
        <w:rPr>
          <w:rFonts w:ascii="EB Garamond Medium" w:eastAsia="EB Garamond Medium" w:hAnsi="EB Garamond Medium" w:cs="EB Garamond Medium"/>
          <w:sz w:val="20"/>
          <w:szCs w:val="20"/>
        </w:rPr>
        <w:t>Le parti sono espressamente avvisate che avverso il presente decreto è possibile proporre opposizione al Presidente del Tribunale (</w:t>
      </w:r>
      <w:r>
        <w:rPr>
          <w:rFonts w:ascii="EB Garamond Medium" w:eastAsia="EB Garamond Medium" w:hAnsi="EB Garamond Medium" w:cs="EB Garamond Medium"/>
          <w:i/>
          <w:iCs/>
          <w:sz w:val="20"/>
          <w:szCs w:val="20"/>
        </w:rPr>
        <w:t xml:space="preserve">ex </w:t>
      </w:r>
      <w:r>
        <w:rPr>
          <w:rFonts w:ascii="EB Garamond Medium" w:eastAsia="EB Garamond Medium" w:hAnsi="EB Garamond Medium" w:cs="EB Garamond Medium"/>
          <w:sz w:val="20"/>
          <w:szCs w:val="20"/>
        </w:rPr>
        <w:t>artt. 84 e 170 d.P.R. n. 115/2002; art. 15, D.lgs. n. 150/2011), entro 30 giorni decorrenti dalla data odierna (in caso di decreto letto in udienza) o dalla data della notifica.</w:t>
      </w:r>
    </w:p>
    <w:p w14:paraId="5095C10A" w14:textId="77777777" w:rsidR="002076A2" w:rsidRDefault="002076A2">
      <w:pPr>
        <w:spacing w:line="240" w:lineRule="auto"/>
        <w:jc w:val="both"/>
        <w:rPr>
          <w:rFonts w:ascii="EB Garamond Medium" w:eastAsia="EB Garamond Medium" w:hAnsi="EB Garamond Medium" w:cs="EB Garamond Medium"/>
        </w:rPr>
      </w:pPr>
    </w:p>
    <w:p w14:paraId="1C1B762D" w14:textId="77777777" w:rsidR="002076A2" w:rsidRDefault="002076A2">
      <w:pPr>
        <w:spacing w:line="240" w:lineRule="auto"/>
        <w:jc w:val="both"/>
        <w:rPr>
          <w:rFonts w:ascii="EB Garamond Medium" w:eastAsia="EB Garamond Medium" w:hAnsi="EB Garamond Medium" w:cs="EB Garamond Medium"/>
        </w:rPr>
      </w:pPr>
    </w:p>
    <w:p w14:paraId="64915225" w14:textId="16E99819" w:rsidR="002076A2" w:rsidRDefault="00000000">
      <w:pPr>
        <w:spacing w:line="240" w:lineRule="auto"/>
        <w:ind w:left="360"/>
        <w:jc w:val="both"/>
        <w:rPr>
          <w:rFonts w:ascii="EB Garamond Medium" w:eastAsia="EB Garamond Medium" w:hAnsi="EB Garamond Medium" w:cs="EB Garamond Medium"/>
        </w:rPr>
      </w:pPr>
      <w:r>
        <w:rPr>
          <w:rFonts w:ascii="EB Garamond Medium" w:eastAsia="EB Garamond Medium" w:hAnsi="EB Garamond Medium" w:cs="EB Garamond Medium"/>
        </w:rPr>
        <w:t xml:space="preserve">Brindisi, </w:t>
      </w:r>
      <w:r w:rsidR="008E4D72">
        <w:rPr>
          <w:rFonts w:ascii="EB Garamond Medium" w:eastAsia="EB Garamond Medium" w:hAnsi="EB Garamond Medium" w:cs="EB Garamond Medium"/>
        </w:rPr>
        <w:t>{{data oggi}}</w:t>
      </w:r>
    </w:p>
    <w:p w14:paraId="36093F51" w14:textId="77777777" w:rsidR="002076A2" w:rsidRDefault="002076A2">
      <w:pPr>
        <w:spacing w:line="240" w:lineRule="auto"/>
        <w:ind w:left="360"/>
        <w:jc w:val="both"/>
        <w:rPr>
          <w:rFonts w:ascii="EB Garamond Medium" w:eastAsia="EB Garamond Medium" w:hAnsi="EB Garamond Medium" w:cs="EB Garamond Medium"/>
        </w:rPr>
      </w:pPr>
    </w:p>
    <w:p w14:paraId="1BCED328" w14:textId="77777777" w:rsidR="002076A2" w:rsidRDefault="00000000">
      <w:pPr>
        <w:spacing w:line="240" w:lineRule="auto"/>
        <w:jc w:val="right"/>
        <w:rPr>
          <w:rFonts w:ascii="EB Garamond" w:eastAsia="EB Garamond" w:hAnsi="EB Garamond" w:cs="EB Garamond"/>
          <w:b/>
          <w:bCs/>
        </w:rPr>
      </w:pPr>
      <w:r>
        <w:rPr>
          <w:rFonts w:ascii="EB Garamond Medium" w:eastAsia="EB Garamond Medium" w:hAnsi="EB Garamond Medium" w:cs="EB Garamond Medium"/>
        </w:rPr>
        <w:t xml:space="preserve">                                                                                             </w:t>
      </w:r>
      <w:r>
        <w:rPr>
          <w:rFonts w:ascii="EB Garamond" w:eastAsia="EB Garamond" w:hAnsi="EB Garamond" w:cs="EB Garamond"/>
          <w:b/>
          <w:bCs/>
        </w:rPr>
        <w:t xml:space="preserve"> Il Giudice</w:t>
      </w:r>
    </w:p>
    <w:p w14:paraId="68875901" w14:textId="77777777" w:rsidR="002076A2" w:rsidRDefault="00000000">
      <w:pPr>
        <w:spacing w:line="240" w:lineRule="auto"/>
        <w:jc w:val="right"/>
        <w:rPr>
          <w:rFonts w:ascii="EB Garamond" w:eastAsia="EB Garamond" w:hAnsi="EB Garamond" w:cs="EB Garamond"/>
          <w:b/>
          <w:bCs/>
        </w:rPr>
      </w:pPr>
      <w:r>
        <w:rPr>
          <w:rFonts w:ascii="EB Garamond" w:eastAsia="EB Garamond" w:hAnsi="EB Garamond" w:cs="EB Garamond"/>
          <w:b/>
          <w:bCs/>
        </w:rPr>
        <w:t xml:space="preserve">                                                                                                                                  </w:t>
      </w:r>
      <w:r>
        <w:rPr>
          <w:rFonts w:ascii="EB Garamond" w:eastAsia="EB Garamond" w:hAnsi="EB Garamond" w:cs="EB Garamond"/>
          <w:b/>
          <w:bCs/>
          <w:i/>
          <w:iCs/>
        </w:rPr>
        <w:t>{{giudice}}</w:t>
      </w:r>
    </w:p>
    <w:p w14:paraId="2B6E7366" w14:textId="77777777" w:rsidR="002076A2" w:rsidRDefault="002076A2">
      <w:pPr>
        <w:spacing w:line="240" w:lineRule="auto"/>
        <w:rPr>
          <w:rFonts w:ascii="EB Garamond Medium" w:eastAsia="EB Garamond Medium" w:hAnsi="EB Garamond Medium" w:cs="EB Garamond Medium"/>
        </w:rPr>
      </w:pPr>
    </w:p>
    <w:p w14:paraId="474DE972" w14:textId="77777777" w:rsidR="002076A2" w:rsidRDefault="002076A2">
      <w:pPr>
        <w:spacing w:line="240" w:lineRule="auto"/>
        <w:rPr>
          <w:rFonts w:ascii="EB Garamond" w:eastAsia="EB Garamond" w:hAnsi="EB Garamond" w:cs="EB Garamond"/>
          <w:b/>
          <w:bCs/>
          <w:shd w:val="clear" w:color="auto" w:fill="D9D9D9"/>
        </w:rPr>
      </w:pPr>
    </w:p>
    <w:sectPr w:rsidR="002076A2">
      <w:pgSz w:w="12240" w:h="15840"/>
      <w:pgMar w:top="1133" w:right="1133" w:bottom="1133" w:left="1133"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EB Garamond">
    <w:charset w:val="00"/>
    <w:family w:val="auto"/>
    <w:pitch w:val="variable"/>
    <w:sig w:usb0="E00002FF" w:usb1="02000413" w:usb2="00000000" w:usb3="00000000" w:csb0="0000019F" w:csb1="00000000"/>
    <w:embedBold r:id="rId1" w:fontKey="{14CD3A7F-1F4F-48BD-9E99-99A299D197D0}"/>
    <w:embedBoldItalic r:id="rId2" w:fontKey="{C6E33128-46F4-46FB-925A-161C0EB99486}"/>
  </w:font>
  <w:font w:name="EB Garamond Medium">
    <w:charset w:val="00"/>
    <w:family w:val="auto"/>
    <w:pitch w:val="variable"/>
    <w:sig w:usb0="E00002FF" w:usb1="02000413" w:usb2="00000000" w:usb3="00000000" w:csb0="0000019F" w:csb1="00000000"/>
    <w:embedRegular r:id="rId3" w:fontKey="{45201E37-E17A-49E0-B1F4-DE31EF032CD9}"/>
    <w:embedBold r:id="rId4" w:fontKey="{FC1FC205-290B-4A85-B5DA-5498D647503D}"/>
    <w:embedItalic r:id="rId5" w:fontKey="{75627270-EC6F-4B3C-A9AD-255993721B10}"/>
  </w:font>
  <w:font w:name="Montserrat">
    <w:charset w:val="00"/>
    <w:family w:val="auto"/>
    <w:pitch w:val="variable"/>
    <w:sig w:usb0="2000020F" w:usb1="00000003" w:usb2="00000000" w:usb3="00000000" w:csb0="00000197" w:csb1="00000000"/>
    <w:embedBold r:id="rId6" w:fontKey="{C8830528-7FB5-454F-918B-5FA677DDCDAC}"/>
  </w:font>
  <w:font w:name="Garamond">
    <w:panose1 w:val="02020404030301010803"/>
    <w:charset w:val="00"/>
    <w:family w:val="roman"/>
    <w:pitch w:val="variable"/>
    <w:sig w:usb0="00000287" w:usb1="00000000" w:usb2="00000000" w:usb3="00000000" w:csb0="0000009F" w:csb1="00000000"/>
    <w:embedRegular r:id="rId7" w:fontKey="{C8DD5ABC-9EB5-4932-A46F-04BA0E0FF60A}"/>
  </w:font>
  <w:font w:name="Calibri">
    <w:panose1 w:val="020F0502020204030204"/>
    <w:charset w:val="00"/>
    <w:family w:val="swiss"/>
    <w:pitch w:val="variable"/>
    <w:sig w:usb0="E4002EFF" w:usb1="C200247B" w:usb2="00000009" w:usb3="00000000" w:csb0="000001FF" w:csb1="00000000"/>
    <w:embedRegular r:id="rId8" w:fontKey="{F2677E25-E80F-43F8-9031-A6645544A98C}"/>
  </w:font>
  <w:font w:name="Cambria">
    <w:panose1 w:val="02040503050406030204"/>
    <w:charset w:val="00"/>
    <w:family w:val="roman"/>
    <w:pitch w:val="variable"/>
    <w:sig w:usb0="E00006FF" w:usb1="420024FF" w:usb2="02000000" w:usb3="00000000" w:csb0="0000019F" w:csb1="00000000"/>
    <w:embedRegular r:id="rId9" w:fontKey="{C69156D0-9F97-4E0C-BC51-583CA16BFB9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6B67E1"/>
    <w:multiLevelType w:val="multilevel"/>
    <w:tmpl w:val="03F41912"/>
    <w:lvl w:ilvl="0">
      <w:start w:val="1"/>
      <w:numFmt w:val="bullet"/>
      <w:lvlText w:val="▪"/>
      <w:lvlJc w:val="left"/>
      <w:pPr>
        <w:ind w:left="720" w:hanging="360"/>
      </w:pPr>
      <w:rPr>
        <w:u w:val="none"/>
      </w:rPr>
    </w:lvl>
    <w:lvl w:ilvl="1">
      <w:start w:val="1"/>
      <w:numFmt w:val="decimal"/>
      <w:lvlText w:val="%2)"/>
      <w:lvlJc w:val="left"/>
      <w:pPr>
        <w:ind w:left="1776"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500A61A3"/>
    <w:multiLevelType w:val="multilevel"/>
    <w:tmpl w:val="F9D4D9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5B8F5833"/>
    <w:multiLevelType w:val="multilevel"/>
    <w:tmpl w:val="BD527554"/>
    <w:lvl w:ilvl="0">
      <w:start w:val="1"/>
      <w:numFmt w:val="decimal"/>
      <w:lvlText w:val="%1)"/>
      <w:lvlJc w:val="left"/>
      <w:pPr>
        <w:ind w:left="1776" w:hanging="360"/>
      </w:pPr>
      <w:rPr>
        <w:u w:val="none"/>
      </w:rPr>
    </w:lvl>
    <w:lvl w:ilvl="1">
      <w:start w:val="1"/>
      <w:numFmt w:val="lowerLetter"/>
      <w:lvlText w:val="%2."/>
      <w:lvlJc w:val="left"/>
      <w:pPr>
        <w:ind w:left="2496" w:hanging="360"/>
      </w:pPr>
      <w:rPr>
        <w:u w:val="none"/>
      </w:rPr>
    </w:lvl>
    <w:lvl w:ilvl="2">
      <w:start w:val="1"/>
      <w:numFmt w:val="lowerRoman"/>
      <w:lvlText w:val="%3."/>
      <w:lvlJc w:val="right"/>
      <w:pPr>
        <w:ind w:left="3216" w:hanging="180"/>
      </w:pPr>
      <w:rPr>
        <w:u w:val="none"/>
      </w:rPr>
    </w:lvl>
    <w:lvl w:ilvl="3">
      <w:start w:val="1"/>
      <w:numFmt w:val="decimal"/>
      <w:lvlText w:val="%4."/>
      <w:lvlJc w:val="left"/>
      <w:pPr>
        <w:ind w:left="3936" w:hanging="360"/>
      </w:pPr>
      <w:rPr>
        <w:u w:val="none"/>
      </w:rPr>
    </w:lvl>
    <w:lvl w:ilvl="4">
      <w:start w:val="1"/>
      <w:numFmt w:val="lowerLetter"/>
      <w:lvlText w:val="%5."/>
      <w:lvlJc w:val="left"/>
      <w:pPr>
        <w:ind w:left="4656" w:hanging="360"/>
      </w:pPr>
      <w:rPr>
        <w:u w:val="none"/>
      </w:rPr>
    </w:lvl>
    <w:lvl w:ilvl="5">
      <w:start w:val="1"/>
      <w:numFmt w:val="lowerRoman"/>
      <w:lvlText w:val="%6."/>
      <w:lvlJc w:val="right"/>
      <w:pPr>
        <w:ind w:left="5376" w:hanging="180"/>
      </w:pPr>
      <w:rPr>
        <w:u w:val="none"/>
      </w:rPr>
    </w:lvl>
    <w:lvl w:ilvl="6">
      <w:start w:val="1"/>
      <w:numFmt w:val="decimal"/>
      <w:lvlText w:val="%7."/>
      <w:lvlJc w:val="left"/>
      <w:pPr>
        <w:ind w:left="6096" w:hanging="360"/>
      </w:pPr>
      <w:rPr>
        <w:u w:val="none"/>
      </w:rPr>
    </w:lvl>
    <w:lvl w:ilvl="7">
      <w:start w:val="1"/>
      <w:numFmt w:val="lowerLetter"/>
      <w:lvlText w:val="%8."/>
      <w:lvlJc w:val="left"/>
      <w:pPr>
        <w:ind w:left="6816" w:hanging="360"/>
      </w:pPr>
      <w:rPr>
        <w:u w:val="none"/>
      </w:rPr>
    </w:lvl>
    <w:lvl w:ilvl="8">
      <w:start w:val="1"/>
      <w:numFmt w:val="lowerRoman"/>
      <w:lvlText w:val="%9."/>
      <w:lvlJc w:val="right"/>
      <w:pPr>
        <w:ind w:left="7536" w:hanging="180"/>
      </w:pPr>
      <w:rPr>
        <w:u w:val="none"/>
      </w:rPr>
    </w:lvl>
  </w:abstractNum>
  <w:abstractNum w:abstractNumId="3" w15:restartNumberingAfterBreak="0">
    <w:nsid w:val="68AC49A0"/>
    <w:multiLevelType w:val="multilevel"/>
    <w:tmpl w:val="8B34CB5C"/>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7B4B4EF7"/>
    <w:multiLevelType w:val="multilevel"/>
    <w:tmpl w:val="24726F0C"/>
    <w:lvl w:ilvl="0">
      <w:start w:val="1"/>
      <w:numFmt w:val="bullet"/>
      <w:lvlText w:val="▪"/>
      <w:lvlJc w:val="left"/>
      <w:pPr>
        <w:ind w:left="36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B751528"/>
    <w:multiLevelType w:val="multilevel"/>
    <w:tmpl w:val="9E3A8458"/>
    <w:lvl w:ilvl="0">
      <w:start w:val="1"/>
      <w:numFmt w:val="decimal"/>
      <w:lvlText w:val="%1)"/>
      <w:lvlJc w:val="left"/>
      <w:pPr>
        <w:ind w:left="1056" w:hanging="360"/>
      </w:pPr>
      <w:rPr>
        <w:u w:val="none"/>
      </w:rPr>
    </w:lvl>
    <w:lvl w:ilvl="1">
      <w:start w:val="1"/>
      <w:numFmt w:val="decimal"/>
      <w:lvlText w:val="%2)"/>
      <w:lvlJc w:val="left"/>
      <w:pPr>
        <w:ind w:left="2112" w:hanging="360"/>
      </w:pPr>
      <w:rPr>
        <w:u w:val="none"/>
      </w:rPr>
    </w:lvl>
    <w:lvl w:ilvl="2">
      <w:start w:val="1"/>
      <w:numFmt w:val="bullet"/>
      <w:lvlText w:val="▪"/>
      <w:lvlJc w:val="left"/>
      <w:pPr>
        <w:ind w:left="2496" w:hanging="360"/>
      </w:pPr>
      <w:rPr>
        <w:u w:val="none"/>
      </w:rPr>
    </w:lvl>
    <w:lvl w:ilvl="3">
      <w:start w:val="1"/>
      <w:numFmt w:val="bullet"/>
      <w:lvlText w:val="●"/>
      <w:lvlJc w:val="left"/>
      <w:pPr>
        <w:ind w:left="3216" w:hanging="360"/>
      </w:pPr>
      <w:rPr>
        <w:u w:val="none"/>
      </w:rPr>
    </w:lvl>
    <w:lvl w:ilvl="4">
      <w:start w:val="1"/>
      <w:numFmt w:val="bullet"/>
      <w:lvlText w:val="o"/>
      <w:lvlJc w:val="left"/>
      <w:pPr>
        <w:ind w:left="3936" w:hanging="360"/>
      </w:pPr>
      <w:rPr>
        <w:u w:val="none"/>
      </w:rPr>
    </w:lvl>
    <w:lvl w:ilvl="5">
      <w:start w:val="1"/>
      <w:numFmt w:val="bullet"/>
      <w:lvlText w:val="▪"/>
      <w:lvlJc w:val="left"/>
      <w:pPr>
        <w:ind w:left="4656" w:hanging="360"/>
      </w:pPr>
      <w:rPr>
        <w:u w:val="none"/>
      </w:rPr>
    </w:lvl>
    <w:lvl w:ilvl="6">
      <w:start w:val="1"/>
      <w:numFmt w:val="bullet"/>
      <w:lvlText w:val="●"/>
      <w:lvlJc w:val="left"/>
      <w:pPr>
        <w:ind w:left="5376" w:hanging="360"/>
      </w:pPr>
      <w:rPr>
        <w:u w:val="none"/>
      </w:rPr>
    </w:lvl>
    <w:lvl w:ilvl="7">
      <w:start w:val="1"/>
      <w:numFmt w:val="bullet"/>
      <w:lvlText w:val="o"/>
      <w:lvlJc w:val="left"/>
      <w:pPr>
        <w:ind w:left="6096" w:hanging="360"/>
      </w:pPr>
      <w:rPr>
        <w:u w:val="none"/>
      </w:rPr>
    </w:lvl>
    <w:lvl w:ilvl="8">
      <w:start w:val="1"/>
      <w:numFmt w:val="bullet"/>
      <w:lvlText w:val="▪"/>
      <w:lvlJc w:val="left"/>
      <w:pPr>
        <w:ind w:left="6816" w:hanging="360"/>
      </w:pPr>
      <w:rPr>
        <w:u w:val="none"/>
      </w:rPr>
    </w:lvl>
  </w:abstractNum>
  <w:num w:numId="1" w16cid:durableId="1371875596">
    <w:abstractNumId w:val="4"/>
  </w:num>
  <w:num w:numId="2" w16cid:durableId="1837769981">
    <w:abstractNumId w:val="3"/>
  </w:num>
  <w:num w:numId="3" w16cid:durableId="1249534121">
    <w:abstractNumId w:val="0"/>
  </w:num>
  <w:num w:numId="4" w16cid:durableId="1916938953">
    <w:abstractNumId w:val="1"/>
  </w:num>
  <w:num w:numId="5" w16cid:durableId="1576823053">
    <w:abstractNumId w:val="5"/>
  </w:num>
  <w:num w:numId="6" w16cid:durableId="139300003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spelling="clean" w:grammar="clean"/>
  <w:defaultTabStop w:val="720"/>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76A2"/>
    <w:rsid w:val="002076A2"/>
    <w:rsid w:val="00771E24"/>
    <w:rsid w:val="008E4D72"/>
    <w:rsid w:val="00EF29C4"/>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F56EAF"/>
  <w15:docId w15:val="{B49F6B58-4E05-4CE6-A2BA-B4B363B542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it" w:eastAsia="it-IT"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uiPriority w:val="9"/>
    <w:qFormat/>
    <w:pPr>
      <w:keepNext/>
      <w:keepLines/>
      <w:spacing w:before="400" w:after="120"/>
      <w:outlineLvl w:val="0"/>
    </w:pPr>
    <w:rPr>
      <w:sz w:val="40"/>
      <w:szCs w:val="40"/>
    </w:rPr>
  </w:style>
  <w:style w:type="paragraph" w:styleId="Titolo2">
    <w:name w:val="heading 2"/>
    <w:basedOn w:val="Normale"/>
    <w:next w:val="Normale"/>
    <w:uiPriority w:val="9"/>
    <w:semiHidden/>
    <w:unhideWhenUsed/>
    <w:qFormat/>
    <w:pPr>
      <w:keepNext/>
      <w:keepLines/>
      <w:spacing w:before="360" w:after="120"/>
      <w:outlineLvl w:val="1"/>
    </w:pPr>
    <w:rPr>
      <w:sz w:val="32"/>
      <w:szCs w:val="32"/>
    </w:rPr>
  </w:style>
  <w:style w:type="paragraph" w:styleId="Titolo3">
    <w:name w:val="heading 3"/>
    <w:basedOn w:val="Normale"/>
    <w:next w:val="Normale"/>
    <w:uiPriority w:val="9"/>
    <w:semiHidden/>
    <w:unhideWhenUsed/>
    <w:qFormat/>
    <w:pPr>
      <w:keepNext/>
      <w:keepLines/>
      <w:spacing w:before="320" w:after="80"/>
      <w:outlineLvl w:val="2"/>
    </w:pPr>
    <w:rPr>
      <w:color w:val="434343"/>
      <w:sz w:val="28"/>
      <w:szCs w:val="28"/>
    </w:rPr>
  </w:style>
  <w:style w:type="paragraph" w:styleId="Titolo4">
    <w:name w:val="heading 4"/>
    <w:basedOn w:val="Normale"/>
    <w:next w:val="Normale"/>
    <w:uiPriority w:val="9"/>
    <w:semiHidden/>
    <w:unhideWhenUsed/>
    <w:qFormat/>
    <w:pPr>
      <w:keepNext/>
      <w:keepLines/>
      <w:spacing w:before="280" w:after="80"/>
      <w:outlineLvl w:val="3"/>
    </w:pPr>
    <w:rPr>
      <w:color w:val="666666"/>
      <w:sz w:val="24"/>
      <w:szCs w:val="24"/>
    </w:rPr>
  </w:style>
  <w:style w:type="paragraph" w:styleId="Titolo5">
    <w:name w:val="heading 5"/>
    <w:basedOn w:val="Normale"/>
    <w:next w:val="Normale"/>
    <w:uiPriority w:val="9"/>
    <w:semiHidden/>
    <w:unhideWhenUsed/>
    <w:qFormat/>
    <w:pPr>
      <w:keepNext/>
      <w:keepLines/>
      <w:spacing w:before="240" w:after="80"/>
      <w:outlineLvl w:val="4"/>
    </w:pPr>
    <w:rPr>
      <w:color w:val="666666"/>
    </w:rPr>
  </w:style>
  <w:style w:type="paragraph" w:styleId="Titolo6">
    <w:name w:val="heading 6"/>
    <w:basedOn w:val="Normale"/>
    <w:next w:val="Normale"/>
    <w:uiPriority w:val="9"/>
    <w:semiHidden/>
    <w:unhideWhenUsed/>
    <w:qFormat/>
    <w:pPr>
      <w:keepNext/>
      <w:keepLines/>
      <w:spacing w:before="240" w:after="80"/>
      <w:outlineLvl w:val="5"/>
    </w:pPr>
    <w:rPr>
      <w:i/>
      <w:iCs/>
      <w:color w:val="666666"/>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tolo">
    <w:name w:val="Title"/>
    <w:basedOn w:val="Normale"/>
    <w:next w:val="Normale"/>
    <w:uiPriority w:val="10"/>
    <w:qFormat/>
    <w:pPr>
      <w:keepNext/>
      <w:keepLines/>
      <w:spacing w:after="60"/>
    </w:pPr>
    <w:rPr>
      <w:sz w:val="52"/>
      <w:szCs w:val="52"/>
    </w:rPr>
  </w:style>
  <w:style w:type="paragraph" w:styleId="Sottotitolo">
    <w:name w:val="Subtitle"/>
    <w:basedOn w:val="Normale"/>
    <w:next w:val="Normale"/>
    <w:uiPriority w:val="11"/>
    <w:qFormat/>
    <w:pPr>
      <w:keepNext/>
      <w:keepLines/>
      <w:spacing w:after="320"/>
    </w:pPr>
    <w:rPr>
      <w:color w:val="666666"/>
      <w:sz w:val="30"/>
      <w:szCs w:val="30"/>
    </w:rPr>
  </w:style>
  <w:style w:type="table" w:customStyle="1" w:styleId="a">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4</Pages>
  <Words>1409</Words>
  <Characters>8034</Characters>
  <Application>Microsoft Office Word</Application>
  <DocSecurity>0</DocSecurity>
  <Lines>66</Lines>
  <Paragraphs>18</Paragraphs>
  <ScaleCrop>false</ScaleCrop>
  <Company/>
  <LinksUpToDate>false</LinksUpToDate>
  <CharactersWithSpaces>9425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Davide Carrozzo</cp:lastModifiedBy>
  <cp:revision>3</cp:revision>
  <dcterms:created xsi:type="dcterms:W3CDTF">2026-02-02T09:29:00Z</dcterms:created>
  <dcterms:modified xsi:type="dcterms:W3CDTF">2026-02-02T09:33:00Z</dcterms:modified>
</cp:coreProperties>
</file>