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fonts/EBGaramondMedium-bold.ttf" ContentType="application/x-font-ttf"/>
  <Override PartName="/word/fonts/EBGaramondMedium-boldItalic.ttf" ContentType="application/x-font-ttf"/>
  <Override PartName="/word/fonts/EBGaramondMedium-italic.ttf" ContentType="application/x-font-ttf"/>
  <Override PartName="/word/fonts/EBGaramondMedium-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N. {{RGT}} R.G.T.</w:t>
      </w:r>
    </w:p>
    <w:p w:rsidR="00000000" w:rsidDel="00000000" w:rsidP="00000000" w:rsidRDefault="00000000" w:rsidRPr="00000000" w14:paraId="00000002">
      <w:pPr>
        <w:spacing w:after="0" w:before="0" w:line="240" w:lineRule="auto"/>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N. {{RGNR}} R.G.N.R.</w:t>
      </w:r>
    </w:p>
    <w:p w:rsidR="00000000" w:rsidDel="00000000" w:rsidP="00000000" w:rsidRDefault="00000000" w:rsidRPr="00000000" w14:paraId="00000003">
      <w:pPr>
        <w:spacing w:after="0" w:before="0" w:line="240" w:lineRule="auto"/>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N. {{SIAMM}} SIAMM</w:t>
      </w:r>
    </w:p>
    <w:p>
      <w:pPr/>
      <w:r>
        <w:t>Giudice: {{Giudice}}</w:t>
      </w:r>
    </w:p>
    <w:p w:rsidR="00000000" w:rsidDel="00000000" w:rsidP="00000000" w:rsidRDefault="00000000" w:rsidRPr="00000000" w14:paraId="00000004">
      <w:pPr>
        <w:widowControl w:val="0"/>
        <w:spacing w:line="240" w:lineRule="auto"/>
        <w:jc w:val="center"/>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Pr>
        <w:drawing>
          <wp:inline distB="114300" distT="114300" distL="114300" distR="114300">
            <wp:extent cx="390329" cy="4247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329" cy="42477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jc w:val="cente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TRIBUNALE DI BRINDISI</w:t>
      </w:r>
    </w:p>
    <w:p w:rsidR="00000000" w:rsidDel="00000000" w:rsidP="00000000" w:rsidRDefault="00000000" w:rsidRPr="00000000" w14:paraId="00000006">
      <w:pPr>
        <w:widowControl w:val="0"/>
        <w:spacing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8"/>
          <w:szCs w:val="28"/>
          <w:rtl w:val="0"/>
        </w:rPr>
        <w:t xml:space="preserve">Sezione Penale</w:t>
      </w: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spacing w:after="0" w:before="0" w:line="240" w:lineRule="auto"/>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DECRETO DI LIQUIDAZIONE DEGLI ONORARI </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spacing w:after="0" w:before="0" w:line="240" w:lineRule="auto"/>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PROFESSIONALI</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spacing w:after="0" w:before="0" w:line="240" w:lineRule="auto"/>
        <w:jc w:val="center"/>
        <w:rPr>
          <w:rFonts w:ascii="EB Garamond Medium" w:cs="EB Garamond Medium" w:eastAsia="EB Garamond Medium" w:hAnsi="EB Garamond Medium"/>
          <w:i w:val="1"/>
          <w:iCs w:val="1"/>
          <w:sz w:val="20"/>
          <w:szCs w:val="20"/>
        </w:rPr>
      </w:pPr>
      <w:r w:rsidDel="00000000" w:rsidR="00000000" w:rsidRPr="00000000">
        <w:rPr>
          <w:rFonts w:ascii="EB Garamond Medium" w:cs="EB Garamond Medium" w:eastAsia="EB Garamond Medium" w:hAnsi="EB Garamond Medium"/>
          <w:i w:val="1"/>
          <w:iCs w:val="1"/>
          <w:sz w:val="20"/>
          <w:szCs w:val="20"/>
          <w:rtl w:val="0"/>
        </w:rPr>
        <w:t xml:space="preserve">(D.P.R. 30.5.2002 n. 115)</w:t>
      </w:r>
    </w:p>
    <w:p w:rsidR="00000000" w:rsidDel="00000000" w:rsidP="00000000" w:rsidRDefault="00000000" w:rsidRPr="00000000" w14:paraId="0000000A">
      <w:pPr>
        <w:spacing w:after="0" w:before="0" w:line="240" w:lineRule="auto"/>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0B">
      <w:pPr>
        <w:spacing w:after="0" w:before="0" w:line="240" w:lineRule="auto"/>
        <w:jc w:val="cente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IL TRIBUNALE</w:t>
      </w:r>
    </w:p>
    <w:p w:rsidR="00000000" w:rsidDel="00000000" w:rsidP="00000000" w:rsidRDefault="00000000" w:rsidRPr="00000000" w14:paraId="0000000C">
      <w:pPr>
        <w:spacing w:after="0" w:before="0" w:line="240" w:lineRule="auto"/>
        <w:jc w:val="center"/>
        <w:rPr>
          <w:rFonts w:ascii="EB Garamond Medium" w:cs="EB Garamond Medium" w:eastAsia="EB Garamond Medium" w:hAnsi="EB Garamond Medium"/>
          <w:i w:val="1"/>
          <w:iCs w:val="1"/>
          <w:sz w:val="24"/>
          <w:szCs w:val="24"/>
        </w:rPr>
      </w:pPr>
      <w:r w:rsidDel="00000000" w:rsidR="00000000" w:rsidRPr="00000000">
        <w:rPr>
          <w:rFonts w:ascii="EB Garamond Medium" w:cs="EB Garamond Medium" w:eastAsia="EB Garamond Medium" w:hAnsi="EB Garamond Medium"/>
          <w:i w:val="1"/>
          <w:iCs w:val="1"/>
          <w:sz w:val="24"/>
          <w:szCs w:val="24"/>
          <w:rtl w:val="0"/>
        </w:rPr>
        <w:t xml:space="preserve">nella persona del Giudice {{Giudice}}</w:t>
      </w:r>
    </w:p>
    <w:p w:rsidR="00000000" w:rsidDel="00000000" w:rsidP="00000000" w:rsidRDefault="00000000" w:rsidRPr="00000000" w14:paraId="0000000D">
      <w:pPr>
        <w:spacing w:after="0" w:before="0" w:line="240" w:lineRule="auto"/>
        <w:jc w:val="left"/>
        <w:rPr>
          <w:rFonts w:ascii="EB Garamond Medium" w:cs="EB Garamond Medium" w:eastAsia="EB Garamond Medium" w:hAnsi="EB Garamond Medium"/>
          <w:smallCaps w:val="1"/>
          <w:sz w:val="24"/>
          <w:szCs w:val="24"/>
        </w:rPr>
      </w:pPr>
      <w:r w:rsidDel="00000000" w:rsidR="00000000" w:rsidRPr="00000000">
        <w:rPr>
          <w:rtl w:val="0"/>
        </w:rPr>
      </w:r>
    </w:p>
    <w:p w:rsidR="00000000" w:rsidDel="00000000" w:rsidP="00000000" w:rsidRDefault="00000000" w:rsidRPr="00000000" w14:paraId="0000000E">
      <w:pPr>
        <w:numPr>
          <w:ilvl w:val="0"/>
          <w:numId w:val="2"/>
        </w:numPr>
        <w:spacing w:after="0" w:before="0" w:line="240" w:lineRule="auto"/>
        <w:ind w:left="720" w:hanging="360"/>
        <w:jc w:val="both"/>
        <w:rPr>
          <w:rFonts w:ascii="Garamond" w:cs="Garamond" w:eastAsia="Garamond" w:hAnsi="Garamond"/>
          <w:sz w:val="24"/>
          <w:szCs w:val="24"/>
        </w:rPr>
      </w:pPr>
      <w:r>
        <w:t>Letta l’istanza di liquidazione delle competenze professionali avanzata dall’{{avvocato}}, in qualità di difensore di fiducia di {{assistito}}, imputato nel procedimento n. {{RGT}} R.G.T. (n. {{RGNR}} R.G.N.R.), definitosi all’udienza del {{data sentenza}}, data di conclusione del procedimento e presupposto per la liquidazione delle competenze;</w:t>
      </w:r>
    </w:p>
    <w:p w:rsidR="00000000" w:rsidDel="00000000" w:rsidP="00000000" w:rsidRDefault="00000000" w:rsidRPr="00000000" w14:paraId="0000000F">
      <w:pPr>
        <w:numPr>
          <w:ilvl w:val="0"/>
          <w:numId w:val="2"/>
        </w:numPr>
        <w:spacing w:after="0" w:before="0" w:line="240" w:lineRule="auto"/>
        <w:ind w:left="720" w:hanging="360"/>
        <w:jc w:val="both"/>
        <w:rPr>
          <w:rFonts w:ascii="Garamond" w:cs="Garamond" w:eastAsia="Garamond" w:hAnsi="Garamond"/>
          <w:color w:val="980000"/>
          <w:sz w:val="24"/>
          <w:szCs w:val="24"/>
        </w:rPr>
      </w:pPr>
      <w:r>
        <w:t>Rilevato che l’istante veniva ammesso al patrocinio a spese dello Stato con decreto n. {{Mod27}} Mod. 27 del {{dataMod27}};</w:t>
      </w:r>
    </w:p>
    <w:p w:rsidR="00000000" w:rsidDel="00000000" w:rsidP="00000000" w:rsidRDefault="00000000" w:rsidRPr="00000000" w14:paraId="00000010">
      <w:pPr>
        <w:numPr>
          <w:ilvl w:val="0"/>
          <w:numId w:val="2"/>
        </w:numPr>
        <w:spacing w:after="0" w:before="0" w:line="240" w:lineRule="auto"/>
        <w:ind w:left="720" w:hanging="360"/>
        <w:jc w:val="both"/>
        <w:rPr>
          <w:rFonts w:ascii="Garamond" w:cs="Garamond" w:eastAsia="Garamond" w:hAnsi="Garamond"/>
          <w:sz w:val="24"/>
          <w:szCs w:val="24"/>
        </w:rPr>
      </w:pPr>
      <w:r w:rsidDel="00000000" w:rsidR="00000000" w:rsidRPr="00000000">
        <w:rPr>
          <w:rFonts w:ascii="EB Garamond" w:cs="EB Garamond" w:eastAsia="EB Garamond" w:hAnsi="EB Garamond"/>
          <w:b w:val="1"/>
          <w:bCs w:val="1"/>
          <w:smallCaps w:val="1"/>
          <w:sz w:val="24"/>
          <w:szCs w:val="24"/>
          <w:rtl w:val="0"/>
        </w:rPr>
        <w:t xml:space="preserve">Ritenuta </w:t>
      </w:r>
      <w:r w:rsidDel="00000000" w:rsidR="00000000" w:rsidRPr="00000000">
        <w:rPr>
          <w:rFonts w:ascii="EB Garamond Medium" w:cs="EB Garamond Medium" w:eastAsia="EB Garamond Medium" w:hAnsi="EB Garamond Medium"/>
          <w:sz w:val="24"/>
          <w:szCs w:val="24"/>
          <w:rtl w:val="0"/>
        </w:rPr>
        <w:t xml:space="preserve">la propria competenza, visionati gli atti del procedimento;</w:t>
      </w:r>
      <w:r w:rsidDel="00000000" w:rsidR="00000000" w:rsidRPr="00000000">
        <w:rPr>
          <w:rtl w:val="0"/>
        </w:rPr>
      </w:r>
    </w:p>
    <w:p w:rsidR="00000000" w:rsidDel="00000000" w:rsidP="00000000" w:rsidRDefault="00000000" w:rsidRPr="00000000" w14:paraId="00000011">
      <w:pPr>
        <w:numPr>
          <w:ilvl w:val="0"/>
          <w:numId w:val="2"/>
        </w:numPr>
        <w:spacing w:after="0" w:before="0" w:line="240" w:lineRule="auto"/>
        <w:ind w:left="720" w:hanging="360"/>
        <w:jc w:val="both"/>
        <w:rPr>
          <w:rFonts w:ascii="Garamond" w:cs="Garamond" w:eastAsia="Garamond" w:hAnsi="Garamond"/>
          <w:sz w:val="24"/>
          <w:szCs w:val="24"/>
        </w:rPr>
      </w:pPr>
      <w:r w:rsidDel="00000000" w:rsidR="00000000" w:rsidRPr="00000000">
        <w:rPr>
          <w:rFonts w:ascii="EB Garamond" w:cs="EB Garamond" w:eastAsia="EB Garamond" w:hAnsi="EB Garamond"/>
          <w:b w:val="1"/>
          <w:bCs w:val="1"/>
          <w:smallCaps w:val="1"/>
          <w:sz w:val="24"/>
          <w:szCs w:val="24"/>
          <w:rtl w:val="0"/>
        </w:rPr>
        <w:t xml:space="preserve">Tenuto conto</w:t>
      </w:r>
      <w:r w:rsidDel="00000000" w:rsidR="00000000" w:rsidRPr="00000000">
        <w:rPr>
          <w:rFonts w:ascii="EB Garamond Medium" w:cs="EB Garamond Medium" w:eastAsia="EB Garamond Medium" w:hAnsi="EB Garamond Medium"/>
          <w:sz w:val="24"/>
          <w:szCs w:val="24"/>
          <w:rtl w:val="0"/>
        </w:rPr>
        <w:t xml:space="preserve"> dei principi desumibili dalle vigenti disposizioni di legge e di regolamento, secondo cui:</w:t>
      </w:r>
    </w:p>
    <w:p w:rsidR="00000000" w:rsidDel="00000000" w:rsidP="00000000" w:rsidRDefault="00000000" w:rsidRPr="00000000" w14:paraId="00000012">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la liquidazione è effettuata al termine di ciascuna fase o grado del processo […] dall’autorità giudiziaria che ha proceduto, a meno che non si tratti di compensi dovuti per le fasi o i gradi anteriori del processo, se il provvedimento di ammissione al patrocinio è intervenuto dopo la loro definizione; la competenza per la liquidazione dei compensi maturati in relazione ai procedimenti incidentali della fase spetta al giudice della fase o del grado del processo principale in cui è stata svolta l'attività difensiva da remunerare (art. 83, d.P.R. 115/2002);</w:t>
      </w:r>
    </w:p>
    <w:p w:rsidR="00000000" w:rsidDel="00000000" w:rsidP="00000000" w:rsidRDefault="00000000" w:rsidRPr="00000000" w14:paraId="00000013">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non possono essere liquidati onorari per attività espletate prima dell’ammissione al patrocinio a spese dello Stato, poiché gli effetti dell'ammissione si producono a decorrere dalla data in cui l’istanza è stata presentata o è pervenuta all’ufficio del magistrato, ovvero a decorrere dal primo atto in cui interviene il difensore, se l’interessato fa riserva di presentare l’istanza e questa è presentata entro i venti giorni successivi (</w:t>
      </w:r>
      <w:r w:rsidDel="00000000" w:rsidR="00000000" w:rsidRPr="00000000">
        <w:rPr>
          <w:rFonts w:ascii="EB Garamond Medium" w:cs="EB Garamond Medium" w:eastAsia="EB Garamond Medium" w:hAnsi="EB Garamond Medium"/>
          <w:i w:val="1"/>
          <w:iCs w:val="1"/>
          <w:sz w:val="20"/>
          <w:szCs w:val="20"/>
          <w:rtl w:val="0"/>
        </w:rPr>
        <w:t xml:space="preserve">ex </w:t>
      </w:r>
      <w:r w:rsidDel="00000000" w:rsidR="00000000" w:rsidRPr="00000000">
        <w:rPr>
          <w:rFonts w:ascii="EB Garamond Medium" w:cs="EB Garamond Medium" w:eastAsia="EB Garamond Medium" w:hAnsi="EB Garamond Medium"/>
          <w:sz w:val="20"/>
          <w:szCs w:val="20"/>
          <w:rtl w:val="0"/>
        </w:rPr>
        <w:t xml:space="preserve">artt. 109 e 107, d.P.R. 115/2002);</w:t>
      </w:r>
    </w:p>
    <w:p w:rsidR="00000000" w:rsidDel="00000000" w:rsidP="00000000" w:rsidRDefault="00000000" w:rsidRPr="00000000" w14:paraId="00000014">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ai fini della liquidazione del compenso al difensore si tiene conto: “</w:t>
      </w:r>
      <w:r w:rsidDel="00000000" w:rsidR="00000000" w:rsidRPr="00000000">
        <w:rPr>
          <w:rFonts w:ascii="EB Garamond Medium" w:cs="EB Garamond Medium" w:eastAsia="EB Garamond Medium" w:hAnsi="EB Garamond Medium"/>
          <w:i w:val="1"/>
          <w:iCs w:val="1"/>
          <w:sz w:val="20"/>
          <w:szCs w:val="20"/>
          <w:rtl w:val="0"/>
        </w:rPr>
        <w:t xml:space="preserve">delle caratteristiche, dell'urgenza e del pregio dell'attività prestata, dell’importanza, della natura, della complessità del procedimento, della gravità e del numero delle imputazioni, del numero e della complessità delle questioni giuridiche e di fatto trattate, dei contrasti giurisprudenziali, dell'autorità giudiziaria dinanzi cui si svolge la prestazione, della rilevanza patrimoniale, del numero dei documenti e degli atti da esaminare, della continuità dell'impegno anche in relazione alla frequenza di trasferimenti fuori dal luogo ove svolge la professione in modo prevalente, nonché dell'esito ottenuto avuto anche riguardo alle conseguenze civili e alle condizioni finanziarie del cliente. Si tiene altresì conto del numero di udienze, pubbliche o camerali, diverse da quelle di mero rinvio, e del tempo necessario all'espletamento delle attività medesime. Il giudice tiene conto dei valori medi di cui alle tabelle allegate, che, in applicazione dei parametri generali, possono essere aumentati di regola fino al 50, ovvero possono essere diminuiti in ogni caso non oltre il 50%</w:t>
      </w:r>
      <w:r w:rsidDel="00000000" w:rsidR="00000000" w:rsidRPr="00000000">
        <w:rPr>
          <w:rFonts w:ascii="EB Garamond Medium" w:cs="EB Garamond Medium" w:eastAsia="EB Garamond Medium" w:hAnsi="EB Garamond Medium"/>
          <w:sz w:val="20"/>
          <w:szCs w:val="20"/>
          <w:rtl w:val="0"/>
        </w:rPr>
        <w:t xml:space="preserve">” (art. 12, D.M. n. 55/2014); altresì, “</w:t>
      </w:r>
      <w:r w:rsidDel="00000000" w:rsidR="00000000" w:rsidRPr="00000000">
        <w:rPr>
          <w:rFonts w:ascii="EB Garamond Medium" w:cs="EB Garamond Medium" w:eastAsia="EB Garamond Medium" w:hAnsi="EB Garamond Medium"/>
          <w:i w:val="1"/>
          <w:iCs w:val="1"/>
          <w:sz w:val="20"/>
          <w:szCs w:val="20"/>
          <w:rtl w:val="0"/>
        </w:rPr>
        <w:t xml:space="preserve">costituisce elemento di valutazione negativa, in sede di liquidazione giudiziale del compenso, l'adozione di condotte abusive tali da ostacolare la definizione dei procedimenti in tempi ragionevoli</w:t>
      </w:r>
      <w:r w:rsidDel="00000000" w:rsidR="00000000" w:rsidRPr="00000000">
        <w:rPr>
          <w:rFonts w:ascii="EB Garamond Medium" w:cs="EB Garamond Medium" w:eastAsia="EB Garamond Medium" w:hAnsi="EB Garamond Medium"/>
          <w:sz w:val="20"/>
          <w:szCs w:val="20"/>
          <w:rtl w:val="0"/>
        </w:rPr>
        <w:t xml:space="preserve">” (art. 4, comma 7, D.M. n. 55/2014);</w:t>
      </w:r>
    </w:p>
    <w:p w:rsidR="00000000" w:rsidDel="00000000" w:rsidP="00000000" w:rsidRDefault="00000000" w:rsidRPr="00000000" w14:paraId="00000015">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in caso di liquidazione del difensore di persona ammessa al gratuito patrocinio, altresì, si tiene specifico conto della concreta incidenza degli atti assunti rispetto alla posizione processuale della persona difesa (</w:t>
      </w:r>
      <w:r w:rsidDel="00000000" w:rsidR="00000000" w:rsidRPr="00000000">
        <w:rPr>
          <w:rFonts w:ascii="EB Garamond Medium" w:cs="EB Garamond Medium" w:eastAsia="EB Garamond Medium" w:hAnsi="EB Garamond Medium"/>
          <w:i w:val="1"/>
          <w:iCs w:val="1"/>
          <w:sz w:val="20"/>
          <w:szCs w:val="20"/>
          <w:rtl w:val="0"/>
        </w:rPr>
        <w:t xml:space="preserve">ex </w:t>
      </w:r>
      <w:r w:rsidDel="00000000" w:rsidR="00000000" w:rsidRPr="00000000">
        <w:rPr>
          <w:rFonts w:ascii="EB Garamond Medium" w:cs="EB Garamond Medium" w:eastAsia="EB Garamond Medium" w:hAnsi="EB Garamond Medium"/>
          <w:sz w:val="20"/>
          <w:szCs w:val="20"/>
          <w:rtl w:val="0"/>
        </w:rPr>
        <w:t xml:space="preserve">art. 12, cpv., D.M. n. 55/2014); gli importi spettanti al difensore sono ridotti di un terzo (ai sensi dell’art. 106-</w:t>
      </w:r>
      <w:r w:rsidDel="00000000" w:rsidR="00000000" w:rsidRPr="00000000">
        <w:rPr>
          <w:rFonts w:ascii="EB Garamond Medium" w:cs="EB Garamond Medium" w:eastAsia="EB Garamond Medium" w:hAnsi="EB Garamond Medium"/>
          <w:i w:val="1"/>
          <w:iCs w:val="1"/>
          <w:sz w:val="20"/>
          <w:szCs w:val="20"/>
          <w:rtl w:val="0"/>
        </w:rPr>
        <w:t xml:space="preserve">bis</w:t>
      </w:r>
      <w:r w:rsidDel="00000000" w:rsidR="00000000" w:rsidRPr="00000000">
        <w:rPr>
          <w:rFonts w:ascii="EB Garamond Medium" w:cs="EB Garamond Medium" w:eastAsia="EB Garamond Medium" w:hAnsi="EB Garamond Medium"/>
          <w:sz w:val="20"/>
          <w:szCs w:val="20"/>
          <w:rtl w:val="0"/>
        </w:rPr>
        <w:t xml:space="preserve">, d.P.R. n. 115/2002); il compenso per le impugnazioni coltivate dalla parte non è liquidato se le stesse sono dichiarate inammissibili (art. 106, comma 1, d.P.R. n.  115/2002); in caso di difensore che ha svolto la sua attività fuori dal luogo ove egli svolge la sua attività in modo prevalente non è dovuta l’indennità di trasferta prevista dalla tariffa professionale (</w:t>
      </w:r>
      <w:r w:rsidDel="00000000" w:rsidR="00000000" w:rsidRPr="00000000">
        <w:rPr>
          <w:rFonts w:ascii="EB Garamond Medium" w:cs="EB Garamond Medium" w:eastAsia="EB Garamond Medium" w:hAnsi="EB Garamond Medium"/>
          <w:i w:val="1"/>
          <w:iCs w:val="1"/>
          <w:sz w:val="20"/>
          <w:szCs w:val="20"/>
          <w:rtl w:val="0"/>
        </w:rPr>
        <w:t xml:space="preserve">ex </w:t>
      </w:r>
      <w:r w:rsidDel="00000000" w:rsidR="00000000" w:rsidRPr="00000000">
        <w:rPr>
          <w:rFonts w:ascii="EB Garamond Medium" w:cs="EB Garamond Medium" w:eastAsia="EB Garamond Medium" w:hAnsi="EB Garamond Medium"/>
          <w:sz w:val="20"/>
          <w:szCs w:val="20"/>
          <w:rtl w:val="0"/>
        </w:rPr>
        <w:t xml:space="preserve">art. 82 d.P.R. n. 115/2002);</w:t>
      </w:r>
    </w:p>
    <w:p w:rsidR="00000000" w:rsidDel="00000000" w:rsidP="00000000" w:rsidRDefault="00000000" w:rsidRPr="00000000" w14:paraId="00000016">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in caso di difensore che assiste più soggetti aventi la medesima posizione processuale, il compenso unico da liquidare può di regola essere aumentato per ogni soggetto oltre il primo nella misura del 30%, fino a un massimo di dieci soggetti, e del 10% per ogni soggetto oltre i primi dieci, fino a un massimo di venti. La disposizione del periodo precedente si applica anche quando il numero dei soggetti ovvero delle imputazioni è incrementato per effetto di riunione di più procedimenti, dal momento della disposta riunione, e anche quando il professionista difende un singolo soggetto contro più soggetti, sempre che la prestazione non comporti l'esame di medesime situazioni di fatto o di diritto. Quando, ferma l'identità di posizione procedimentale o processuale, la prestazione professionale non comporta l'esame di specifiche e distinte situazioni di fatto o di diritto in relazione ai diversi soggetti e in rapporto alle contestazioni, il compenso altrimenti liquidabile per l'assistenza di un solo soggetto è ridotto in misura non superiore al 30% (art. 12, cpv., D.M. n. 55/2014);</w:t>
      </w:r>
    </w:p>
    <w:p w:rsidR="00000000" w:rsidDel="00000000" w:rsidP="00000000" w:rsidRDefault="00000000" w:rsidRPr="00000000" w14:paraId="00000017">
      <w:pPr>
        <w:numPr>
          <w:ilvl w:val="0"/>
          <w:numId w:val="6"/>
        </w:numPr>
        <w:spacing w:after="0" w:before="0" w:line="240" w:lineRule="auto"/>
        <w:ind w:left="177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è sempre dovuta una somma per rimborso spese forfettarie, nella misura del 15% del compenso totale della prestazione (art. 2, D.M. n. 55/2014).</w:t>
      </w:r>
    </w:p>
    <w:p w:rsidR="00000000" w:rsidDel="00000000" w:rsidP="00000000" w:rsidRDefault="00000000" w:rsidRPr="00000000" w14:paraId="00000018">
      <w:pPr>
        <w:numPr>
          <w:ilvl w:val="0"/>
          <w:numId w:val="3"/>
        </w:numPr>
        <w:spacing w:after="0" w:before="0" w:line="240" w:lineRule="auto"/>
        <w:ind w:left="720" w:hanging="360"/>
        <w:jc w:val="both"/>
        <w:rPr>
          <w:rFonts w:ascii="Garamond" w:cs="Garamond" w:eastAsia="Garamond" w:hAnsi="Garamond"/>
          <w:sz w:val="24"/>
          <w:szCs w:val="24"/>
        </w:rPr>
      </w:pPr>
      <w:r w:rsidDel="00000000" w:rsidR="00000000" w:rsidRPr="00000000">
        <w:rPr>
          <w:rFonts w:ascii="EB Garamond" w:cs="EB Garamond" w:eastAsia="EB Garamond" w:hAnsi="EB Garamond"/>
          <w:b w:val="1"/>
          <w:bCs w:val="1"/>
          <w:smallCaps w:val="1"/>
          <w:sz w:val="24"/>
          <w:szCs w:val="24"/>
          <w:rtl w:val="0"/>
        </w:rPr>
        <w:t xml:space="preserve">Tenuto conto</w:t>
      </w:r>
      <w:r w:rsidDel="00000000" w:rsidR="00000000" w:rsidRPr="00000000">
        <w:rPr>
          <w:rFonts w:ascii="EB Garamond Medium" w:cs="EB Garamond Medium" w:eastAsia="EB Garamond Medium" w:hAnsi="EB Garamond Medium"/>
          <w:sz w:val="24"/>
          <w:szCs w:val="24"/>
          <w:rtl w:val="0"/>
        </w:rPr>
        <w:t xml:space="preserve"> dei parametri previsti dai vigenti decreti ministeriali e dei criteri per la liquidazione dei compensi indicati nel </w:t>
      </w:r>
      <w:r w:rsidDel="00000000" w:rsidR="00000000" w:rsidRPr="00000000">
        <w:rPr>
          <w:rFonts w:ascii="EB Garamond Medium" w:cs="EB Garamond Medium" w:eastAsia="EB Garamond Medium" w:hAnsi="EB Garamond Medium"/>
          <w:i w:val="1"/>
          <w:iCs w:val="1"/>
          <w:sz w:val="24"/>
          <w:szCs w:val="24"/>
          <w:rtl w:val="0"/>
        </w:rPr>
        <w:t xml:space="preserve">Protocollo di intesa in materia di patrocinio a spese dello Stato</w:t>
      </w:r>
      <w:r w:rsidDel="00000000" w:rsidR="00000000" w:rsidRPr="00000000">
        <w:rPr>
          <w:rFonts w:ascii="EB Garamond Medium" w:cs="EB Garamond Medium" w:eastAsia="EB Garamond Medium" w:hAnsi="EB Garamond Medium"/>
          <w:sz w:val="24"/>
          <w:szCs w:val="24"/>
          <w:rtl w:val="0"/>
        </w:rPr>
        <w:t xml:space="preserve"> sottoscritto in questo distretto, che sulla base dei parametri indicati di cui all’art. 12, D.M. n. 55/2014 ha suddiviso i procedimenti in tre categorie (“</w:t>
      </w:r>
      <w:r w:rsidDel="00000000" w:rsidR="00000000" w:rsidRPr="00000000">
        <w:rPr>
          <w:rFonts w:ascii="EB Garamond Medium" w:cs="EB Garamond Medium" w:eastAsia="EB Garamond Medium" w:hAnsi="EB Garamond Medium"/>
          <w:i w:val="1"/>
          <w:iCs w:val="1"/>
          <w:sz w:val="24"/>
          <w:szCs w:val="24"/>
          <w:rtl w:val="0"/>
        </w:rPr>
        <w:t xml:space="preserve">semplici</w:t>
      </w:r>
      <w:r w:rsidDel="00000000" w:rsidR="00000000" w:rsidRPr="00000000">
        <w:rPr>
          <w:rFonts w:ascii="EB Garamond Medium" w:cs="EB Garamond Medium" w:eastAsia="EB Garamond Medium" w:hAnsi="EB Garamond Medium"/>
          <w:sz w:val="24"/>
          <w:szCs w:val="24"/>
          <w:rtl w:val="0"/>
        </w:rPr>
        <w:t xml:space="preserve">”, “</w:t>
      </w:r>
      <w:r w:rsidDel="00000000" w:rsidR="00000000" w:rsidRPr="00000000">
        <w:rPr>
          <w:rFonts w:ascii="EB Garamond Medium" w:cs="EB Garamond Medium" w:eastAsia="EB Garamond Medium" w:hAnsi="EB Garamond Medium"/>
          <w:i w:val="1"/>
          <w:iCs w:val="1"/>
          <w:sz w:val="24"/>
          <w:szCs w:val="24"/>
          <w:rtl w:val="0"/>
        </w:rPr>
        <w:t xml:space="preserve">medi</w:t>
      </w:r>
      <w:r w:rsidDel="00000000" w:rsidR="00000000" w:rsidRPr="00000000">
        <w:rPr>
          <w:rFonts w:ascii="EB Garamond Medium" w:cs="EB Garamond Medium" w:eastAsia="EB Garamond Medium" w:hAnsi="EB Garamond Medium"/>
          <w:sz w:val="24"/>
          <w:szCs w:val="24"/>
          <w:rtl w:val="0"/>
        </w:rPr>
        <w:t xml:space="preserve">” e “</w:t>
      </w:r>
      <w:r w:rsidDel="00000000" w:rsidR="00000000" w:rsidRPr="00000000">
        <w:rPr>
          <w:rFonts w:ascii="EB Garamond Medium" w:cs="EB Garamond Medium" w:eastAsia="EB Garamond Medium" w:hAnsi="EB Garamond Medium"/>
          <w:i w:val="1"/>
          <w:iCs w:val="1"/>
          <w:sz w:val="24"/>
          <w:szCs w:val="24"/>
          <w:rtl w:val="0"/>
        </w:rPr>
        <w:t xml:space="preserve">complessi</w:t>
      </w:r>
      <w:r w:rsidDel="00000000" w:rsidR="00000000" w:rsidRPr="00000000">
        <w:rPr>
          <w:rFonts w:ascii="EB Garamond Medium" w:cs="EB Garamond Medium" w:eastAsia="EB Garamond Medium" w:hAnsi="EB Garamond Medium"/>
          <w:sz w:val="24"/>
          <w:szCs w:val="24"/>
          <w:rtl w:val="0"/>
        </w:rPr>
        <w:t xml:space="preserve">”), valorizzando in particolare:</w:t>
      </w:r>
    </w:p>
    <w:p w:rsidR="00000000" w:rsidDel="00000000" w:rsidP="00000000" w:rsidRDefault="00000000" w:rsidRPr="00000000" w14:paraId="00000019">
      <w:pPr>
        <w:numPr>
          <w:ilvl w:val="0"/>
          <w:numId w:val="5"/>
        </w:numPr>
        <w:spacing w:after="0" w:before="0" w:line="240" w:lineRule="auto"/>
        <w:ind w:left="105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numero di testimoni escussi, complessità dell’attività istruttoria e della documentazione acquisita ed esaminata: è di regola semplice il processo nel quale viene ascoltato al massimo un testimone;</w:t>
      </w:r>
    </w:p>
    <w:p w:rsidR="00000000" w:rsidDel="00000000" w:rsidP="00000000" w:rsidRDefault="00000000" w:rsidRPr="00000000" w14:paraId="0000001A">
      <w:pPr>
        <w:numPr>
          <w:ilvl w:val="0"/>
          <w:numId w:val="5"/>
        </w:numPr>
        <w:spacing w:after="0" w:before="0" w:line="240" w:lineRule="auto"/>
        <w:ind w:left="105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numero e durata delle udienze, ad eccezione di quelle di mero rinvio; è di regola semplice il processo che si esaurisce nell’arco di una sola udienza di breve durata, complesso quello che si protragga per almeno 5 udienze;</w:t>
      </w:r>
    </w:p>
    <w:p w:rsidR="00000000" w:rsidDel="00000000" w:rsidP="00000000" w:rsidRDefault="00000000" w:rsidRPr="00000000" w14:paraId="0000001B">
      <w:pPr>
        <w:numPr>
          <w:ilvl w:val="0"/>
          <w:numId w:val="5"/>
        </w:numPr>
        <w:spacing w:after="0" w:before="0" w:line="240" w:lineRule="auto"/>
        <w:ind w:left="105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pendenza di misure cautelari: il procedimento nel quale sono o sono state applicate misure cautelari è di regola classificabile quanto meno come medio;</w:t>
      </w:r>
    </w:p>
    <w:p w:rsidR="00000000" w:rsidDel="00000000" w:rsidP="00000000" w:rsidRDefault="00000000" w:rsidRPr="00000000" w14:paraId="0000001C">
      <w:pPr>
        <w:numPr>
          <w:ilvl w:val="0"/>
          <w:numId w:val="5"/>
        </w:numPr>
        <w:spacing w:after="0" w:before="0" w:line="240" w:lineRule="auto"/>
        <w:ind w:left="1056" w:hanging="36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numero e complessità delle questioni giuridiche e di fatto trattate; caratteristiche, urgenza e pregio dell’attività prestata; importanza, natura e complessità del procedimento; concreta incidenza degli atti assunti rispetto alla posizione processuale della parte assistita; rilevanza patrimoniale. È tendenzialmente complesso un procedimento relativo a reati associativi o di competenza della Corte d’Assise o comunque istruiti dalla Direzione Distrettuale Antimafia.</w:t>
      </w:r>
      <w:r w:rsidDel="00000000" w:rsidR="00000000" w:rsidRPr="00000000">
        <w:rPr>
          <w:rtl w:val="0"/>
        </w:rPr>
      </w:r>
    </w:p>
    <w:p w:rsidR="00000000" w:rsidDel="00000000" w:rsidP="00000000" w:rsidRDefault="00000000" w:rsidRPr="00000000" w14:paraId="0000001D">
      <w:pPr>
        <w:numPr>
          <w:ilvl w:val="0"/>
          <w:numId w:val="1"/>
        </w:numPr>
        <w:tabs>
          <w:tab w:val="left" w:leader="none" w:pos="4650"/>
          <w:tab w:val="right" w:leader="none" w:pos="10469"/>
        </w:tabs>
        <w:spacing w:line="240" w:lineRule="auto"/>
        <w:ind w:left="360"/>
        <w:jc w:val="both"/>
        <w:rPr>
          <w:rFonts w:ascii="EB Garamond Medium" w:cs="EB Garamond Medium" w:eastAsia="EB Garamond Medium" w:hAnsi="EB Garamond Medium"/>
          <w:sz w:val="24"/>
          <w:szCs w:val="24"/>
        </w:rPr>
      </w:pPr>
      <w:r w:rsidDel="00000000" w:rsidR="00000000" w:rsidRPr="00000000">
        <w:rPr>
          <w:rFonts w:ascii="EB Garamond" w:cs="EB Garamond" w:eastAsia="EB Garamond" w:hAnsi="EB Garamond"/>
          <w:b w:val="1"/>
          <w:bCs w:val="1"/>
          <w:smallCaps w:val="1"/>
          <w:sz w:val="24"/>
          <w:szCs w:val="24"/>
          <w:rtl w:val="0"/>
        </w:rPr>
        <w:t xml:space="preserve">Rilevato</w:t>
      </w:r>
      <w:r w:rsidDel="00000000" w:rsidR="00000000" w:rsidRPr="00000000">
        <w:rPr>
          <w:rFonts w:ascii="EB Garamond" w:cs="EB Garamond" w:eastAsia="EB Garamond" w:hAnsi="EB Garamond"/>
          <w:b w:val="1"/>
          <w:bCs w:val="1"/>
          <w:sz w:val="24"/>
          <w:szCs w:val="24"/>
          <w:rtl w:val="0"/>
        </w:rPr>
        <w:t xml:space="preserve"> </w:t>
      </w:r>
      <w:r w:rsidDel="00000000" w:rsidR="00000000" w:rsidRPr="00000000">
        <w:rPr>
          <w:rFonts w:ascii="EB Garamond Medium" w:cs="EB Garamond Medium" w:eastAsia="EB Garamond Medium" w:hAnsi="EB Garamond Medium"/>
          <w:sz w:val="24"/>
          <w:szCs w:val="24"/>
          <w:rtl w:val="0"/>
        </w:rPr>
        <w:t xml:space="preserve">che, considerando la natura dell’attività prestata, il grado di complessità del procedimento, il numero e la gravità delle imputazioni, la rilevanza delle questioni giuridiche e di fatto trattate, l’entità dell’impegno profuso, il numero di udienze celebrate, e la concreta incidenza che l’attività del difensore ha avuto sulla posizione del suo assistito, il procedimento deve qualificarsi come semplice e che si ritiene congruo liquidare le seguenti fasi:</w:t>
      </w:r>
    </w:p>
    <w:p w:rsidR="00000000" w:rsidDel="00000000" w:rsidP="00000000" w:rsidRDefault="00000000" w:rsidRPr="00000000" w14:paraId="0000001E">
      <w:pPr>
        <w:numPr>
          <w:ilvl w:val="1"/>
          <w:numId w:val="1"/>
        </w:numPr>
        <w:tabs>
          <w:tab w:val="left" w:leader="none" w:pos="4650"/>
          <w:tab w:val="right" w:leader="none" w:pos="10469"/>
        </w:tabs>
        <w:spacing w:line="240" w:lineRule="auto"/>
        <w:ind w:left="1440" w:hanging="360"/>
        <w:jc w:val="both"/>
        <w:rPr>
          <w:rFonts w:ascii="EB Garamond" w:cs="EB Garamond" w:eastAsia="EB Garamond" w:hAnsi="EB Garamond"/>
          <w:b w:val="1"/>
          <w:bCs w:val="1"/>
        </w:rPr>
      </w:pPr>
      <w:r>
        <w:t>RITENUTO {{motivazione studio}};</w:t>
      </w:r>
    </w:p>
    <w:p w:rsidR="00000000" w:rsidDel="00000000" w:rsidP="00000000" w:rsidRDefault="00000000" w:rsidRPr="00000000" w14:paraId="0000001F">
      <w:pPr>
        <w:numPr>
          <w:ilvl w:val="1"/>
          <w:numId w:val="1"/>
        </w:numPr>
        <w:tabs>
          <w:tab w:val="left" w:leader="none" w:pos="4650"/>
          <w:tab w:val="right" w:leader="none" w:pos="10469"/>
        </w:tabs>
        <w:spacing w:line="240" w:lineRule="auto"/>
        <w:ind w:left="1440" w:hanging="360"/>
        <w:jc w:val="both"/>
        <w:rPr>
          <w:rFonts w:ascii="EB Garamond Medium" w:cs="EB Garamond Medium" w:eastAsia="EB Garamond Medium" w:hAnsi="EB Garamond Medium"/>
        </w:rPr>
      </w:pPr>
      <w:r>
        <w:t>RITENUTO {{motivazione introduttiva}};</w:t>
      </w:r>
    </w:p>
    <w:p w:rsidR="00000000" w:rsidDel="00000000" w:rsidP="00000000" w:rsidRDefault="00000000" w:rsidRPr="00000000" w14:paraId="00000020">
      <w:pPr>
        <w:numPr>
          <w:ilvl w:val="1"/>
          <w:numId w:val="1"/>
        </w:numPr>
        <w:tabs>
          <w:tab w:val="left" w:leader="none" w:pos="4650"/>
          <w:tab w:val="right" w:leader="none" w:pos="10469"/>
        </w:tabs>
        <w:spacing w:line="240" w:lineRule="auto"/>
        <w:ind w:left="1440" w:hanging="360"/>
        <w:jc w:val="both"/>
        <w:rPr>
          <w:rFonts w:ascii="EB Garamond Medium" w:cs="EB Garamond Medium" w:eastAsia="EB Garamond Medium" w:hAnsi="EB Garamond Medium"/>
        </w:rPr>
      </w:pPr>
      <w:r>
        <w:t>RITENUTO {{motivazione istruttoria}};</w:t>
      </w:r>
    </w:p>
    <w:p w:rsidR="00000000" w:rsidDel="00000000" w:rsidP="00000000" w:rsidRDefault="00000000" w:rsidRPr="00000000" w14:paraId="00000021">
      <w:pPr>
        <w:numPr>
          <w:ilvl w:val="1"/>
          <w:numId w:val="1"/>
        </w:numPr>
        <w:tabs>
          <w:tab w:val="left" w:leader="none" w:pos="4650"/>
          <w:tab w:val="right" w:leader="none" w:pos="10469"/>
        </w:tabs>
        <w:spacing w:line="240" w:lineRule="auto"/>
        <w:ind w:left="1440" w:hanging="360"/>
        <w:jc w:val="both"/>
        <w:rPr>
          <w:rFonts w:ascii="EB Garamond Medium" w:cs="EB Garamond Medium" w:eastAsia="EB Garamond Medium" w:hAnsi="EB Garamond Medium"/>
        </w:rPr>
      </w:pPr>
      <w:r>
        <w:t>RITENUTO {{motivazione decisionale}};</w:t>
      </w:r>
    </w:p>
    <w:p w:rsidR="00000000" w:rsidDel="00000000" w:rsidP="00000000" w:rsidRDefault="00000000" w:rsidRPr="00000000" w14:paraId="00000022">
      <w:pPr>
        <w:numPr>
          <w:ilvl w:val="0"/>
          <w:numId w:val="1"/>
        </w:numPr>
        <w:tabs>
          <w:tab w:val="left" w:leader="none" w:pos="4650"/>
          <w:tab w:val="right" w:leader="none" w:pos="10469"/>
        </w:tabs>
        <w:spacing w:line="240" w:lineRule="auto"/>
        <w:ind w:left="360"/>
        <w:jc w:val="both"/>
        <w:rPr>
          <w:rFonts w:ascii="EB Garamond Medium" w:cs="EB Garamond Medium" w:eastAsia="EB Garamond Medium" w:hAnsi="EB Garamond Medium"/>
          <w:sz w:val="24"/>
          <w:szCs w:val="24"/>
        </w:rPr>
      </w:pPr>
      <w:r>
        <w:t>RITENUTO {{assistenza più assistiti}};</w:t>
      </w:r>
    </w:p>
    <w:p w:rsidR="00000000" w:rsidDel="00000000" w:rsidP="00000000" w:rsidRDefault="00000000" w:rsidRPr="00000000" w14:paraId="00000023">
      <w:pPr>
        <w:numPr>
          <w:ilvl w:val="0"/>
          <w:numId w:val="1"/>
        </w:numPr>
        <w:tabs>
          <w:tab w:val="left" w:leader="none" w:pos="4650"/>
          <w:tab w:val="right" w:leader="none" w:pos="10469"/>
        </w:tabs>
        <w:spacing w:line="240" w:lineRule="auto"/>
        <w:ind w:left="360"/>
        <w:jc w:val="both"/>
        <w:rPr>
          <w:rFonts w:ascii="EB Garamond Medium" w:cs="EB Garamond Medium" w:eastAsia="EB Garamond Medium" w:hAnsi="EB Garamond Medium"/>
          <w:sz w:val="24"/>
          <w:szCs w:val="24"/>
        </w:rPr>
      </w:pPr>
      <w:r>
        <w:t>RITENUTO {{subcautelare}};</w:t>
      </w:r>
    </w:p>
    <w:p w:rsidR="00000000" w:rsidDel="00000000" w:rsidP="00000000" w:rsidRDefault="00000000" w:rsidRPr="00000000" w14:paraId="00000024">
      <w:pPr>
        <w:tabs>
          <w:tab w:val="left" w:leader="none" w:pos="4650"/>
          <w:tab w:val="right" w:leader="none" w:pos="10469"/>
        </w:tabs>
        <w:spacing w:line="240" w:lineRule="auto"/>
        <w:ind w:left="0"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25">
      <w:pPr>
        <w:tabs>
          <w:tab w:val="left" w:leader="none" w:pos="4650"/>
          <w:tab w:val="right" w:leader="none" w:pos="10469"/>
        </w:tabs>
        <w:spacing w:line="240" w:lineRule="auto"/>
        <w:ind w:left="0" w:firstLine="0"/>
        <w:jc w:val="both"/>
        <w:rPr>
          <w:rFonts w:ascii="EB Garamond Medium" w:cs="EB Garamond Medium" w:eastAsia="EB Garamond Medium" w:hAnsi="EB Garamond Medium"/>
          <w:sz w:val="24"/>
          <w:szCs w:val="24"/>
        </w:rPr>
      </w:pPr>
      <w:r w:rsidDel="00000000" w:rsidR="00000000" w:rsidRPr="00000000">
        <w:rPr>
          <w:rFonts w:ascii="EB Garamond Medium" w:cs="EB Garamond Medium" w:eastAsia="EB Garamond Medium" w:hAnsi="EB Garamond Medium"/>
          <w:sz w:val="24"/>
          <w:szCs w:val="24"/>
          <w:rtl w:val="0"/>
        </w:rPr>
        <w:t xml:space="preserve">Tanto considerato, si ritiene, pertanto, individuare l’importo da liquidare nel modo seguente:</w:t>
      </w:r>
    </w:p>
    <w:p w:rsidR="00000000" w:rsidDel="00000000" w:rsidP="00000000" w:rsidRDefault="00000000" w:rsidRPr="00000000" w14:paraId="00000026">
      <w:pPr>
        <w:tabs>
          <w:tab w:val="left" w:leader="none" w:pos="4650"/>
          <w:tab w:val="right" w:leader="none" w:pos="10469"/>
        </w:tabs>
        <w:spacing w:line="240" w:lineRule="auto"/>
        <w:ind w:left="0" w:firstLine="0"/>
        <w:jc w:val="both"/>
        <w:rPr>
          <w:rFonts w:ascii="EB Garamond Medium" w:cs="EB Garamond Medium" w:eastAsia="EB Garamond Medium" w:hAnsi="EB Garamond Medium"/>
          <w:sz w:val="24"/>
          <w:szCs w:val="24"/>
        </w:rPr>
      </w:pPr>
      <w:r w:rsidDel="00000000" w:rsidR="00000000" w:rsidRPr="00000000">
        <w:rPr>
          <w:rtl w:val="0"/>
        </w:rPr>
      </w:r>
    </w:p>
    <w:tbl>
      <w:tblPr>
        <w:tblStyle w:val="Table1"/>
        <w:tblW w:w="6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2280"/>
        <w:tblGridChange w:id="0">
          <w:tblGrid>
            <w:gridCol w:w="4050"/>
            <w:gridCol w:w="22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{{importo studio}}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Introduttiva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{{importo introduttiva}}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Istruttoria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{{importo istruttoria}}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Decisionale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{{importo decisionale}}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Totale parziale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 {{importo tot parziale}}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i w:val="1"/>
                <w:iCs w:val="1"/>
                <w:sz w:val="20"/>
                <w:szCs w:val="20"/>
              </w:rPr>
            </w:pPr>
            <w:r w:rsidDel="00000000" w:rsidR="00000000" w:rsidRPr="00000000">
              <w:rPr>
                <w:rFonts w:ascii="EB Garamond" w:cs="EB Garamond" w:eastAsia="EB Garamond" w:hAnsi="EB Garamond"/>
                <w:b w:val="1"/>
                <w:bCs w:val="1"/>
                <w:sz w:val="20"/>
                <w:szCs w:val="20"/>
                <w:rtl w:val="0"/>
              </w:rPr>
              <w:t xml:space="preserve">Riduzione di ⅓ ai sensi dell’art. 106-</w:t>
            </w:r>
            <w:r w:rsidDel="00000000" w:rsidR="00000000" w:rsidRPr="00000000">
              <w:rPr>
                <w:rFonts w:ascii="EB Garamond" w:cs="EB Garamond" w:eastAsia="EB Garamond" w:hAnsi="EB Garamond"/>
                <w:b w:val="1"/>
                <w:bCs w:val="1"/>
                <w:i w:val="1"/>
                <w:iCs w:val="1"/>
                <w:sz w:val="20"/>
                <w:szCs w:val="20"/>
                <w:rtl w:val="0"/>
              </w:rPr>
              <w:t xml:space="preserve">bis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{{rid 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Totale parziale (ridotta come sopra)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 {{importo tot ridotto}}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Rimborso forfetario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{{rimborso}}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Totale aumentato come sopra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 {{totale calcoli}}</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Aumenti dovuti all’assistenza di più parti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 {{Aumenti assistiti}}</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Totale definitivo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sz w:val="20"/>
                <w:szCs w:val="20"/>
                <w:u w:val="single"/>
              </w:rPr>
            </w:pPr>
            <w:r w:rsidDel="00000000" w:rsidR="00000000" w:rsidRPr="00000000">
              <w:rPr>
                <w:rFonts w:ascii="EB Garamond" w:cs="EB Garamond" w:eastAsia="EB Garamond" w:hAnsi="EB Garamond"/>
                <w:b w:val="1"/>
                <w:bCs w:val="1"/>
                <w:sz w:val="20"/>
                <w:szCs w:val="20"/>
                <w:u w:val="single"/>
                <w:rtl w:val="0"/>
              </w:rPr>
              <w:t xml:space="preserve">{{totale finale}}</w:t>
            </w:r>
          </w:p>
        </w:tc>
      </w:tr>
    </w:tbl>
    <w:p w:rsidR="00000000" w:rsidDel="00000000" w:rsidP="00000000" w:rsidRDefault="00000000" w:rsidRPr="00000000" w14:paraId="0000003D">
      <w:pPr>
        <w:tabs>
          <w:tab w:val="left" w:leader="none" w:pos="4650"/>
          <w:tab w:val="right" w:leader="none" w:pos="10469"/>
        </w:tabs>
        <w:spacing w:line="240" w:lineRule="auto"/>
        <w:ind w:left="0" w:firstLine="0"/>
        <w:jc w:val="both"/>
        <w:rPr>
          <w:rFonts w:ascii="EB Garamond Medium" w:cs="EB Garamond Medium" w:eastAsia="EB Garamond Medium" w:hAnsi="EB Garamond Medium"/>
          <w:sz w:val="24"/>
          <w:szCs w:val="24"/>
        </w:rPr>
      </w:pPr>
      <w:r w:rsidDel="00000000" w:rsidR="00000000" w:rsidRPr="00000000">
        <w:rPr>
          <w:rtl w:val="0"/>
        </w:rPr>
      </w:r>
    </w:p>
    <w:p w:rsidR="00000000" w:rsidDel="00000000" w:rsidP="00000000" w:rsidRDefault="00000000" w:rsidRPr="00000000" w14:paraId="0000003E">
      <w:pPr>
        <w:tabs>
          <w:tab w:val="left" w:leader="none" w:pos="4650"/>
          <w:tab w:val="right" w:leader="none" w:pos="10469"/>
        </w:tabs>
        <w:spacing w:after="0" w:before="0" w:line="240" w:lineRule="auto"/>
        <w:ind w:left="0" w:firstLine="0"/>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3F">
      <w:pPr>
        <w:spacing w:after="0" w:before="0" w:line="240" w:lineRule="auto"/>
        <w:ind w:left="360" w:firstLine="0"/>
        <w:jc w:val="center"/>
        <w:rPr>
          <w:rFonts w:ascii="EB Garamond" w:cs="EB Garamond" w:eastAsia="EB Garamond" w:hAnsi="EB Garamond"/>
          <w:b w:val="1"/>
          <w:bCs w:val="1"/>
          <w:sz w:val="26"/>
          <w:szCs w:val="26"/>
          <w:u w:val="single"/>
        </w:rPr>
      </w:pPr>
      <w:r w:rsidDel="00000000" w:rsidR="00000000" w:rsidRPr="00000000">
        <w:rPr>
          <w:rFonts w:ascii="EB Garamond" w:cs="EB Garamond" w:eastAsia="EB Garamond" w:hAnsi="EB Garamond"/>
          <w:b w:val="1"/>
          <w:bCs w:val="1"/>
          <w:sz w:val="26"/>
          <w:szCs w:val="26"/>
          <w:u w:val="single"/>
          <w:rtl w:val="0"/>
        </w:rPr>
        <w:t xml:space="preserve">P.Q.M.</w:t>
      </w:r>
    </w:p>
    <w:p w:rsidR="00000000" w:rsidDel="00000000" w:rsidP="00000000" w:rsidRDefault="00000000" w:rsidRPr="00000000" w14:paraId="00000040">
      <w:pPr>
        <w:spacing w:after="0" w:before="0" w:line="240" w:lineRule="auto"/>
        <w:ind w:left="360" w:firstLine="0"/>
        <w:jc w:val="center"/>
        <w:rPr>
          <w:rFonts w:ascii="EB Garamond" w:cs="EB Garamond" w:eastAsia="EB Garamond" w:hAnsi="EB Garamond"/>
          <w:b w:val="1"/>
          <w:bCs w:val="1"/>
          <w:u w:val="single"/>
        </w:rPr>
      </w:pPr>
      <w:r w:rsidDel="00000000" w:rsidR="00000000" w:rsidRPr="00000000">
        <w:rPr>
          <w:rtl w:val="0"/>
        </w:rPr>
      </w:r>
    </w:p>
    <w:p w:rsidR="00000000" w:rsidDel="00000000" w:rsidP="00000000" w:rsidRDefault="00000000" w:rsidRPr="00000000" w14:paraId="00000041">
      <w:pPr>
        <w:spacing w:after="0" w:before="0" w:line="240" w:lineRule="auto"/>
        <w:ind w:left="0" w:firstLine="0"/>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liquida, in favore dall’{{avvocato}}, in qualità di difensore d’ufficio di {{assistito}}, imputato nel procedimento indicato in epigrafe, la somma complessiva di </w:t>
      </w:r>
      <w:r w:rsidDel="00000000" w:rsidR="00000000" w:rsidRPr="00000000">
        <w:rPr>
          <w:rFonts w:ascii="EB Garamond" w:cs="EB Garamond" w:eastAsia="EB Garamond" w:hAnsi="EB Garamond"/>
          <w:b w:val="1"/>
          <w:bCs w:val="1"/>
          <w:color w:val="ff0000"/>
          <w:rtl w:val="0"/>
        </w:rPr>
        <w:t xml:space="preserve">Euro {{totale finale}}</w:t>
      </w:r>
      <w:r w:rsidDel="00000000" w:rsidR="00000000" w:rsidRPr="00000000">
        <w:rPr>
          <w:rFonts w:ascii="EB Garamond" w:cs="EB Garamond" w:eastAsia="EB Garamond" w:hAnsi="EB Garamond"/>
          <w:b w:val="1"/>
          <w:bCs w:val="1"/>
          <w:rtl w:val="0"/>
        </w:rPr>
        <w:t xml:space="preserve">, oltre al 4% per contributo previdenziale forense, da calcolarsi sull’importo totale appena indicato, ed al 22% per I.V.A., da calcolarsi sul totale degli onorari, delle spese e del contributo previdenziale. </w:t>
      </w:r>
    </w:p>
    <w:p w:rsidR="00000000" w:rsidDel="00000000" w:rsidP="00000000" w:rsidRDefault="00000000" w:rsidRPr="00000000" w14:paraId="00000042">
      <w:pPr>
        <w:numPr>
          <w:ilvl w:val="0"/>
          <w:numId w:val="4"/>
        </w:numPr>
        <w:spacing w:after="0" w:before="0" w:line="240" w:lineRule="auto"/>
        <w:ind w:left="720" w:hanging="360"/>
        <w:jc w:val="both"/>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Pone la detta somma provvisoriamente a carico dello Stato, salvo recupero, e delega la Cancelleria all’emissione del relativo mandato.</w:t>
      </w:r>
    </w:p>
    <w:p w:rsidR="00000000" w:rsidDel="00000000" w:rsidP="00000000" w:rsidRDefault="00000000" w:rsidRPr="00000000" w14:paraId="00000043">
      <w:pPr>
        <w:numPr>
          <w:ilvl w:val="0"/>
          <w:numId w:val="4"/>
        </w:numPr>
        <w:spacing w:after="0" w:before="0" w:line="240" w:lineRule="auto"/>
        <w:ind w:left="720" w:hanging="360"/>
        <w:jc w:val="both"/>
        <w:rPr>
          <w:rFonts w:ascii="EB Garamond Medium" w:cs="EB Garamond Medium" w:eastAsia="EB Garamond Medium" w:hAnsi="EB Garamond Medium"/>
          <w:u w:val="none"/>
        </w:rPr>
      </w:pPr>
      <w:r w:rsidDel="00000000" w:rsidR="00000000" w:rsidRPr="00000000">
        <w:rPr>
          <w:rFonts w:ascii="EB Garamond Medium" w:cs="EB Garamond Medium" w:eastAsia="EB Garamond Medium" w:hAnsi="EB Garamond Medium"/>
          <w:rtl w:val="0"/>
        </w:rPr>
        <w:t xml:space="preserve">Manda alla Cancelleria per gli adempimenti di rito.</w:t>
      </w:r>
    </w:p>
    <w:p w:rsidR="00000000" w:rsidDel="00000000" w:rsidP="00000000" w:rsidRDefault="00000000" w:rsidRPr="00000000" w14:paraId="00000044">
      <w:pPr>
        <w:spacing w:after="0" w:before="0" w:line="240" w:lineRule="auto"/>
        <w:ind w:left="360" w:firstLine="0"/>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5">
      <w:pPr>
        <w:spacing w:after="0" w:before="0" w:line="240" w:lineRule="auto"/>
        <w:ind w:left="0" w:firstLine="0"/>
        <w:jc w:val="both"/>
        <w:rPr>
          <w:rFonts w:ascii="EB Garamond Medium" w:cs="EB Garamond Medium" w:eastAsia="EB Garamond Medium" w:hAnsi="EB Garamond Medium"/>
          <w:sz w:val="20"/>
          <w:szCs w:val="20"/>
        </w:rPr>
      </w:pPr>
      <w:r w:rsidDel="00000000" w:rsidR="00000000" w:rsidRPr="00000000">
        <w:rPr>
          <w:rFonts w:ascii="EB Garamond Medium" w:cs="EB Garamond Medium" w:eastAsia="EB Garamond Medium" w:hAnsi="EB Garamond Medium"/>
          <w:sz w:val="20"/>
          <w:szCs w:val="20"/>
          <w:rtl w:val="0"/>
        </w:rPr>
        <w:t xml:space="preserve">Le parti sono espressamente avvisate che avverso il presente decreto è possibile proporre opposizione al Presidente del Tribunale (</w:t>
      </w:r>
      <w:r w:rsidDel="00000000" w:rsidR="00000000" w:rsidRPr="00000000">
        <w:rPr>
          <w:rFonts w:ascii="EB Garamond Medium" w:cs="EB Garamond Medium" w:eastAsia="EB Garamond Medium" w:hAnsi="EB Garamond Medium"/>
          <w:i w:val="1"/>
          <w:iCs w:val="1"/>
          <w:sz w:val="20"/>
          <w:szCs w:val="20"/>
          <w:rtl w:val="0"/>
        </w:rPr>
        <w:t xml:space="preserve">ex </w:t>
      </w:r>
      <w:r w:rsidDel="00000000" w:rsidR="00000000" w:rsidRPr="00000000">
        <w:rPr>
          <w:rFonts w:ascii="EB Garamond Medium" w:cs="EB Garamond Medium" w:eastAsia="EB Garamond Medium" w:hAnsi="EB Garamond Medium"/>
          <w:sz w:val="20"/>
          <w:szCs w:val="20"/>
          <w:rtl w:val="0"/>
        </w:rPr>
        <w:t xml:space="preserve">artt. 84 e 170 d.P.R. n. 115/2002; art. 15, D.lgs. n. 150/2011), entro 30 giorni decorrenti dalla data odierna (in caso di decreto letto in udienza) o dalla data della notifica.</w:t>
      </w:r>
    </w:p>
    <w:p w:rsidR="00000000" w:rsidDel="00000000" w:rsidP="00000000" w:rsidRDefault="00000000" w:rsidRPr="00000000" w14:paraId="00000046">
      <w:pPr>
        <w:spacing w:after="0" w:before="0" w:line="240" w:lineRule="auto"/>
        <w:ind w:left="0" w:firstLine="0"/>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7">
      <w:pPr>
        <w:spacing w:after="0" w:before="0" w:line="240" w:lineRule="auto"/>
        <w:ind w:left="0" w:firstLine="0"/>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8">
      <w:pPr>
        <w:spacing w:after="0" w:before="0" w:line="240" w:lineRule="auto"/>
        <w:ind w:left="360" w:firstLine="0"/>
        <w:jc w:val="both"/>
        <w:rPr>
          <w:rFonts w:ascii="EB Garamond Medium" w:cs="EB Garamond Medium" w:eastAsia="EB Garamond Medium" w:hAnsi="EB Garamond Medium"/>
        </w:rPr>
      </w:pPr>
      <w:r w:rsidDel="00000000" w:rsidR="00000000" w:rsidRPr="00000000">
        <w:rPr>
          <w:rFonts w:ascii="EB Garamond Medium" w:cs="EB Garamond Medium" w:eastAsia="EB Garamond Medium" w:hAnsi="EB Garamond Medium"/>
          <w:rtl w:val="0"/>
        </w:rPr>
        <w:t xml:space="preserve">Brindisi, _____________</w:t>
      </w:r>
    </w:p>
    <w:p w:rsidR="00000000" w:rsidDel="00000000" w:rsidP="00000000" w:rsidRDefault="00000000" w:rsidRPr="00000000" w14:paraId="00000049">
      <w:pPr>
        <w:spacing w:after="0" w:before="0" w:line="240" w:lineRule="auto"/>
        <w:ind w:left="360" w:firstLine="0"/>
        <w:jc w:val="both"/>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A">
      <w:pPr>
        <w:spacing w:after="0" w:before="0" w:line="240" w:lineRule="auto"/>
        <w:jc w:val="right"/>
        <w:rPr>
          <w:rFonts w:ascii="EB Garamond" w:cs="EB Garamond" w:eastAsia="EB Garamond" w:hAnsi="EB Garamond"/>
          <w:b w:val="1"/>
          <w:bCs w:val="1"/>
        </w:rPr>
      </w:pPr>
      <w:r w:rsidDel="00000000" w:rsidR="00000000" w:rsidRPr="00000000">
        <w:rPr>
          <w:rFonts w:ascii="EB Garamond Medium" w:cs="EB Garamond Medium" w:eastAsia="EB Garamond Medium" w:hAnsi="EB Garamond Medium"/>
          <w:rtl w:val="0"/>
        </w:rPr>
        <w:t xml:space="preserve">                                                                                             </w:t>
      </w:r>
      <w:r w:rsidDel="00000000" w:rsidR="00000000" w:rsidRPr="00000000">
        <w:rPr>
          <w:rFonts w:ascii="EB Garamond" w:cs="EB Garamond" w:eastAsia="EB Garamond" w:hAnsi="EB Garamond"/>
          <w:b w:val="1"/>
          <w:bCs w:val="1"/>
          <w:rtl w:val="0"/>
        </w:rPr>
        <w:t xml:space="preserve"> Il Giudice</w:t>
      </w:r>
    </w:p>
    <w:p w:rsidR="00000000" w:rsidDel="00000000" w:rsidP="00000000" w:rsidRDefault="00000000" w:rsidRPr="00000000" w14:paraId="0000004B">
      <w:pPr>
        <w:spacing w:after="0" w:before="0" w:line="240" w:lineRule="auto"/>
        <w:jc w:val="righ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                                                                                                                                  </w:t>
      </w:r>
      <w:r w:rsidDel="00000000" w:rsidR="00000000" w:rsidRPr="00000000">
        <w:rPr>
          <w:rFonts w:ascii="EB Garamond" w:cs="EB Garamond" w:eastAsia="EB Garamond" w:hAnsi="EB Garamond"/>
          <w:b w:val="1"/>
          <w:bCs w:val="1"/>
          <w:i w:val="1"/>
          <w:iCs w:val="1"/>
          <w:rtl w:val="0"/>
        </w:rPr>
        <w:t xml:space="preserve">{{giudice}}</w:t>
      </w:r>
      <w:r w:rsidDel="00000000" w:rsidR="00000000" w:rsidRPr="00000000">
        <w:rPr>
          <w:rtl w:val="0"/>
        </w:rPr>
      </w:r>
    </w:p>
    <w:p w:rsidR="00000000" w:rsidDel="00000000" w:rsidP="00000000" w:rsidRDefault="00000000" w:rsidRPr="00000000" w14:paraId="0000004C">
      <w:pPr>
        <w:spacing w:after="0" w:before="0" w:line="240" w:lineRule="auto"/>
        <w:rPr>
          <w:rFonts w:ascii="EB Garamond Medium" w:cs="EB Garamond Medium" w:eastAsia="EB Garamond Medium" w:hAnsi="EB Garamond Medium"/>
        </w:rPr>
      </w:pPr>
      <w:r w:rsidDel="00000000" w:rsidR="00000000" w:rsidRPr="00000000">
        <w:rPr>
          <w:rtl w:val="0"/>
        </w:rPr>
      </w:r>
    </w:p>
    <w:p w:rsidR="00000000" w:rsidDel="00000000" w:rsidP="00000000" w:rsidRDefault="00000000" w:rsidRPr="00000000" w14:paraId="0000004D">
      <w:pPr>
        <w:spacing w:after="0" w:before="0" w:line="240" w:lineRule="auto"/>
        <w:rPr>
          <w:rFonts w:ascii="EB Garamond" w:cs="EB Garamond" w:eastAsia="EB Garamond" w:hAnsi="EB Garamond"/>
          <w:b w:val="1"/>
          <w:bCs w:val="1"/>
          <w:shd w:fill="d9d9d9" w:val="clear"/>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776"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56" w:hanging="360"/>
      </w:pPr>
      <w:rPr>
        <w:u w:val="none"/>
      </w:rPr>
    </w:lvl>
    <w:lvl w:ilvl="1">
      <w:start w:val="1"/>
      <w:numFmt w:val="decimal"/>
      <w:lvlText w:val="%2)"/>
      <w:lvlJc w:val="left"/>
      <w:pPr>
        <w:ind w:left="2112" w:hanging="360"/>
      </w:pPr>
      <w:rPr>
        <w:u w:val="none"/>
      </w:rPr>
    </w:lvl>
    <w:lvl w:ilvl="2">
      <w:start w:val="1"/>
      <w:numFmt w:val="bullet"/>
      <w:lvlText w:val="▪"/>
      <w:lvlJc w:val="left"/>
      <w:pPr>
        <w:ind w:left="2496" w:hanging="360"/>
      </w:pPr>
      <w:rPr>
        <w:u w:val="none"/>
      </w:rPr>
    </w:lvl>
    <w:lvl w:ilvl="3">
      <w:start w:val="1"/>
      <w:numFmt w:val="bullet"/>
      <w:lvlText w:val="●"/>
      <w:lvlJc w:val="left"/>
      <w:pPr>
        <w:ind w:left="3216" w:hanging="360"/>
      </w:pPr>
      <w:rPr>
        <w:u w:val="none"/>
      </w:rPr>
    </w:lvl>
    <w:lvl w:ilvl="4">
      <w:start w:val="1"/>
      <w:numFmt w:val="bullet"/>
      <w:lvlText w:val="o"/>
      <w:lvlJc w:val="left"/>
      <w:pPr>
        <w:ind w:left="3936" w:hanging="360"/>
      </w:pPr>
      <w:rPr>
        <w:u w:val="none"/>
      </w:rPr>
    </w:lvl>
    <w:lvl w:ilvl="5">
      <w:start w:val="1"/>
      <w:numFmt w:val="bullet"/>
      <w:lvlText w:val="▪"/>
      <w:lvlJc w:val="left"/>
      <w:pPr>
        <w:ind w:left="4656" w:hanging="360"/>
      </w:pPr>
      <w:rPr>
        <w:u w:val="none"/>
      </w:rPr>
    </w:lvl>
    <w:lvl w:ilvl="6">
      <w:start w:val="1"/>
      <w:numFmt w:val="bullet"/>
      <w:lvlText w:val="●"/>
      <w:lvlJc w:val="left"/>
      <w:pPr>
        <w:ind w:left="5376" w:hanging="360"/>
      </w:pPr>
      <w:rPr>
        <w:u w:val="none"/>
      </w:rPr>
    </w:lvl>
    <w:lvl w:ilvl="7">
      <w:start w:val="1"/>
      <w:numFmt w:val="bullet"/>
      <w:lvlText w:val="o"/>
      <w:lvlJc w:val="left"/>
      <w:pPr>
        <w:ind w:left="6096" w:hanging="360"/>
      </w:pPr>
      <w:rPr>
        <w:u w:val="none"/>
      </w:rPr>
    </w:lvl>
    <w:lvl w:ilvl="8">
      <w:start w:val="1"/>
      <w:numFmt w:val="bullet"/>
      <w:lvlText w:val="▪"/>
      <w:lvlJc w:val="left"/>
      <w:pPr>
        <w:ind w:left="6816" w:hanging="360"/>
      </w:pPr>
      <w:rPr>
        <w:u w:val="none"/>
      </w:rPr>
    </w:lvl>
  </w:abstractNum>
  <w:abstractNum w:abstractNumId="6">
    <w:lvl w:ilvl="0">
      <w:start w:val="1"/>
      <w:numFmt w:val="decimal"/>
      <w:lvlText w:val="%1)"/>
      <w:lvlJc w:val="left"/>
      <w:pPr>
        <w:ind w:left="1776" w:hanging="360"/>
      </w:pPr>
      <w:rPr>
        <w:u w:val="none"/>
      </w:rPr>
    </w:lvl>
    <w:lvl w:ilvl="1">
      <w:start w:val="1"/>
      <w:numFmt w:val="lowerLetter"/>
      <w:lvlText w:val="%2."/>
      <w:lvlJc w:val="left"/>
      <w:pPr>
        <w:ind w:left="2496" w:hanging="360"/>
      </w:pPr>
      <w:rPr>
        <w:u w:val="none"/>
      </w:rPr>
    </w:lvl>
    <w:lvl w:ilvl="2">
      <w:start w:val="1"/>
      <w:numFmt w:val="lowerRoman"/>
      <w:lvlText w:val="%3."/>
      <w:lvlJc w:val="right"/>
      <w:pPr>
        <w:ind w:left="3216" w:hanging="180"/>
      </w:pPr>
      <w:rPr>
        <w:u w:val="none"/>
      </w:rPr>
    </w:lvl>
    <w:lvl w:ilvl="3">
      <w:start w:val="1"/>
      <w:numFmt w:val="decimal"/>
      <w:lvlText w:val="%4."/>
      <w:lvlJc w:val="left"/>
      <w:pPr>
        <w:ind w:left="3936" w:hanging="360"/>
      </w:pPr>
      <w:rPr>
        <w:u w:val="none"/>
      </w:rPr>
    </w:lvl>
    <w:lvl w:ilvl="4">
      <w:start w:val="1"/>
      <w:numFmt w:val="lowerLetter"/>
      <w:lvlText w:val="%5."/>
      <w:lvlJc w:val="left"/>
      <w:pPr>
        <w:ind w:left="4656" w:hanging="360"/>
      </w:pPr>
      <w:rPr>
        <w:u w:val="none"/>
      </w:rPr>
    </w:lvl>
    <w:lvl w:ilvl="5">
      <w:start w:val="1"/>
      <w:numFmt w:val="lowerRoman"/>
      <w:lvlText w:val="%6."/>
      <w:lvlJc w:val="right"/>
      <w:pPr>
        <w:ind w:left="5376" w:hanging="180"/>
      </w:pPr>
      <w:rPr>
        <w:u w:val="none"/>
      </w:rPr>
    </w:lvl>
    <w:lvl w:ilvl="6">
      <w:start w:val="1"/>
      <w:numFmt w:val="decimal"/>
      <w:lvlText w:val="%7."/>
      <w:lvlJc w:val="left"/>
      <w:pPr>
        <w:ind w:left="6096" w:hanging="360"/>
      </w:pPr>
      <w:rPr>
        <w:u w:val="none"/>
      </w:rPr>
    </w:lvl>
    <w:lvl w:ilvl="7">
      <w:start w:val="1"/>
      <w:numFmt w:val="lowerLetter"/>
      <w:lvlText w:val="%8."/>
      <w:lvlJc w:val="left"/>
      <w:pPr>
        <w:ind w:left="6816" w:hanging="360"/>
      </w:pPr>
      <w:rPr>
        <w:u w:val="none"/>
      </w:rPr>
    </w:lvl>
    <w:lvl w:ilvl="8">
      <w:start w:val="1"/>
      <w:numFmt w:val="lowerRoman"/>
      <w:lvlText w:val="%9."/>
      <w:lvlJc w:val="right"/>
      <w:pPr>
        <w:ind w:left="7536"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EBGaramond-regular.ttf"/><Relationship Id="rId12" Type="http://schemas.openxmlformats.org/officeDocument/2006/relationships/font" Target="fonts/Montserrat-boldItalic.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Montserrat-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