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}} kW </w:t>
      </w:r>
    </w:p>
    <w:p w14:paraId="2AABCF05" w14:textId="137C6146" w:rsidR="00E17BED" w:rsidRDefault="00727203" w:rsidP="00727203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bookmarkStart w:id="0" w:name="_Hlk200400301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E Colonnina di Ricarica</w:t>
      </w:r>
      <w:bookmarkEnd w:id="0"/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15AB3940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1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1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9A66AD1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5D333F4A" w14:textId="6A1A0527" w:rsidR="00727203" w:rsidRDefault="000D742E" w:rsidP="00727203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7703AE27" w14:textId="4C4BF2EB" w:rsidR="00727203" w:rsidRPr="00727203" w:rsidRDefault="00727203" w:rsidP="00727203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904757">
        <w:rPr>
          <w:rFonts w:ascii="Poppins" w:hAnsi="Poppins" w:cs="Poppins"/>
          <w:iCs/>
          <w:sz w:val="24"/>
          <w:szCs w:val="24"/>
        </w:rPr>
        <w:t>COLONNINA DI RICARICA</w:t>
      </w:r>
      <w:r>
        <w:rPr>
          <w:rFonts w:ascii="Poppins" w:hAnsi="Poppins" w:cs="Poppins"/>
          <w:iCs/>
          <w:sz w:val="24"/>
          <w:szCs w:val="24"/>
        </w:rPr>
        <w:t xml:space="preserve"> da 7,7 kW in monofase con App e card fisiche RFID per autorizzare la ricarica.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56F45D15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5C5F9A3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B377B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666F4C47" w14:textId="611CD703" w:rsidR="00A63077" w:rsidRPr="00727203" w:rsidRDefault="000D742E" w:rsidP="00E17BE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1936EDAF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B03477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B03477">
        <w:rPr>
          <w:rFonts w:cs="Poppins"/>
          <w:b/>
          <w:sz w:val="32"/>
          <w:szCs w:val="28"/>
          <w:lang w:eastAsia="it-IT"/>
        </w:rPr>
        <w:t>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727203">
        <w:rPr>
          <w:rFonts w:cs="Poppins"/>
          <w:b/>
          <w:sz w:val="32"/>
          <w:szCs w:val="28"/>
          <w:lang w:eastAsia="it-IT"/>
        </w:rPr>
        <w:t xml:space="preserve"> e Colonnina di Ricarica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5F656B22" w14:textId="61DB610A" w:rsidR="00EC0E70" w:rsidRPr="00EC0E70" w:rsidRDefault="00EC0E70" w:rsidP="00EC0E7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A8751" w14:textId="77777777" w:rsidR="002C4DCD" w:rsidRDefault="002C4DCD">
      <w:pPr>
        <w:spacing w:after="0" w:line="240" w:lineRule="auto"/>
      </w:pPr>
      <w:r>
        <w:separator/>
      </w:r>
    </w:p>
  </w:endnote>
  <w:endnote w:type="continuationSeparator" w:id="0">
    <w:p w14:paraId="241D428B" w14:textId="77777777" w:rsidR="002C4DCD" w:rsidRDefault="002C4DCD">
      <w:pPr>
        <w:spacing w:after="0" w:line="240" w:lineRule="auto"/>
      </w:pPr>
      <w:r>
        <w:continuationSeparator/>
      </w:r>
    </w:p>
  </w:endnote>
  <w:endnote w:type="continuationNotice" w:id="1">
    <w:p w14:paraId="284D0362" w14:textId="77777777" w:rsidR="002C4DCD" w:rsidRDefault="002C4D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61FA3" w14:textId="77777777" w:rsidR="002C4DCD" w:rsidRDefault="002C4DCD">
      <w:pPr>
        <w:spacing w:after="0" w:line="240" w:lineRule="auto"/>
      </w:pPr>
      <w:r>
        <w:separator/>
      </w:r>
    </w:p>
  </w:footnote>
  <w:footnote w:type="continuationSeparator" w:id="0">
    <w:p w14:paraId="4E1E85EB" w14:textId="77777777" w:rsidR="002C4DCD" w:rsidRDefault="002C4DCD">
      <w:pPr>
        <w:spacing w:after="0" w:line="240" w:lineRule="auto"/>
      </w:pPr>
      <w:r>
        <w:continuationSeparator/>
      </w:r>
    </w:p>
  </w:footnote>
  <w:footnote w:type="continuationNotice" w:id="1">
    <w:p w14:paraId="39EA6440" w14:textId="77777777" w:rsidR="002C4DCD" w:rsidRDefault="002C4D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3E727B40">
          <wp:simplePos x="0" y="0"/>
          <wp:positionH relativeFrom="column">
            <wp:posOffset>3810</wp:posOffset>
          </wp:positionH>
          <wp:positionV relativeFrom="paragraph">
            <wp:posOffset>-94302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26.5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4DCD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6F7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03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2A58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1EA2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721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077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377BA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99E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C11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0E70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E6344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167</cp:revision>
  <cp:lastPrinted>2024-05-17T11:26:00Z</cp:lastPrinted>
  <dcterms:created xsi:type="dcterms:W3CDTF">2023-11-06T18:25:00Z</dcterms:created>
  <dcterms:modified xsi:type="dcterms:W3CDTF">2025-06-09T20:29:00Z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