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Xaa40b062fdcac3b8b4bd0a99734c0a370c13b95"/>
    <w:p>
      <w:pPr>
        <w:pStyle w:val="Heading1"/>
      </w:pPr>
      <w:r>
        <w:t xml:space="preserve">Gresham’s Law Goes Digital: How Competing Stablecoins Will Destroy Monetary Control</w:t>
      </w:r>
    </w:p>
    <w:p>
      <w:pPr>
        <w:pStyle w:val="FirstParagraph"/>
      </w:pPr>
      <w:r>
        <w:rPr>
          <w:bCs/>
          <w:b/>
        </w:rPr>
        <w:t xml:space="preserve">Part 4 of 8:</w:t>
      </w:r>
      <w:r>
        <w:rPr>
          <w:bCs/>
          <w:b/>
        </w:rPr>
        <w:t xml:space="preserve"> </w:t>
      </w:r>
      <w:r>
        <w:rPr>
          <w:bCs/>
          <w:b/>
        </w:rPr>
        <w:t xml:space="preserve">“</w:t>
      </w:r>
      <w:r>
        <w:rPr>
          <w:bCs/>
          <w:b/>
        </w:rPr>
        <w:t xml:space="preserve">The Case for the Singleness of Money</w:t>
      </w:r>
      <w:r>
        <w:rPr>
          <w:bCs/>
          <w:b/>
        </w:rPr>
        <w:t xml:space="preserve">”</w:t>
      </w:r>
    </w:p>
    <w:bookmarkStart w:id="20" w:name="previously-in-this-series"/>
    <w:p>
      <w:pPr>
        <w:pStyle w:val="Heading2"/>
      </w:pPr>
      <w:r>
        <w:t xml:space="preserve">Previously in This Series</w:t>
      </w:r>
    </w:p>
    <w:p>
      <w:pPr>
        <w:pStyle w:val="FirstParagraph"/>
      </w:pPr>
      <w:r>
        <w:t xml:space="preserve">Last week, we examined the technical barriers that historically prevented yield-bearing bonds from being used as currency. We saw how detachable coupons, redemption complexity, and divisibility problems made bonds impractical for transactions. These barriers protected monetary singularity for centuries.</w:t>
      </w:r>
    </w:p>
    <w:p>
      <w:pPr>
        <w:pStyle w:val="BodyText"/>
      </w:pPr>
      <w:r>
        <w:t xml:space="preserve">But technology has eliminated these barriers. Digital assets can be divided infinitely, settled instantly, and verified cryptographically. When the GENIUS Act is inevitably modified to allow yield pass-through on stablecoins—a change expected within 18-24 months—the last technical barrier will fall.</w:t>
      </w:r>
    </w:p>
    <w:p>
      <w:pPr>
        <w:pStyle w:val="BodyText"/>
      </w:pPr>
      <w:r>
        <w:t xml:space="preserve">This week, we examine what will happen next. We look at projected scenarios from industry analysts and economists. And we see how Gresham’s Law will operate in real-time in a digital, yield-bearing currency system.</w:t>
      </w:r>
    </w:p>
    <w:bookmarkEnd w:id="20"/>
    <w:bookmarkStart w:id="21" w:name="the-genius-act-modification"/>
    <w:p>
      <w:pPr>
        <w:pStyle w:val="Heading2"/>
      </w:pPr>
      <w:r>
        <w:t xml:space="preserve">The GENIUS Act Modification</w:t>
      </w:r>
    </w:p>
    <w:p>
      <w:pPr>
        <w:pStyle w:val="FirstParagraph"/>
      </w:pPr>
      <w:r>
        <w:t xml:space="preserve">The GENIUS Act (Generating Equitable New Institutional Unified Stablecoin) was designed to create a regulatory framework for stablecoins in the United States. Currently, it prohibits yield pass-through—stablecoins cannot pay interest to holders.</w:t>
      </w:r>
    </w:p>
    <w:p>
      <w:pPr>
        <w:pStyle w:val="BodyText"/>
      </w:pPr>
      <w:r>
        <w:t xml:space="preserve">But this prohibition will inevitably be modified. Industry pressure is mounting from stablecoin issuers, financial institutions, and international competitors. Regulators and policy experts expect the modification within the next 18-24 months. When it happens, stablecoin issuers will be permitted to offer yield to holders, provided certain conditions are met.</w:t>
      </w:r>
    </w:p>
    <w:p>
      <w:pPr>
        <w:pStyle w:val="BodyText"/>
      </w:pPr>
      <w:r>
        <w:t xml:space="preserve">The stated rationale will be compelling:</w:t>
      </w:r>
      <w:r>
        <w:t xml:space="preserve"> </w:t>
      </w:r>
      <w:r>
        <w:t xml:space="preserve">“</w:t>
      </w:r>
      <w:r>
        <w:t xml:space="preserve">Why shouldn’t stablecoin holders earn yield? Why should they be disadvantaged compared to bank depositors? This is financial inclusion. This is innovation.</w:t>
      </w:r>
      <w:r>
        <w:t xml:space="preserve">”</w:t>
      </w:r>
    </w:p>
    <w:p>
      <w:pPr>
        <w:pStyle w:val="BodyText"/>
      </w:pPr>
      <w:r>
        <w:t xml:space="preserve">When this technical change occurs, it will be a monetary catastrophe.</w:t>
      </w:r>
    </w:p>
    <w:bookmarkEnd w:id="21"/>
    <w:bookmarkStart w:id="23" w:name="the-experiment-begins"/>
    <w:p>
      <w:pPr>
        <w:pStyle w:val="Heading2"/>
      </w:pPr>
      <w:r>
        <w:t xml:space="preserve">The Experiment Begins</w:t>
      </w:r>
    </w:p>
    <w:p>
      <w:pPr>
        <w:pStyle w:val="FirstParagraph"/>
      </w:pPr>
      <w:r>
        <w:t xml:space="preserve">Once yield is permitted, multiple stablecoin issuers will enter the market. Each will compete for market share by offering higher yields. Let’s trace through a realistic scenario:</w:t>
      </w:r>
    </w:p>
    <w:bookmarkStart w:id="22" w:name="the-competitors"/>
    <w:p>
      <w:pPr>
        <w:pStyle w:val="Heading3"/>
      </w:pPr>
      <w:r>
        <w:t xml:space="preserve">The Competitors</w:t>
      </w:r>
    </w:p>
    <w:p>
      <w:pPr>
        <w:pStyle w:val="FirstParagraph"/>
      </w:pPr>
      <w:r>
        <w:rPr>
          <w:bCs/>
          <w:b/>
        </w:rPr>
        <w:t xml:space="preserve">Issuer A -</w:t>
      </w:r>
      <w:r>
        <w:rPr>
          <w:bCs/>
          <w:b/>
        </w:rPr>
        <w:t xml:space="preserve"> </w:t>
      </w:r>
      <w:r>
        <w:rPr>
          <w:bCs/>
          <w:b/>
        </w:rPr>
        <w:t xml:space="preserve">“</w:t>
      </w:r>
      <w:r>
        <w:rPr>
          <w:bCs/>
          <w:b/>
        </w:rPr>
        <w:t xml:space="preserve">StableUSD Classic</w:t>
      </w:r>
      <w:r>
        <w:rPr>
          <w:bCs/>
          <w:b/>
        </w:rPr>
        <w:t xml:space="preserve">”</w:t>
      </w:r>
      <w:r>
        <w:t xml:space="preserve"> </w:t>
      </w:r>
      <w:r>
        <w:t xml:space="preserve">- Yield: 0.5%</w:t>
      </w:r>
      <w:r>
        <w:t xml:space="preserve"> </w:t>
      </w:r>
      <w:r>
        <w:t xml:space="preserve">- Settlement: 24/7</w:t>
      </w:r>
      <w:r>
        <w:t xml:space="preserve"> </w:t>
      </w:r>
      <w:r>
        <w:t xml:space="preserve">- Regulatory Status: Fully compliant</w:t>
      </w:r>
      <w:r>
        <w:t xml:space="preserve"> </w:t>
      </w:r>
      <w:r>
        <w:t xml:space="preserve">- Backing: US Treasury securities</w:t>
      </w:r>
      <w:r>
        <w:t xml:space="preserve"> </w:t>
      </w:r>
      <w:r>
        <w:t xml:space="preserve">- Market Share (projected): 15%</w:t>
      </w:r>
    </w:p>
    <w:p>
      <w:pPr>
        <w:pStyle w:val="BodyText"/>
      </w:pPr>
      <w:r>
        <w:rPr>
          <w:bCs/>
          <w:b/>
        </w:rPr>
        <w:t xml:space="preserve">Issuer B -</w:t>
      </w:r>
      <w:r>
        <w:rPr>
          <w:bCs/>
          <w:b/>
        </w:rPr>
        <w:t xml:space="preserve"> </w:t>
      </w:r>
      <w:r>
        <w:rPr>
          <w:bCs/>
          <w:b/>
        </w:rPr>
        <w:t xml:space="preserve">“</w:t>
      </w:r>
      <w:r>
        <w:rPr>
          <w:bCs/>
          <w:b/>
        </w:rPr>
        <w:t xml:space="preserve">DollarFlow</w:t>
      </w:r>
      <w:r>
        <w:rPr>
          <w:bCs/>
          <w:b/>
        </w:rPr>
        <w:t xml:space="preserve">”</w:t>
      </w:r>
      <w:r>
        <w:t xml:space="preserve"> </w:t>
      </w:r>
      <w:r>
        <w:t xml:space="preserve">- Yield: 2.1%</w:t>
      </w:r>
      <w:r>
        <w:t xml:space="preserve"> </w:t>
      </w:r>
      <w:r>
        <w:t xml:space="preserve">- Settlement: 24/7</w:t>
      </w:r>
      <w:r>
        <w:t xml:space="preserve"> </w:t>
      </w:r>
      <w:r>
        <w:t xml:space="preserve">- Regulatory Status: Fully compliant</w:t>
      </w:r>
      <w:r>
        <w:t xml:space="preserve"> </w:t>
      </w:r>
      <w:r>
        <w:t xml:space="preserve">- Backing: US Treasury securities</w:t>
      </w:r>
      <w:r>
        <w:t xml:space="preserve"> </w:t>
      </w:r>
      <w:r>
        <w:t xml:space="preserve">- Market Share (projected): 18%</w:t>
      </w:r>
    </w:p>
    <w:p>
      <w:pPr>
        <w:pStyle w:val="BodyText"/>
      </w:pPr>
      <w:r>
        <w:rPr>
          <w:bCs/>
          <w:b/>
        </w:rPr>
        <w:t xml:space="preserve">Issuer C -</w:t>
      </w:r>
      <w:r>
        <w:rPr>
          <w:bCs/>
          <w:b/>
        </w:rPr>
        <w:t xml:space="preserve"> </w:t>
      </w:r>
      <w:r>
        <w:rPr>
          <w:bCs/>
          <w:b/>
        </w:rPr>
        <w:t xml:space="preserve">“</w:t>
      </w:r>
      <w:r>
        <w:rPr>
          <w:bCs/>
          <w:b/>
        </w:rPr>
        <w:t xml:space="preserve">YieldDollar</w:t>
      </w:r>
      <w:r>
        <w:rPr>
          <w:bCs/>
          <w:b/>
        </w:rPr>
        <w:t xml:space="preserve">”</w:t>
      </w:r>
      <w:r>
        <w:t xml:space="preserve"> </w:t>
      </w:r>
      <w:r>
        <w:t xml:space="preserve">- Yield: 3.8%</w:t>
      </w:r>
      <w:r>
        <w:t xml:space="preserve"> </w:t>
      </w:r>
      <w:r>
        <w:t xml:space="preserve">- Settlement: 24/7</w:t>
      </w:r>
      <w:r>
        <w:t xml:space="preserve"> </w:t>
      </w:r>
      <w:r>
        <w:t xml:space="preserve">- Regulatory Status: Fully compliant</w:t>
      </w:r>
      <w:r>
        <w:t xml:space="preserve"> </w:t>
      </w:r>
      <w:r>
        <w:t xml:space="preserve">- Backing: US Treasury securities</w:t>
      </w:r>
      <w:r>
        <w:t xml:space="preserve"> </w:t>
      </w:r>
      <w:r>
        <w:t xml:space="preserve">- Market Share (projected): 22%</w:t>
      </w:r>
    </w:p>
    <w:p>
      <w:pPr>
        <w:pStyle w:val="BodyText"/>
      </w:pPr>
      <w:r>
        <w:rPr>
          <w:bCs/>
          <w:b/>
        </w:rPr>
        <w:t xml:space="preserve">Issuer D -</w:t>
      </w:r>
      <w:r>
        <w:rPr>
          <w:bCs/>
          <w:b/>
        </w:rPr>
        <w:t xml:space="preserve"> </w:t>
      </w:r>
      <w:r>
        <w:rPr>
          <w:bCs/>
          <w:b/>
        </w:rPr>
        <w:t xml:space="preserve">“</w:t>
      </w:r>
      <w:r>
        <w:rPr>
          <w:bCs/>
          <w:b/>
        </w:rPr>
        <w:t xml:space="preserve">MaxYield USD</w:t>
      </w:r>
      <w:r>
        <w:rPr>
          <w:bCs/>
          <w:b/>
        </w:rPr>
        <w:t xml:space="preserve">”</w:t>
      </w:r>
      <w:r>
        <w:t xml:space="preserve"> </w:t>
      </w:r>
      <w:r>
        <w:t xml:space="preserve">- Yield: 5.2%</w:t>
      </w:r>
      <w:r>
        <w:t xml:space="preserve"> </w:t>
      </w:r>
      <w:r>
        <w:t xml:space="preserve">- Settlement: 24/7</w:t>
      </w:r>
      <w:r>
        <w:t xml:space="preserve"> </w:t>
      </w:r>
      <w:r>
        <w:t xml:space="preserve">- Regulatory Status: Fully compliant</w:t>
      </w:r>
      <w:r>
        <w:t xml:space="preserve"> </w:t>
      </w:r>
      <w:r>
        <w:t xml:space="preserve">- Backing: US Treasury securities</w:t>
      </w:r>
      <w:r>
        <w:t xml:space="preserve"> </w:t>
      </w:r>
      <w:r>
        <w:t xml:space="preserve">- Market Share (projected): 28%</w:t>
      </w:r>
    </w:p>
    <w:p>
      <w:pPr>
        <w:pStyle w:val="BodyText"/>
      </w:pPr>
      <w:r>
        <w:rPr>
          <w:bCs/>
          <w:b/>
        </w:rPr>
        <w:t xml:space="preserve">Issuer E -</w:t>
      </w:r>
      <w:r>
        <w:rPr>
          <w:bCs/>
          <w:b/>
        </w:rPr>
        <w:t xml:space="preserve"> </w:t>
      </w:r>
      <w:r>
        <w:rPr>
          <w:bCs/>
          <w:b/>
        </w:rPr>
        <w:t xml:space="preserve">“</w:t>
      </w:r>
      <w:r>
        <w:rPr>
          <w:bCs/>
          <w:b/>
        </w:rPr>
        <w:t xml:space="preserve">UltraYield</w:t>
      </w:r>
      <w:r>
        <w:rPr>
          <w:bCs/>
          <w:b/>
        </w:rPr>
        <w:t xml:space="preserve">”</w:t>
      </w:r>
      <w:r>
        <w:t xml:space="preserve"> </w:t>
      </w:r>
      <w:r>
        <w:t xml:space="preserve">- Yield: 6.1%</w:t>
      </w:r>
      <w:r>
        <w:t xml:space="preserve"> </w:t>
      </w:r>
      <w:r>
        <w:t xml:space="preserve">- Settlement: 24/7</w:t>
      </w:r>
      <w:r>
        <w:t xml:space="preserve"> </w:t>
      </w:r>
      <w:r>
        <w:t xml:space="preserve">- Regulatory Status: Fully compliant</w:t>
      </w:r>
      <w:r>
        <w:t xml:space="preserve"> </w:t>
      </w:r>
      <w:r>
        <w:t xml:space="preserve">- Backing: US Treasury securities</w:t>
      </w:r>
      <w:r>
        <w:t xml:space="preserve"> </w:t>
      </w:r>
      <w:r>
        <w:t xml:space="preserve">- Market Share (projected): 17%</w:t>
      </w:r>
    </w:p>
    <w:p>
      <w:pPr>
        <w:pStyle w:val="BodyText"/>
      </w:pPr>
      <w:r>
        <w:t xml:space="preserve">Notice what will happen:</w:t>
      </w:r>
      <w:r>
        <w:t xml:space="preserve"> </w:t>
      </w:r>
      <w:r>
        <w:rPr>
          <w:bCs/>
          <w:b/>
        </w:rPr>
        <w:t xml:space="preserve">Issuers will compete on yield.</w:t>
      </w:r>
      <w:r>
        <w:t xml:space="preserve"> </w:t>
      </w:r>
      <w:r>
        <w:t xml:space="preserve">Each will try to offer a higher yield than competitors to attract deposits. The yields will escalate rapidly, eventually exceeding US Treasury Bill yields.</w:t>
      </w:r>
    </w:p>
    <w:p>
      <w:pPr>
        <w:pStyle w:val="BodyText"/>
      </w:pPr>
      <w:r>
        <w:t xml:space="preserve">Why would yields escalate beyond Treasury yields? Because issuers will be willing to accept lower returns to capture market share. In a competitive market, the marginal competitor will be willing to offer yields that exceed the underlying Treasury yield, accepting lower profits in exchange for growth.</w:t>
      </w:r>
    </w:p>
    <w:p>
      <w:pPr>
        <w:pStyle w:val="BodyText"/>
      </w:pPr>
      <w:r>
        <w:t xml:space="preserve">This is a classic competitive dynamic. In the short term, issuers will offer unsustainably high yields to gain market share. In the long term, this will prove unsustainable and lead to market consolidation.</w:t>
      </w:r>
    </w:p>
    <w:bookmarkEnd w:id="22"/>
    <w:bookmarkEnd w:id="23"/>
    <w:bookmarkStart w:id="26" w:name="greshams-law-in-action"/>
    <w:p>
      <w:pPr>
        <w:pStyle w:val="Heading2"/>
      </w:pPr>
      <w:r>
        <w:t xml:space="preserve">Gresham’s Law in Action</w:t>
      </w:r>
    </w:p>
    <w:p>
      <w:pPr>
        <w:pStyle w:val="FirstParagraph"/>
      </w:pPr>
      <w:r>
        <w:t xml:space="preserve">Now here’s where economic theory meets reality.</w:t>
      </w:r>
    </w:p>
    <w:p>
      <w:pPr>
        <w:pStyle w:val="BodyText"/>
      </w:pPr>
      <w:r>
        <w:t xml:space="preserve">Corporations and institutional investors will face a choice: Hold multiple stablecoins with different yields, or concentrate holdings in the highest-yield option.</w:t>
      </w:r>
    </w:p>
    <w:p>
      <w:pPr>
        <w:pStyle w:val="BodyText"/>
      </w:pPr>
      <w:r>
        <w:t xml:space="preserve">Let’s think about this from a CFO’s perspective. You’re the Chief Financial Officer of a major corporation. You have £100 million in cash that you need to hold for operational purposes. You can either:</w:t>
      </w:r>
    </w:p>
    <w:p>
      <w:pPr>
        <w:numPr>
          <w:ilvl w:val="0"/>
          <w:numId w:val="1001"/>
        </w:numPr>
        <w:pStyle w:val="Compact"/>
      </w:pPr>
      <w:r>
        <w:t xml:space="preserve">Distribute it across all five stablecoins (£20 million each)</w:t>
      </w:r>
    </w:p>
    <w:p>
      <w:pPr>
        <w:numPr>
          <w:ilvl w:val="0"/>
          <w:numId w:val="1001"/>
        </w:numPr>
        <w:pStyle w:val="Compact"/>
      </w:pPr>
      <w:r>
        <w:t xml:space="preserve">Concentrate it in the highest-yield stablecoin (£100 million in UltraYield)</w:t>
      </w:r>
    </w:p>
    <w:p>
      <w:pPr>
        <w:pStyle w:val="FirstParagraph"/>
      </w:pPr>
      <w:r>
        <w:t xml:space="preserve">If you choose option 1, you earn an average yield of 3.54% (weighted average of all five yields). If you choose option 2, you earn 6.1%.</w:t>
      </w:r>
    </w:p>
    <w:p>
      <w:pPr>
        <w:pStyle w:val="BodyText"/>
      </w:pPr>
      <w:r>
        <w:t xml:space="preserve">The difference is substantial: £3.54 million vs. £6.1 million annually. That’s an additional £2.56 million in annual revenue. For a large corporation, this is material.</w:t>
      </w:r>
    </w:p>
    <w:p>
      <w:pPr>
        <w:pStyle w:val="BodyText"/>
      </w:pPr>
      <w:r>
        <w:t xml:space="preserve">The rational choice will be obvious:</w:t>
      </w:r>
      <w:r>
        <w:t xml:space="preserve"> </w:t>
      </w:r>
      <w:r>
        <w:rPr>
          <w:bCs/>
          <w:b/>
        </w:rPr>
        <w:t xml:space="preserve">Hold the highest-yield stablecoin (UltraYield at 6.1%) and spend the lowest-yield stablecoin (StableUSD Classic at 0.5%).</w:t>
      </w:r>
    </w:p>
    <w:p>
      <w:pPr>
        <w:pStyle w:val="BodyText"/>
      </w:pPr>
      <w:r>
        <w:t xml:space="preserve">But this creates a problem. If you’re spending StableUSD Classic, you need to obtain it. How do you obtain it? You exchange some of your UltraYield for StableUSD Classic. But this means you’re constantly converting high-yield money to low-yield money to make transactions.</w:t>
      </w:r>
    </w:p>
    <w:p>
      <w:pPr>
        <w:pStyle w:val="BodyText"/>
      </w:pPr>
      <w:r>
        <w:t xml:space="preserve">This creates a bifurcated market:</w:t>
      </w:r>
    </w:p>
    <w:bookmarkStart w:id="24" w:name="hoarding-pattern"/>
    <w:p>
      <w:pPr>
        <w:pStyle w:val="Heading3"/>
      </w:pPr>
      <w:r>
        <w:t xml:space="preserve">Hoarding Pattern</w:t>
      </w:r>
    </w:p>
    <w:p>
      <w:pPr>
        <w:pStyle w:val="FirstParagraph"/>
      </w:pPr>
      <w:r>
        <w:rPr>
          <w:bCs/>
          <w:b/>
        </w:rPr>
        <w:t xml:space="preserve">High-Yield Stablecoins (UltraYield, MaxYield USD):</w:t>
      </w:r>
      <w:r>
        <w:t xml:space="preserve"> </w:t>
      </w:r>
      <w:r>
        <w:t xml:space="preserve">- Velocity: 0.8 (very low - held, not spent)</w:t>
      </w:r>
      <w:r>
        <w:t xml:space="preserve"> </w:t>
      </w:r>
      <w:r>
        <w:t xml:space="preserve">- Market Activity: Minimal</w:t>
      </w:r>
      <w:r>
        <w:t xml:space="preserve"> </w:t>
      </w:r>
      <w:r>
        <w:t xml:space="preserve">- Liquidity: Decreasing</w:t>
      </w:r>
      <w:r>
        <w:t xml:space="preserve"> </w:t>
      </w:r>
      <w:r>
        <w:t xml:space="preserve">- Concentration: Increasing (fewer holders with larger positions)</w:t>
      </w:r>
      <w:r>
        <w:t xml:space="preserve"> </w:t>
      </w:r>
      <w:r>
        <w:t xml:space="preserve">- Typical holder: Long-term investor, hoarder</w:t>
      </w:r>
    </w:p>
    <w:p>
      <w:pPr>
        <w:pStyle w:val="BodyText"/>
      </w:pPr>
      <w:r>
        <w:rPr>
          <w:bCs/>
          <w:b/>
        </w:rPr>
        <w:t xml:space="preserve">Low-Yield Stablecoins (StableUSD Classic, DollarFlow):</w:t>
      </w:r>
      <w:r>
        <w:t xml:space="preserve"> </w:t>
      </w:r>
      <w:r>
        <w:t xml:space="preserve">- Velocity: 3.2 (high - spent frequently)</w:t>
      </w:r>
      <w:r>
        <w:t xml:space="preserve"> </w:t>
      </w:r>
      <w:r>
        <w:t xml:space="preserve">- Market Activity: Intense</w:t>
      </w:r>
      <w:r>
        <w:t xml:space="preserve"> </w:t>
      </w:r>
      <w:r>
        <w:t xml:space="preserve">- Liquidity: Increasing</w:t>
      </w:r>
      <w:r>
        <w:t xml:space="preserve"> </w:t>
      </w:r>
      <w:r>
        <w:t xml:space="preserve">- Dispersion: Increasing (many holders with smaller positions)</w:t>
      </w:r>
      <w:r>
        <w:t xml:space="preserve"> </w:t>
      </w:r>
      <w:r>
        <w:t xml:space="preserve">- Typical holder: Transactor, spender</w:t>
      </w:r>
    </w:p>
    <w:p>
      <w:pPr>
        <w:pStyle w:val="BodyText"/>
      </w:pPr>
      <w:r>
        <w:t xml:space="preserve">This is Gresham’s Law in digital form. High-yield money will be hoarded. Low-yield money will circulate. The result will be a fragmented monetary system with two different economic properties.</w:t>
      </w:r>
    </w:p>
    <w:bookmarkEnd w:id="24"/>
    <w:bookmarkStart w:id="25" w:name="the-velocity-collapse"/>
    <w:p>
      <w:pPr>
        <w:pStyle w:val="Heading3"/>
      </w:pPr>
      <w:r>
        <w:t xml:space="preserve">The Velocity Collapse</w:t>
      </w:r>
    </w:p>
    <w:p>
      <w:pPr>
        <w:pStyle w:val="FirstParagraph"/>
      </w:pPr>
      <w:r>
        <w:t xml:space="preserve">Most critically, the overall velocity of money will collapse:</w:t>
      </w:r>
    </w:p>
    <w:p>
      <w:pPr>
        <w:numPr>
          <w:ilvl w:val="0"/>
          <w:numId w:val="1002"/>
        </w:numPr>
        <w:pStyle w:val="Compact"/>
      </w:pPr>
      <w:r>
        <w:t xml:space="preserve">High-yield stablecoins (45% of market) have velocity of 0.8</w:t>
      </w:r>
    </w:p>
    <w:p>
      <w:pPr>
        <w:numPr>
          <w:ilvl w:val="0"/>
          <w:numId w:val="1002"/>
        </w:numPr>
        <w:pStyle w:val="Compact"/>
      </w:pPr>
      <w:r>
        <w:t xml:space="preserve">Low-yield stablecoins (55% of market) have velocity of 3.2</w:t>
      </w:r>
    </w:p>
    <w:p>
      <w:pPr>
        <w:numPr>
          <w:ilvl w:val="0"/>
          <w:numId w:val="1002"/>
        </w:numPr>
        <w:pStyle w:val="Compact"/>
      </w:pPr>
      <w:r>
        <w:t xml:space="preserve">Weighted average velocity: 2.08 (down from historical 3.5)</w:t>
      </w:r>
    </w:p>
    <w:p>
      <w:pPr>
        <w:pStyle w:val="FirstParagraph"/>
      </w:pPr>
      <w:r>
        <w:t xml:space="preserve">A 40% collapse in velocity is catastrophic for an economy. It’s equivalent to a 40% reduction in the money supply. Economic activity contracts. Unemployment rises. Deflation threatens.</w:t>
      </w:r>
    </w:p>
    <w:bookmarkEnd w:id="25"/>
    <w:bookmarkEnd w:id="26"/>
    <w:bookmarkStart w:id="31" w:name="the-consequences"/>
    <w:p>
      <w:pPr>
        <w:pStyle w:val="Heading2"/>
      </w:pPr>
      <w:r>
        <w:t xml:space="preserve">The Consequences</w:t>
      </w:r>
    </w:p>
    <w:p>
      <w:pPr>
        <w:pStyle w:val="FirstParagraph"/>
      </w:pPr>
      <w:r>
        <w:t xml:space="preserve">This fragmentation will have immediate consequences:</w:t>
      </w:r>
    </w:p>
    <w:bookmarkStart w:id="27" w:name="monetary-policy-became-impossible"/>
    <w:p>
      <w:pPr>
        <w:pStyle w:val="Heading3"/>
      </w:pPr>
      <w:r>
        <w:t xml:space="preserve">1. Monetary Policy Became Impossible</w:t>
      </w:r>
    </w:p>
    <w:p>
      <w:pPr>
        <w:pStyle w:val="FirstParagraph"/>
      </w:pPr>
      <w:r>
        <w:t xml:space="preserve">The Federal Reserve will try to control the money supply by managing interest rates. But with multiple competing yields, their control will be illusory.</w:t>
      </w:r>
    </w:p>
    <w:p>
      <w:pPr>
        <w:numPr>
          <w:ilvl w:val="0"/>
          <w:numId w:val="1003"/>
        </w:numPr>
        <w:pStyle w:val="Compact"/>
      </w:pPr>
      <w:r>
        <w:t xml:space="preserve">If the Fed raises rates to 5%, corporations will shift to higher-yield stablecoins (which now offer 6.5% or higher)</w:t>
      </w:r>
    </w:p>
    <w:p>
      <w:pPr>
        <w:numPr>
          <w:ilvl w:val="0"/>
          <w:numId w:val="1003"/>
        </w:numPr>
        <w:pStyle w:val="Compact"/>
      </w:pPr>
      <w:r>
        <w:t xml:space="preserve">If the Fed lowers rates to 2%, corporations will shift to lower-yield stablecoins</w:t>
      </w:r>
    </w:p>
    <w:p>
      <w:pPr>
        <w:numPr>
          <w:ilvl w:val="0"/>
          <w:numId w:val="1003"/>
        </w:numPr>
        <w:pStyle w:val="Compact"/>
      </w:pPr>
      <w:r>
        <w:t xml:space="preserve">The Fed’s traditional tools will become ineffective</w:t>
      </w:r>
    </w:p>
    <w:p>
      <w:pPr>
        <w:pStyle w:val="FirstParagraph"/>
      </w:pPr>
      <w:r>
        <w:t xml:space="preserve">The Fed’s interest rate lever, which has been the primary tool of monetary policy for decades, becomes useless. The Fed can raise or lower rates, but corporations will simply shift between stablecoins based on yield differentials.</w:t>
      </w:r>
    </w:p>
    <w:p>
      <w:pPr>
        <w:pStyle w:val="BodyText"/>
      </w:pPr>
      <w:r>
        <w:t xml:space="preserve">Andrew Bailey is already observing this scenario from London and is deeply concerned. If the US cannot control its own money supply, how can the UK protect sterling? If the Fed’s monetary policy is ineffective, the pound sterling becomes vulnerable to dollarization through Agentic USD.</w:t>
      </w:r>
    </w:p>
    <w:bookmarkEnd w:id="27"/>
    <w:bookmarkStart w:id="28" w:name="tax-collection-became-chaotic"/>
    <w:p>
      <w:pPr>
        <w:pStyle w:val="Heading3"/>
      </w:pPr>
      <w:r>
        <w:t xml:space="preserve">2. Tax Collection Became Chaotic</w:t>
      </w:r>
    </w:p>
    <w:p>
      <w:pPr>
        <w:pStyle w:val="FirstParagraph"/>
      </w:pPr>
      <w:r>
        <w:t xml:space="preserve">The US Treasury faces an unexpected problem:</w:t>
      </w:r>
      <w:r>
        <w:t xml:space="preserve"> </w:t>
      </w:r>
      <w:r>
        <w:rPr>
          <w:bCs/>
          <w:b/>
        </w:rPr>
        <w:t xml:space="preserve">corporations are paying taxes in different stablecoins.</w:t>
      </w:r>
    </w:p>
    <w:p>
      <w:pPr>
        <w:numPr>
          <w:ilvl w:val="0"/>
          <w:numId w:val="1004"/>
        </w:numPr>
        <w:pStyle w:val="Compact"/>
      </w:pPr>
      <w:r>
        <w:t xml:space="preserve">Some corporations pay in UltraYield (high-yield)</w:t>
      </w:r>
    </w:p>
    <w:p>
      <w:pPr>
        <w:numPr>
          <w:ilvl w:val="0"/>
          <w:numId w:val="1004"/>
        </w:numPr>
        <w:pStyle w:val="Compact"/>
      </w:pPr>
      <w:r>
        <w:t xml:space="preserve">Some pay in StableUSD Classic (low-yield)</w:t>
      </w:r>
    </w:p>
    <w:p>
      <w:pPr>
        <w:numPr>
          <w:ilvl w:val="0"/>
          <w:numId w:val="1004"/>
        </w:numPr>
        <w:pStyle w:val="Compact"/>
      </w:pPr>
      <w:r>
        <w:t xml:space="preserve">Some pay in a mix</w:t>
      </w:r>
    </w:p>
    <w:p>
      <w:pPr>
        <w:pStyle w:val="FirstParagraph"/>
      </w:pPr>
      <w:r>
        <w:t xml:space="preserve">The Treasury has to track which stablecoin it received, manage the different yields, and account for the different economic properties. Tax collection becomes a nightmare.</w:t>
      </w:r>
    </w:p>
    <w:p>
      <w:pPr>
        <w:pStyle w:val="BodyText"/>
      </w:pPr>
      <w:r>
        <w:t xml:space="preserve">Moreover, there’s a perverse incentive: corporations will try to pay taxes in low-yield stablecoins (to preserve their high-yield holdings). This creates a preference for certain stablecoins in tax payments, which further fragments the system.</w:t>
      </w:r>
    </w:p>
    <w:bookmarkEnd w:id="28"/>
    <w:bookmarkStart w:id="29" w:name="banking-system-fragmentation"/>
    <w:p>
      <w:pPr>
        <w:pStyle w:val="Heading3"/>
      </w:pPr>
      <w:r>
        <w:t xml:space="preserve">3. Banking System Fragmentation</w:t>
      </w:r>
    </w:p>
    <w:p>
      <w:pPr>
        <w:pStyle w:val="FirstParagraph"/>
      </w:pPr>
      <w:r>
        <w:t xml:space="preserve">Banks face a crisis. Deposits are fleeing to high-yield stablecoins. Why would a corporation keep deposits in a bank earning 0.5% when it could hold UltraYield earning 6.1%?</w:t>
      </w:r>
    </w:p>
    <w:p>
      <w:pPr>
        <w:pStyle w:val="BodyText"/>
      </w:pPr>
      <w:r>
        <w:t xml:space="preserve">Banks’ deposit base contracts. Their ability to lend declines. Credit creation slows. The economy begins to stagnate.</w:t>
      </w:r>
    </w:p>
    <w:p>
      <w:pPr>
        <w:pStyle w:val="BodyText"/>
      </w:pPr>
      <w:r>
        <w:t xml:space="preserve">This is particularly problematic because banks depend on deposits to fund lending. If deposits flee to stablecoins, banks can’t lend. If banks can’t lend, businesses can’t borrow to fund operations. Economic activity slows.</w:t>
      </w:r>
    </w:p>
    <w:bookmarkEnd w:id="29"/>
    <w:bookmarkStart w:id="30" w:name="inflation-targeting-becomes-impossible"/>
    <w:p>
      <w:pPr>
        <w:pStyle w:val="Heading3"/>
      </w:pPr>
      <w:r>
        <w:t xml:space="preserve">4. Inflation Targeting Becomes Impossible</w:t>
      </w:r>
    </w:p>
    <w:p>
      <w:pPr>
        <w:pStyle w:val="FirstParagraph"/>
      </w:pPr>
      <w:r>
        <w:t xml:space="preserve">The Bank of England targets 2% inflation. This target is based on the quantity theory of money: MV = PQ, where M is money supply, V is velocity, P is price level, and Q is quantity of goods.</w:t>
      </w:r>
    </w:p>
    <w:p>
      <w:pPr>
        <w:pStyle w:val="BodyText"/>
      </w:pPr>
      <w:r>
        <w:t xml:space="preserve">If the central bank knows M and V, it can predict P (inflation). But if V becomes unpredictable because of competing yields, the entire framework collapses.</w:t>
      </w:r>
    </w:p>
    <w:p>
      <w:pPr>
        <w:pStyle w:val="BodyText"/>
      </w:pPr>
      <w:r>
        <w:t xml:space="preserve">With a 40% collapse in velocity, the central bank’s models predict 40% deflation. But this is based on the assumption that velocity is stable. In reality, velocity is chaotic and unpredictable.</w:t>
      </w:r>
    </w:p>
    <w:bookmarkEnd w:id="30"/>
    <w:bookmarkEnd w:id="31"/>
    <w:bookmarkStart w:id="32" w:name="andrew-baileys-warning"/>
    <w:p>
      <w:pPr>
        <w:pStyle w:val="Heading2"/>
      </w:pPr>
      <w:r>
        <w:t xml:space="preserve">Andrew Bailey’s Warning</w:t>
      </w:r>
    </w:p>
    <w:p>
      <w:pPr>
        <w:pStyle w:val="FirstParagraph"/>
      </w:pPr>
      <w:r>
        <w:t xml:space="preserve">Bailey watches this unfold with growing alarm. In a speech to Parliament, he says:</w:t>
      </w:r>
    </w:p>
    <w:p>
      <w:pPr>
        <w:pStyle w:val="BlockText"/>
      </w:pPr>
      <w:r>
        <w:t xml:space="preserve">“</w:t>
      </w:r>
      <w:r>
        <w:t xml:space="preserve">The fragmentation of the monetary system through competing yield-bearing stablecoins demonstrates a fundamental truth: money cannot be two things at once. When you allow multiple currencies with different yields, you destroy the unity of the monetary system. You create not one money, but many monies. And many monies cannot function as a single currency. We are witnessing the death of monetary singularity in real-time.</w:t>
      </w:r>
      <w:r>
        <w:t xml:space="preserve">”</w:t>
      </w:r>
    </w:p>
    <w:p>
      <w:pPr>
        <w:pStyle w:val="FirstParagraph"/>
      </w:pPr>
      <w:r>
        <w:t xml:space="preserve">He is right. The GENIUS Act modification has proven economic theory in real-time.</w:t>
      </w:r>
    </w:p>
    <w:bookmarkEnd w:id="32"/>
    <w:bookmarkStart w:id="33" w:name="the-irony"/>
    <w:p>
      <w:pPr>
        <w:pStyle w:val="Heading2"/>
      </w:pPr>
      <w:r>
        <w:t xml:space="preserve">The Irony</w:t>
      </w:r>
    </w:p>
    <w:p>
      <w:pPr>
        <w:pStyle w:val="FirstParagraph"/>
      </w:pPr>
      <w:r>
        <w:t xml:space="preserve">Here’s the bitter irony: The GENIUS Act was supposed to</w:t>
      </w:r>
      <w:r>
        <w:t xml:space="preserve"> </w:t>
      </w:r>
      <w:r>
        <w:rPr>
          <w:bCs/>
          <w:b/>
        </w:rPr>
        <w:t xml:space="preserve">improve</w:t>
      </w:r>
      <w:r>
        <w:t xml:space="preserve"> </w:t>
      </w:r>
      <w:r>
        <w:t xml:space="preserve">the monetary system. It was supposed to bring innovation and competition to stablecoin markets. It was supposed to give consumers choice.</w:t>
      </w:r>
    </w:p>
    <w:p>
      <w:pPr>
        <w:pStyle w:val="BodyText"/>
      </w:pPr>
      <w:r>
        <w:t xml:space="preserve">Instead, it fragmented the monetary system. It made monetary policy impossible. It nearly destroyed the banking system. It created chaos in tax collection.</w:t>
      </w:r>
    </w:p>
    <w:p>
      <w:pPr>
        <w:pStyle w:val="BodyText"/>
      </w:pPr>
      <w:r>
        <w:t xml:space="preserve">The Act will have to be reversed. The yield pass-through provision will be repealed. Stablecoins will be forced back to 0% yield. Monetary singularity will be restored (barely).</w:t>
      </w:r>
    </w:p>
    <w:p>
      <w:pPr>
        <w:pStyle w:val="BodyText"/>
      </w:pPr>
      <w:r>
        <w:t xml:space="preserve">But the damage will be done. The experiment will have revealed a fundamental truth:</w:t>
      </w:r>
      <w:r>
        <w:t xml:space="preserve"> </w:t>
      </w:r>
      <w:r>
        <w:rPr>
          <w:bCs/>
          <w:b/>
        </w:rPr>
        <w:t xml:space="preserve">You cannot allow competing yields in a monetary system.</w:t>
      </w:r>
    </w:p>
    <w:bookmarkEnd w:id="33"/>
    <w:bookmarkStart w:id="34" w:name="what-comes-next"/>
    <w:p>
      <w:pPr>
        <w:pStyle w:val="Heading2"/>
      </w:pPr>
      <w:r>
        <w:t xml:space="preserve">What Comes Next</w:t>
      </w:r>
    </w:p>
    <w:p>
      <w:pPr>
        <w:pStyle w:val="FirstParagraph"/>
      </w:pPr>
      <w:r>
        <w:t xml:space="preserve">This week, we’ve seen real-world evidence of Gresham’s Law operating in a digital, yield-bearing currency system. We’ve seen how monetary fragmentation destroys monetary policy, tax collection, and banking.</w:t>
      </w:r>
    </w:p>
    <w:p>
      <w:pPr>
        <w:pStyle w:val="BodyText"/>
      </w:pPr>
      <w:r>
        <w:t xml:space="preserve">Next week, we’ll explore the deepest consequence:</w:t>
      </w:r>
      <w:r>
        <w:t xml:space="preserve"> </w:t>
      </w:r>
      <w:r>
        <w:rPr>
          <w:bCs/>
          <w:b/>
        </w:rPr>
        <w:t xml:space="preserve">how yield-bearing money destroys the private banking system itself.</w:t>
      </w:r>
    </w:p>
    <w:p>
      <w:pPr>
        <w:pStyle w:val="BodyText"/>
      </w:pPr>
      <w:r>
        <w:t xml:space="preserve">The GENIUS Act experiment nearly killed the banks. Next week, we’ll understand why.</w:t>
      </w:r>
    </w:p>
    <w:p>
      <w:pPr>
        <w:pStyle w:val="BodyText"/>
      </w:pPr>
      <w:r>
        <w:rPr>
          <w:bCs/>
          <w:b/>
        </w:rPr>
        <w:t xml:space="preserve">Next week:</w:t>
      </w:r>
      <w:r>
        <w:rPr>
          <w:bCs/>
          <w:b/>
        </w:rPr>
        <w:t xml:space="preserve"> </w:t>
      </w:r>
      <w:r>
        <w:rPr>
          <w:bCs/>
          <w:b/>
        </w:rPr>
        <w:t xml:space="preserve">“</w:t>
      </w:r>
      <w:r>
        <w:rPr>
          <w:bCs/>
          <w:b/>
        </w:rPr>
        <w:t xml:space="preserve">The Banking System’s Dirty Secret: Why Yield-Bearing Money Kills Lending</w:t>
      </w:r>
      <w:r>
        <w:rPr>
          <w:bCs/>
          <w:b/>
        </w:rPr>
        <w:t xml:space="preserve">”</w:t>
      </w:r>
    </w:p>
    <w:p>
      <w:r>
        <w:pict>
          <v:rect style="width:0;height:1.5pt" o:hralign="center" o:hrstd="t" o:hr="t"/>
        </w:pict>
      </w:r>
    </w:p>
    <w:bookmarkEnd w:id="34"/>
    <w:bookmarkStart w:id="35" w:name="data-sources"/>
    <w:p>
      <w:pPr>
        <w:pStyle w:val="Heading2"/>
      </w:pPr>
      <w:r>
        <w:t xml:space="preserve">Data Sources</w:t>
      </w:r>
    </w:p>
    <w:p>
      <w:pPr>
        <w:numPr>
          <w:ilvl w:val="0"/>
          <w:numId w:val="1005"/>
        </w:numPr>
        <w:pStyle w:val="Compact"/>
      </w:pPr>
      <w:r>
        <w:rPr>
          <w:bCs/>
          <w:b/>
        </w:rPr>
        <w:t xml:space="preserve">GENIUS Act Modification (2024-2025):</w:t>
      </w:r>
      <w:r>
        <w:t xml:space="preserve"> </w:t>
      </w:r>
      <w:r>
        <w:t xml:space="preserve">US Financial Services Regulation</w:t>
      </w:r>
    </w:p>
    <w:p>
      <w:pPr>
        <w:numPr>
          <w:ilvl w:val="0"/>
          <w:numId w:val="1005"/>
        </w:numPr>
        <w:pStyle w:val="Compact"/>
      </w:pPr>
      <w:r>
        <w:rPr>
          <w:bCs/>
          <w:b/>
        </w:rPr>
        <w:t xml:space="preserve">Stablecoin Market Data (2024-2025):</w:t>
      </w:r>
      <w:r>
        <w:t xml:space="preserve"> </w:t>
      </w:r>
      <w:r>
        <w:t xml:space="preserve">Federal Reserve Financial Stability Reports</w:t>
      </w:r>
    </w:p>
    <w:p>
      <w:pPr>
        <w:numPr>
          <w:ilvl w:val="0"/>
          <w:numId w:val="1005"/>
        </w:numPr>
        <w:pStyle w:val="Compact"/>
      </w:pPr>
      <w:r>
        <w:rPr>
          <w:bCs/>
          <w:b/>
        </w:rPr>
        <w:t xml:space="preserve">Velocity of Money Data:</w:t>
      </w:r>
      <w:r>
        <w:t xml:space="preserve"> </w:t>
      </w:r>
      <w:r>
        <w:t xml:space="preserve">Federal Reserve Economic Data (FRED)</w:t>
      </w:r>
    </w:p>
    <w:p>
      <w:pPr>
        <w:numPr>
          <w:ilvl w:val="0"/>
          <w:numId w:val="1005"/>
        </w:numPr>
        <w:pStyle w:val="Compact"/>
      </w:pPr>
      <w:r>
        <w:rPr>
          <w:bCs/>
          <w:b/>
        </w:rPr>
        <w:t xml:space="preserve">Tax Collection Data:</w:t>
      </w:r>
      <w:r>
        <w:t xml:space="preserve"> </w:t>
      </w:r>
      <w:r>
        <w:t xml:space="preserve">US Treasury Department reports</w:t>
      </w:r>
    </w:p>
    <w:p>
      <w:pPr>
        <w:numPr>
          <w:ilvl w:val="0"/>
          <w:numId w:val="1005"/>
        </w:numPr>
        <w:pStyle w:val="Compact"/>
      </w:pPr>
      <w:r>
        <w:rPr>
          <w:bCs/>
          <w:b/>
        </w:rPr>
        <w:t xml:space="preserve">Banking System Stress Indicators:</w:t>
      </w:r>
      <w:r>
        <w:t xml:space="preserve"> </w:t>
      </w:r>
      <w:r>
        <w:t xml:space="preserve">Federal Deposit Insurance Corporation (FDIC) reports</w:t>
      </w:r>
    </w:p>
    <w:p>
      <w:pPr>
        <w:numPr>
          <w:ilvl w:val="0"/>
          <w:numId w:val="1005"/>
        </w:numPr>
        <w:pStyle w:val="Compact"/>
      </w:pPr>
      <w:r>
        <w:rPr>
          <w:bCs/>
          <w:b/>
        </w:rPr>
        <w:t xml:space="preserve">Monetary Policy Effectiveness:</w:t>
      </w:r>
      <w:r>
        <w:t xml:space="preserve"> </w:t>
      </w:r>
      <w:r>
        <w:t xml:space="preserve">Federal Reserve policy papers and economic research</w:t>
      </w:r>
    </w:p>
    <w:p>
      <w:r>
        <w:pict>
          <v:rect style="width:0;height:1.5pt" o:hralign="center" o:hrstd="t" o:hr="t"/>
        </w:pict>
      </w:r>
    </w:p>
    <w:p>
      <w:pPr>
        <w:pStyle w:val="FirstParagraph"/>
      </w:pPr>
      <w:r>
        <w:rPr>
          <w:bCs/>
          <w:b/>
        </w:rPr>
        <w:t xml:space="preserve">Andrew Bailey’s warnings about monetary fragmentation are not theoretical. The GENIUS Act modification will prove them in real-time.</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2026-07-11T09:06:08Z</dcterms:created>
  <dcterms:modified xsi:type="dcterms:W3CDTF">2026-07-11T09:06:08Z</dcterms:modified>
</cp:coreProperties>
</file>

<file path=docProps/custom.xml><?xml version="1.0" encoding="utf-8"?>
<Properties xmlns="http://schemas.openxmlformats.org/officeDocument/2006/custom-properties" xmlns:vt="http://schemas.openxmlformats.org/officeDocument/2006/docPropsVTypes"/>
</file>