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webp" ContentType="image/webp"/>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Xca82b759ce4041c0075f9c561589a4295102d69"/>
    <w:p>
      <w:pPr>
        <w:pStyle w:val="Heading1"/>
      </w:pPr>
      <w:r>
        <w:t xml:space="preserve">Digital Gilts as Tax Payment: HM Treasury’s Strategic Response to the Agentic USD Challenge</w:t>
      </w:r>
    </w:p>
    <w:p>
      <w:pPr>
        <w:pStyle w:val="FirstParagraph"/>
      </w:pPr>
      <w:r>
        <w:rPr>
          <w:bCs/>
          <w:b/>
        </w:rPr>
        <w:t xml:space="preserve">By David Parsons and Jonny Fry</w:t>
      </w:r>
      <w:r>
        <w:br/>
      </w:r>
      <w:r>
        <w:rPr>
          <w:bCs/>
          <w:b/>
        </w:rPr>
        <w:t xml:space="preserve">London Digital Escrow</w:t>
      </w:r>
    </w:p>
    <w:p>
      <w:r>
        <w:pict>
          <v:rect style="width:0;height:1.5pt" o:hralign="center" o:hrstd="t" o:hr="t"/>
        </w:pict>
      </w:r>
    </w:p>
    <w:bookmarkStart w:id="20" w:name="Xc11f09a3cf2a005ddb05845f8c39f3788d69212"/>
    <w:p>
      <w:pPr>
        <w:pStyle w:val="Heading2"/>
      </w:pPr>
      <w:r>
        <w:t xml:space="preserve">Introduction: The Emerging Threat to Sterling Sovereignty</w:t>
      </w:r>
    </w:p>
    <w:p>
      <w:pPr>
        <w:pStyle w:val="FirstParagraph"/>
      </w:pPr>
      <w:r>
        <w:t xml:space="preserve">The United Kingdom faces an unprecedented challenge to its monetary sovereignty. The rapid emergence of Agentic USD stablecoins—digital dollars backed 1:1 by US Treasury securities and offering yield pass-through—threatens to drain the Gilt market of institutional demand. As we have documented in previous articles of the Agentic USD series, this drain could reach £260-450 billion within 24 months, creating a sovereign debt trap that forces the UK government to borrow at increasingly punitive rates.</w:t>
      </w:r>
    </w:p>
    <w:p>
      <w:pPr>
        <w:pStyle w:val="BodyText"/>
      </w:pPr>
      <w:r>
        <w:t xml:space="preserve">Yet HM Treasury has a powerful defensive weapon at its disposal:</w:t>
      </w:r>
      <w:r>
        <w:t xml:space="preserve"> </w:t>
      </w:r>
      <w:r>
        <w:rPr>
          <w:bCs/>
          <w:b/>
        </w:rPr>
        <w:t xml:space="preserve">Digital Gilts as tax payment</w:t>
      </w:r>
      <w:r>
        <w:t xml:space="preserve">.</w:t>
      </w:r>
    </w:p>
    <w:p>
      <w:pPr>
        <w:pStyle w:val="BodyText"/>
      </w:pPr>
      <w:r>
        <w:t xml:space="preserve">By allowing UK corporations to pay their taxes in Digital Gilts, HM Treasury can accomplish something remarkable: it can restore the tax-driven demand mechanism that historically supported the Gilt market, create a competitive alternative to Agentic USD, and preserve sterling sovereignty in the digital age.</w:t>
      </w:r>
    </w:p>
    <w:p>
      <w:pPr>
        <w:pStyle w:val="BodyText"/>
      </w:pPr>
      <w:r>
        <w:t xml:space="preserve">This article explores the strategic logic, implementation mechanisms, historical precedents, and policy implications of Digital Gilts as tax payment. We argue that this policy is not merely desirable—it is essential for maintaining UK financial independence in the face of digital dollarization.</w:t>
      </w:r>
    </w:p>
    <w:p>
      <w:r>
        <w:pict>
          <v:rect style="width:0;height:1.5pt" o:hralign="center" o:hrstd="t" o:hr="t"/>
        </w:pict>
      </w:r>
    </w:p>
    <w:bookmarkEnd w:id="20"/>
    <w:bookmarkStart w:id="24" w:name="Xa1af89592e7ef40a40e92149b1d60bff44d395f"/>
    <w:p>
      <w:pPr>
        <w:pStyle w:val="Heading2"/>
      </w:pPr>
      <w:r>
        <w:t xml:space="preserve">Part 1: Understanding the Agentic USD Threat to Gilts</w:t>
      </w:r>
    </w:p>
    <w:bookmarkStart w:id="21" w:name="the-yield-advantage"/>
    <w:p>
      <w:pPr>
        <w:pStyle w:val="Heading3"/>
      </w:pPr>
      <w:r>
        <w:t xml:space="preserve">The Yield Advantage</w:t>
      </w:r>
    </w:p>
    <w:p>
      <w:pPr>
        <w:pStyle w:val="FirstParagraph"/>
      </w:pPr>
      <w:r>
        <w:t xml:space="preserve">To understand why Digital Gilts as tax payment is necessary, we must first understand the threat posed by Agentic USD stablecoins.</w:t>
      </w:r>
    </w:p>
    <w:p>
      <w:pPr>
        <w:pStyle w:val="BodyText"/>
      </w:pPr>
      <w:r>
        <w:t xml:space="preserve">Currently, Agentic USD stablecoins offer several advantages over traditional Gilts:</w:t>
      </w:r>
    </w:p>
    <w:p>
      <w:pPr>
        <w:pStyle w:val="BodyText"/>
      </w:pPr>
      <w:r>
        <w:rPr>
          <w:bCs/>
          <w:b/>
        </w:rPr>
        <w:t xml:space="preserve">1. Yield Pass-Through</w:t>
      </w:r>
      <w:r>
        <w:t xml:space="preserve">: If GENIUS regulations are amended (which we believe is likely), Agentic USD will offer 4.5-5% yield—comparable to Gilts but with additional benefits.</w:t>
      </w:r>
    </w:p>
    <w:p>
      <w:pPr>
        <w:pStyle w:val="BodyText"/>
      </w:pPr>
      <w:r>
        <w:rPr>
          <w:bCs/>
          <w:b/>
        </w:rPr>
        <w:t xml:space="preserve">2. Settlement Speed</w:t>
      </w:r>
      <w:r>
        <w:t xml:space="preserve">: Agentic USD settles 24/7 on blockchain networks. Gilts settle through traditional channels, which take 2-3 business days.</w:t>
      </w:r>
    </w:p>
    <w:p>
      <w:pPr>
        <w:pStyle w:val="BodyText"/>
      </w:pPr>
      <w:r>
        <w:rPr>
          <w:bCs/>
          <w:b/>
        </w:rPr>
        <w:t xml:space="preserve">3. Programmability</w:t>
      </w:r>
      <w:r>
        <w:t xml:space="preserve">: Agentic USD can be programmed to execute automated payments, conditional transfers, and complex financial transactions. Traditional Gilts cannot.</w:t>
      </w:r>
    </w:p>
    <w:p>
      <w:pPr>
        <w:pStyle w:val="BodyText"/>
      </w:pPr>
      <w:r>
        <w:rPr>
          <w:bCs/>
          <w:b/>
        </w:rPr>
        <w:t xml:space="preserve">4. No Counterparty Risk</w:t>
      </w:r>
      <w:r>
        <w:t xml:space="preserve">: Agentic USD is backed 1:1 by US Treasuries held in custody. There is no counterparty risk to the issuer. Gilts, by contrast, carry the credit risk of the UK government.</w:t>
      </w:r>
    </w:p>
    <w:p>
      <w:pPr>
        <w:pStyle w:val="BodyText"/>
      </w:pPr>
      <w:r>
        <w:rPr>
          <w:bCs/>
          <w:b/>
        </w:rPr>
        <w:t xml:space="preserve">5. Tax Efficiency</w:t>
      </w:r>
      <w:r>
        <w:t xml:space="preserve">: Agentic USD offers tax efficiency through programmable payments and reduced compliance overhead. Gilts require traditional tax reporting.</w:t>
      </w:r>
    </w:p>
    <w:p>
      <w:pPr>
        <w:pStyle w:val="BodyText"/>
      </w:pPr>
      <w:r>
        <w:rPr>
          <w:bCs/>
          <w:b/>
        </w:rPr>
        <w:t xml:space="preserve">6. Global Accessibility</w:t>
      </w:r>
      <w:r>
        <w:t xml:space="preserve">: Agentic USD is accessible 24/7 globally through blockchain networks. Gilts are accessible only during UK business hours through traditional channels.</w:t>
      </w:r>
    </w:p>
    <w:bookmarkEnd w:id="21"/>
    <w:bookmarkStart w:id="22" w:name="the-drain-mechanism"/>
    <w:p>
      <w:pPr>
        <w:pStyle w:val="Heading3"/>
      </w:pPr>
      <w:r>
        <w:t xml:space="preserve">The Drain Mechanism</w:t>
      </w:r>
    </w:p>
    <w:p>
      <w:pPr>
        <w:pStyle w:val="FirstParagraph"/>
      </w:pPr>
      <w:r>
        <w:t xml:space="preserve">These advantages create a powerful incentive for UK corporations and institutions to hold Agentic USD instead of Gilts. The drain mechanism works as follows:</w:t>
      </w:r>
    </w:p>
    <w:p>
      <w:pPr>
        <w:numPr>
          <w:ilvl w:val="0"/>
          <w:numId w:val="1001"/>
        </w:numPr>
      </w:pPr>
      <w:r>
        <w:rPr>
          <w:bCs/>
          <w:b/>
        </w:rPr>
        <w:t xml:space="preserve">Multinational corporations</w:t>
      </w:r>
      <w:r>
        <w:t xml:space="preserve"> </w:t>
      </w:r>
      <w:r>
        <w:t xml:space="preserve">with USD revenues (e.g., HSBC, Shell, Unilever) currently hold USD in traditional bank accounts or short-term US Treasury bills.</w:t>
      </w:r>
    </w:p>
    <w:p>
      <w:pPr>
        <w:numPr>
          <w:ilvl w:val="0"/>
          <w:numId w:val="1001"/>
        </w:numPr>
      </w:pPr>
      <w:r>
        <w:rPr>
          <w:bCs/>
          <w:b/>
        </w:rPr>
        <w:t xml:space="preserve">These corporations recognize</w:t>
      </w:r>
      <w:r>
        <w:t xml:space="preserve"> </w:t>
      </w:r>
      <w:r>
        <w:t xml:space="preserve">that Agentic USD offers better terms: higher yield, faster settlement, programmability, and tax efficiency.</w:t>
      </w:r>
    </w:p>
    <w:p>
      <w:pPr>
        <w:numPr>
          <w:ilvl w:val="0"/>
          <w:numId w:val="1001"/>
        </w:numPr>
      </w:pPr>
      <w:r>
        <w:rPr>
          <w:bCs/>
          <w:b/>
        </w:rPr>
        <w:t xml:space="preserve">Corporations shift USD holdings</w:t>
      </w:r>
      <w:r>
        <w:t xml:space="preserve"> </w:t>
      </w:r>
      <w:r>
        <w:t xml:space="preserve">from traditional channels to Agentic USD stablecoins.</w:t>
      </w:r>
    </w:p>
    <w:p>
      <w:pPr>
        <w:numPr>
          <w:ilvl w:val="0"/>
          <w:numId w:val="1001"/>
        </w:numPr>
      </w:pPr>
      <w:r>
        <w:rPr>
          <w:bCs/>
          <w:b/>
        </w:rPr>
        <w:t xml:space="preserve">This shift reduces demand</w:t>
      </w:r>
      <w:r>
        <w:t xml:space="preserve"> </w:t>
      </w:r>
      <w:r>
        <w:t xml:space="preserve">for traditional Gilts, as corporations that would have held Gilts as a GBP-denominated store of value now hold Agentic USD.</w:t>
      </w:r>
    </w:p>
    <w:p>
      <w:pPr>
        <w:numPr>
          <w:ilvl w:val="0"/>
          <w:numId w:val="1001"/>
        </w:numPr>
      </w:pPr>
      <w:r>
        <w:rPr>
          <w:bCs/>
          <w:b/>
        </w:rPr>
        <w:t xml:space="preserve">Reduced demand drives up Gilt yields</w:t>
      </w:r>
      <w:r>
        <w:t xml:space="preserve">, forcing HM Treasury to borrow at higher rates.</w:t>
      </w:r>
    </w:p>
    <w:p>
      <w:pPr>
        <w:numPr>
          <w:ilvl w:val="0"/>
          <w:numId w:val="1001"/>
        </w:numPr>
      </w:pPr>
      <w:r>
        <w:rPr>
          <w:bCs/>
          <w:b/>
        </w:rPr>
        <w:t xml:space="preserve">Higher borrowing costs create fiscal pressure</w:t>
      </w:r>
      <w:r>
        <w:t xml:space="preserve">, forcing the government to cut spending or raise taxes.</w:t>
      </w:r>
    </w:p>
    <w:p>
      <w:pPr>
        <w:numPr>
          <w:ilvl w:val="0"/>
          <w:numId w:val="1001"/>
        </w:numPr>
      </w:pPr>
      <w:r>
        <w:rPr>
          <w:bCs/>
          <w:b/>
        </w:rPr>
        <w:t xml:space="preserve">The cycle accelerates</w:t>
      </w:r>
      <w:r>
        <w:t xml:space="preserve"> </w:t>
      </w:r>
      <w:r>
        <w:t xml:space="preserve">as higher Gilt yields make Agentic USD even more attractive relative to Gilts.</w:t>
      </w:r>
    </w:p>
    <w:bookmarkEnd w:id="22"/>
    <w:bookmarkStart w:id="23" w:name="scale-of-the-threat"/>
    <w:p>
      <w:pPr>
        <w:pStyle w:val="Heading3"/>
      </w:pPr>
      <w:r>
        <w:t xml:space="preserve">Scale of the Threat</w:t>
      </w:r>
    </w:p>
    <w:p>
      <w:pPr>
        <w:pStyle w:val="FirstParagraph"/>
      </w:pPr>
      <w:r>
        <w:t xml:space="preserve">Our analysis in Article 4 (</w:t>
      </w:r>
      <w:r>
        <w:t xml:space="preserve">“</w:t>
      </w:r>
      <w:r>
        <w:t xml:space="preserve">The Sovereign Debt Trap</w:t>
      </w:r>
      <w:r>
        <w:t xml:space="preserve">”</w:t>
      </w:r>
      <w:r>
        <w:t xml:space="preserve">) projects that Agentic USD could drain £260-450 billion from the UK financial system within 24 months. This represents:</w:t>
      </w:r>
    </w:p>
    <w:p>
      <w:pPr>
        <w:numPr>
          <w:ilvl w:val="0"/>
          <w:numId w:val="1002"/>
        </w:numPr>
        <w:pStyle w:val="Compact"/>
      </w:pPr>
      <w:r>
        <w:t xml:space="preserve">13-23% of UK M₀ (narrow money supply)</w:t>
      </w:r>
    </w:p>
    <w:p>
      <w:pPr>
        <w:numPr>
          <w:ilvl w:val="0"/>
          <w:numId w:val="1002"/>
        </w:numPr>
        <w:pStyle w:val="Compact"/>
      </w:pPr>
      <w:r>
        <w:t xml:space="preserve">4-7% of total Gilt market outstanding</w:t>
      </w:r>
    </w:p>
    <w:p>
      <w:pPr>
        <w:numPr>
          <w:ilvl w:val="0"/>
          <w:numId w:val="1002"/>
        </w:numPr>
        <w:pStyle w:val="Compact"/>
      </w:pPr>
      <w:r>
        <w:t xml:space="preserve">15-25% of corporate working capital</w:t>
      </w:r>
    </w:p>
    <w:p>
      <w:pPr>
        <w:pStyle w:val="FirstParagraph"/>
      </w:pPr>
      <w:r>
        <w:t xml:space="preserve">This is not a trivial amount. A drain of this magnitude would:</w:t>
      </w:r>
    </w:p>
    <w:p>
      <w:pPr>
        <w:numPr>
          <w:ilvl w:val="0"/>
          <w:numId w:val="1003"/>
        </w:numPr>
        <w:pStyle w:val="Compact"/>
      </w:pPr>
      <w:r>
        <w:t xml:space="preserve">Increase Gilt yields by 80-120 basis points</w:t>
      </w:r>
    </w:p>
    <w:p>
      <w:pPr>
        <w:numPr>
          <w:ilvl w:val="0"/>
          <w:numId w:val="1003"/>
        </w:numPr>
        <w:pStyle w:val="Compact"/>
      </w:pPr>
      <w:r>
        <w:t xml:space="preserve">Force HM Treasury to issue an additional £50-100 billion in Gilts annually</w:t>
      </w:r>
    </w:p>
    <w:p>
      <w:pPr>
        <w:numPr>
          <w:ilvl w:val="0"/>
          <w:numId w:val="1003"/>
        </w:numPr>
        <w:pStyle w:val="Compact"/>
      </w:pPr>
      <w:r>
        <w:t xml:space="preserve">Reduce credit creation by the UK banking system by £100-200 billion</w:t>
      </w:r>
    </w:p>
    <w:p>
      <w:pPr>
        <w:numPr>
          <w:ilvl w:val="0"/>
          <w:numId w:val="1003"/>
        </w:numPr>
        <w:pStyle w:val="Compact"/>
      </w:pPr>
      <w:r>
        <w:t xml:space="preserve">Create a fiscal crisis within 24-36 months</w:t>
      </w:r>
    </w:p>
    <w:p>
      <w:r>
        <w:pict>
          <v:rect style="width:0;height:1.5pt" o:hralign="center" o:hrstd="t" o:hr="t"/>
        </w:pict>
      </w:r>
    </w:p>
    <w:bookmarkEnd w:id="23"/>
    <w:bookmarkEnd w:id="24"/>
    <w:bookmarkStart w:id="35" w:name="Xb81218bffd703b4fb24263725ac4d4a4d6dbeda"/>
    <w:p>
      <w:pPr>
        <w:pStyle w:val="Heading2"/>
      </w:pPr>
      <w:r>
        <w:t xml:space="preserve">Part 2: The Historical Precedent—Tax-Driven Bond Markets and US Currency Strategy</w:t>
      </w:r>
    </w:p>
    <w:p>
      <w:pPr>
        <w:pStyle w:val="FirstParagraph"/>
      </w:pPr>
      <w:r>
        <w:t xml:space="preserve">To understand why Digital Gilts as tax payment is such a powerful response, we must examine the historical role of taxes in driving demand for government bonds. More importantly, we must understand how the United States deliberately used currency design and tax policy to establish dollar dominance.</w:t>
      </w:r>
    </w:p>
    <w:bookmarkStart w:id="28" w:name="Xcef21f8db7f9e0d208d0c8e0e21d4a5ba145d02"/>
    <w:p>
      <w:pPr>
        <w:pStyle w:val="Heading3"/>
      </w:pPr>
      <w:r>
        <w:t xml:space="preserve">How the US Established Dollar Dominance: A Historical Lesson</w:t>
      </w:r>
    </w:p>
    <w:p>
      <w:pPr>
        <w:pStyle w:val="FirstParagraph"/>
      </w:pPr>
      <w:r>
        <w:t xml:space="preserve">The United States did not achieve global currency dominance by accident. It was a deliberate policy choice, executed over more than a century through strategic use of currency design, tax policy, and financial infrastructure.</w:t>
      </w:r>
    </w:p>
    <w:p>
      <w:pPr>
        <w:pStyle w:val="BodyText"/>
      </w:pPr>
      <w:r>
        <w:t xml:space="preserve">Consider the historical US currency shown below—a $50 bill from the 1800s. This image illustrates a critical moment in American monetary history: the deliberate design of currency to establish confidence in US financial instruments and drive demand for US Treasury securities.</w:t>
      </w:r>
    </w:p>
    <w:p>
      <w:pPr>
        <w:pStyle w:val="CaptionedFigure"/>
      </w:pPr>
      <w:r>
        <w:drawing>
          <wp:inline>
            <wp:extent cx="3810000" cy="2540000"/>
            <wp:effectExtent b="0" l="0" r="0" t="0"/>
            <wp:docPr descr="Historical US Currency - 1800s $50 Bill" title="" id="26" name="Picture"/>
            <a:graphic>
              <a:graphicData uri="http://schemas.openxmlformats.org/drawingml/2006/picture">
                <pic:pic>
                  <pic:nvPicPr>
                    <pic:cNvPr descr="historical_us_currency_1800s.webp" id="27" name="Picture"/>
                    <pic:cNvPicPr>
                      <a:picLocks noChangeArrowheads="1" noChangeAspect="1"/>
                    </pic:cNvPicPr>
                  </pic:nvPicPr>
                  <pic:blipFill>
                    <a:blip r:embed="rId25"/>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Historical US Currency - 1800s $50 Bill</w:t>
      </w:r>
    </w:p>
    <w:p>
      <w:pPr>
        <w:pStyle w:val="BodyText"/>
      </w:pPr>
      <w:r>
        <w:rPr>
          <w:iCs/>
          <w:i/>
        </w:rPr>
        <w:t xml:space="preserve">Figure 1: Historical US Currency (1800s) - The deliberate design of US currency established confidence in American financial instruments and drove demand for US Treasury securities.</w:t>
      </w:r>
    </w:p>
    <w:bookmarkEnd w:id="28"/>
    <w:bookmarkStart w:id="29" w:name="X65b6e4828fb18199ddf26f347d11451dcc8743c"/>
    <w:p>
      <w:pPr>
        <w:pStyle w:val="Heading3"/>
      </w:pPr>
      <w:r>
        <w:t xml:space="preserve">The Strategic Elements of US Currency Design</w:t>
      </w:r>
    </w:p>
    <w:p>
      <w:pPr>
        <w:pStyle w:val="FirstParagraph"/>
      </w:pPr>
      <w:r>
        <w:t xml:space="preserve">The historical currency shown above demonstrates several strategic design elements that the US employed:</w:t>
      </w:r>
    </w:p>
    <w:p>
      <w:pPr>
        <w:pStyle w:val="BodyText"/>
      </w:pPr>
      <w:r>
        <w:rPr>
          <w:bCs/>
          <w:b/>
        </w:rPr>
        <w:t xml:space="preserve">1. National Symbolism</w:t>
      </w:r>
      <w:r>
        <w:t xml:space="preserve">: The eagle and patriotic imagery established the currency as a symbol of national strength and stability. This psychological element was crucial in building confidence in US financial instruments.</w:t>
      </w:r>
    </w:p>
    <w:p>
      <w:pPr>
        <w:pStyle w:val="BodyText"/>
      </w:pPr>
      <w:r>
        <w:rPr>
          <w:bCs/>
          <w:b/>
        </w:rPr>
        <w:t xml:space="preserve">2. Security Features</w:t>
      </w:r>
      <w:r>
        <w:t xml:space="preserve">: The ornate design and security features (visible in the detailed engraving) made counterfeiting difficult, establishing trust in the currency.</w:t>
      </w:r>
    </w:p>
    <w:p>
      <w:pPr>
        <w:pStyle w:val="BodyText"/>
      </w:pPr>
      <w:r>
        <w:rPr>
          <w:bCs/>
          <w:b/>
        </w:rPr>
        <w:t xml:space="preserve">3. Denomination Clarity</w:t>
      </w:r>
      <w:r>
        <w:t xml:space="preserve">: The prominent</w:t>
      </w:r>
      <w:r>
        <w:t xml:space="preserve"> </w:t>
      </w:r>
      <w:r>
        <w:t xml:space="preserve">“</w:t>
      </w:r>
      <w:r>
        <w:t xml:space="preserve">$50</w:t>
      </w:r>
      <w:r>
        <w:t xml:space="preserve">”</w:t>
      </w:r>
      <w:r>
        <w:t xml:space="preserve"> </w:t>
      </w:r>
      <w:r>
        <w:t xml:space="preserve">denomination made the currency’s value immediately apparent, facilitating commerce and building confidence in US financial instruments.</w:t>
      </w:r>
    </w:p>
    <w:p>
      <w:pPr>
        <w:pStyle w:val="BodyText"/>
      </w:pPr>
      <w:r>
        <w:rPr>
          <w:bCs/>
          <w:b/>
        </w:rPr>
        <w:t xml:space="preserve">4. Treasury Backing</w:t>
      </w:r>
      <w:r>
        <w:t xml:space="preserve">: The</w:t>
      </w:r>
      <w:r>
        <w:t xml:space="preserve"> </w:t>
      </w:r>
      <w:r>
        <w:t xml:space="preserve">“</w:t>
      </w:r>
      <w:r>
        <w:t xml:space="preserve">United States</w:t>
      </w:r>
      <w:r>
        <w:t xml:space="preserve">”</w:t>
      </w:r>
      <w:r>
        <w:t xml:space="preserve"> </w:t>
      </w:r>
      <w:r>
        <w:t xml:space="preserve">text and Treasury Department seal established that the currency was backed by the full faith and credit of the US government.</w:t>
      </w:r>
    </w:p>
    <w:bookmarkEnd w:id="29"/>
    <w:bookmarkStart w:id="30" w:name="the-tax-driven-demand-mechanism"/>
    <w:p>
      <w:pPr>
        <w:pStyle w:val="Heading3"/>
      </w:pPr>
      <w:r>
        <w:t xml:space="preserve">The Tax-Driven Demand Mechanism</w:t>
      </w:r>
    </w:p>
    <w:p>
      <w:pPr>
        <w:pStyle w:val="FirstParagraph"/>
      </w:pPr>
      <w:r>
        <w:t xml:space="preserve">But currency design alone was insufficient. The US also implemented a crucial policy:</w:t>
      </w:r>
      <w:r>
        <w:t xml:space="preserve"> </w:t>
      </w:r>
      <w:r>
        <w:rPr>
          <w:bCs/>
          <w:b/>
        </w:rPr>
        <w:t xml:space="preserve">tax-driven demand for US Treasury securities</w:t>
      </w:r>
      <w:r>
        <w:t xml:space="preserve">.</w:t>
      </w:r>
    </w:p>
    <w:p>
      <w:pPr>
        <w:pStyle w:val="BodyText"/>
      </w:pPr>
      <w:r>
        <w:t xml:space="preserve">Here’s how it worked:</w:t>
      </w:r>
    </w:p>
    <w:p>
      <w:pPr>
        <w:numPr>
          <w:ilvl w:val="0"/>
          <w:numId w:val="1004"/>
        </w:numPr>
      </w:pPr>
      <w:r>
        <w:rPr>
          <w:bCs/>
          <w:b/>
        </w:rPr>
        <w:t xml:space="preserve">US corporations had to pay federal income taxes</w:t>
      </w:r>
      <w:r>
        <w:t xml:space="preserve"> </w:t>
      </w:r>
      <w:r>
        <w:t xml:space="preserve">in US dollars (after the 16th Amendment in 1913).</w:t>
      </w:r>
    </w:p>
    <w:p>
      <w:pPr>
        <w:numPr>
          <w:ilvl w:val="0"/>
          <w:numId w:val="1004"/>
        </w:numPr>
      </w:pPr>
      <w:r>
        <w:rPr>
          <w:bCs/>
          <w:b/>
        </w:rPr>
        <w:t xml:space="preserve">This created automatic demand</w:t>
      </w:r>
      <w:r>
        <w:t xml:space="preserve"> </w:t>
      </w:r>
      <w:r>
        <w:t xml:space="preserve">for US Treasury securities, as corporations held them to prepare for tax payments.</w:t>
      </w:r>
    </w:p>
    <w:p>
      <w:pPr>
        <w:numPr>
          <w:ilvl w:val="0"/>
          <w:numId w:val="1004"/>
        </w:numPr>
      </w:pPr>
      <w:r>
        <w:rPr>
          <w:bCs/>
          <w:b/>
        </w:rPr>
        <w:t xml:space="preserve">This tax-driven demand became the foundation</w:t>
      </w:r>
      <w:r>
        <w:t xml:space="preserve"> </w:t>
      </w:r>
      <w:r>
        <w:t xml:space="preserve">of the US Treasury market.</w:t>
      </w:r>
    </w:p>
    <w:p>
      <w:pPr>
        <w:numPr>
          <w:ilvl w:val="0"/>
          <w:numId w:val="1004"/>
        </w:numPr>
      </w:pPr>
      <w:r>
        <w:rPr>
          <w:bCs/>
          <w:b/>
        </w:rPr>
        <w:t xml:space="preserve">Over time, this demand stabilized</w:t>
      </w:r>
      <w:r>
        <w:t xml:space="preserve"> </w:t>
      </w:r>
      <w:r>
        <w:t xml:space="preserve">US Treasury prices and enabled the US government to borrow at favorable rates.</w:t>
      </w:r>
    </w:p>
    <w:p>
      <w:pPr>
        <w:numPr>
          <w:ilvl w:val="0"/>
          <w:numId w:val="1004"/>
        </w:numPr>
      </w:pPr>
      <w:r>
        <w:rPr>
          <w:bCs/>
          <w:b/>
        </w:rPr>
        <w:t xml:space="preserve">As the US Treasury market grew</w:t>
      </w:r>
      <w:r>
        <w:t xml:space="preserve">, it became the world’s largest and most liquid bond market, attracting global investors.</w:t>
      </w:r>
    </w:p>
    <w:p>
      <w:pPr>
        <w:numPr>
          <w:ilvl w:val="0"/>
          <w:numId w:val="1004"/>
        </w:numPr>
      </w:pPr>
      <w:r>
        <w:rPr>
          <w:bCs/>
          <w:b/>
        </w:rPr>
        <w:t xml:space="preserve">This global demand for US Treasuries</w:t>
      </w:r>
      <w:r>
        <w:t xml:space="preserve"> </w:t>
      </w:r>
      <w:r>
        <w:t xml:space="preserve">created demand for US dollars, establishing the dollar as the global reserve currency.</w:t>
      </w:r>
    </w:p>
    <w:bookmarkEnd w:id="30"/>
    <w:bookmarkStart w:id="31" w:name="Xe63b2518320d35ad4ace08436f873ac5cb3859a"/>
    <w:p>
      <w:pPr>
        <w:pStyle w:val="Heading3"/>
      </w:pPr>
      <w:r>
        <w:t xml:space="preserve">The US Treasury Market: The World’s Largest Bond Market</w:t>
      </w:r>
    </w:p>
    <w:p>
      <w:pPr>
        <w:pStyle w:val="FirstParagraph"/>
      </w:pPr>
      <w:r>
        <w:t xml:space="preserve">The result of this deliberate strategy is the US Treasury market—the world’s largest and most liquid bond market, with approximately $26 trillion in outstanding debt. This market’s dominance is not accidental. It reflects several structural factors, one of which is particularly relevant to our analysis:</w:t>
      </w:r>
      <w:r>
        <w:t xml:space="preserve"> </w:t>
      </w:r>
      <w:r>
        <w:rPr>
          <w:bCs/>
          <w:b/>
        </w:rPr>
        <w:t xml:space="preserve">tax-driven demand</w:t>
      </w:r>
      <w:r>
        <w:t xml:space="preserve">.</w:t>
      </w:r>
    </w:p>
    <w:p>
      <w:pPr>
        <w:pStyle w:val="BodyText"/>
      </w:pPr>
      <w:r>
        <w:t xml:space="preserve">US corporations must pay their federal income taxes in US dollars. This creates automatic demand for US Treasury securities. Here’s how the mechanism works:</w:t>
      </w:r>
    </w:p>
    <w:p>
      <w:pPr>
        <w:numPr>
          <w:ilvl w:val="0"/>
          <w:numId w:val="1005"/>
        </w:numPr>
      </w:pPr>
      <w:r>
        <w:rPr>
          <w:bCs/>
          <w:b/>
        </w:rPr>
        <w:t xml:space="preserve">US corporations generate profits</w:t>
      </w:r>
      <w:r>
        <w:t xml:space="preserve"> </w:t>
      </w:r>
      <w:r>
        <w:t xml:space="preserve">in USD.</w:t>
      </w:r>
    </w:p>
    <w:p>
      <w:pPr>
        <w:numPr>
          <w:ilvl w:val="0"/>
          <w:numId w:val="1005"/>
        </w:numPr>
      </w:pPr>
      <w:r>
        <w:rPr>
          <w:bCs/>
          <w:b/>
        </w:rPr>
        <w:t xml:space="preserve">These corporations must pay federal income taxes</w:t>
      </w:r>
      <w:r>
        <w:t xml:space="preserve"> </w:t>
      </w:r>
      <w:r>
        <w:t xml:space="preserve">in USD, typically quarterly.</w:t>
      </w:r>
    </w:p>
    <w:p>
      <w:pPr>
        <w:numPr>
          <w:ilvl w:val="0"/>
          <w:numId w:val="1005"/>
        </w:numPr>
      </w:pPr>
      <w:r>
        <w:rPr>
          <w:bCs/>
          <w:b/>
        </w:rPr>
        <w:t xml:space="preserve">To prepare for tax payments</w:t>
      </w:r>
      <w:r>
        <w:t xml:space="preserve">, corporations hold USD-denominated assets—primarily US Treasury bills and bonds.</w:t>
      </w:r>
    </w:p>
    <w:p>
      <w:pPr>
        <w:numPr>
          <w:ilvl w:val="0"/>
          <w:numId w:val="1005"/>
        </w:numPr>
      </w:pPr>
      <w:r>
        <w:rPr>
          <w:bCs/>
          <w:b/>
        </w:rPr>
        <w:t xml:space="preserve">This creates automatic demand</w:t>
      </w:r>
      <w:r>
        <w:t xml:space="preserve"> </w:t>
      </w:r>
      <w:r>
        <w:t xml:space="preserve">for US Treasury securities.</w:t>
      </w:r>
    </w:p>
    <w:p>
      <w:pPr>
        <w:numPr>
          <w:ilvl w:val="0"/>
          <w:numId w:val="1005"/>
        </w:numPr>
      </w:pPr>
      <w:r>
        <w:rPr>
          <w:bCs/>
          <w:b/>
        </w:rPr>
        <w:t xml:space="preserve">This demand is structural and recurring</w:t>
      </w:r>
      <w:r>
        <w:t xml:space="preserve">, creating a stable floor for US Treasury prices.</w:t>
      </w:r>
    </w:p>
    <w:p>
      <w:pPr>
        <w:numPr>
          <w:ilvl w:val="0"/>
          <w:numId w:val="1005"/>
        </w:numPr>
      </w:pPr>
      <w:r>
        <w:rPr>
          <w:bCs/>
          <w:b/>
        </w:rPr>
        <w:t xml:space="preserve">This stable demand supports the US Treasury market</w:t>
      </w:r>
      <w:r>
        <w:t xml:space="preserve">, enabling the US government to borrow at favorable rates.</w:t>
      </w:r>
    </w:p>
    <w:bookmarkEnd w:id="31"/>
    <w:bookmarkStart w:id="32" w:name="the-historical-strength-of-uk-gilts"/>
    <w:p>
      <w:pPr>
        <w:pStyle w:val="Heading3"/>
      </w:pPr>
      <w:r>
        <w:t xml:space="preserve">The Historical Strength of UK Gilts</w:t>
      </w:r>
    </w:p>
    <w:p>
      <w:pPr>
        <w:pStyle w:val="FirstParagraph"/>
      </w:pPr>
      <w:r>
        <w:t xml:space="preserve">Historically, UK Gilts benefited from a similar mechanism. UK corporations paid their corporate income taxes in GBP, creating automatic demand for Gilt-denominated assets. This tax-driven demand was a key pillar supporting the Gilt market.</w:t>
      </w:r>
    </w:p>
    <w:p>
      <w:pPr>
        <w:pStyle w:val="BodyText"/>
      </w:pPr>
      <w:r>
        <w:t xml:space="preserve">However, in the digital age, this mechanism has broken down. Here’s why:</w:t>
      </w:r>
    </w:p>
    <w:p>
      <w:pPr>
        <w:numPr>
          <w:ilvl w:val="0"/>
          <w:numId w:val="1006"/>
        </w:numPr>
      </w:pPr>
      <w:r>
        <w:rPr>
          <w:bCs/>
          <w:b/>
        </w:rPr>
        <w:t xml:space="preserve">Corporations can now hold multiple currencies</w:t>
      </w:r>
      <w:r>
        <w:t xml:space="preserve"> </w:t>
      </w:r>
      <w:r>
        <w:t xml:space="preserve">simultaneously, without operational friction.</w:t>
      </w:r>
    </w:p>
    <w:p>
      <w:pPr>
        <w:numPr>
          <w:ilvl w:val="0"/>
          <w:numId w:val="1006"/>
        </w:numPr>
      </w:pPr>
      <w:r>
        <w:rPr>
          <w:bCs/>
          <w:b/>
        </w:rPr>
        <w:t xml:space="preserve">Digital assets and stablecoins</w:t>
      </w:r>
      <w:r>
        <w:t xml:space="preserve"> </w:t>
      </w:r>
      <w:r>
        <w:t xml:space="preserve">make it easy to hold USD, EUR, or other currencies without traditional banking infrastructure.</w:t>
      </w:r>
    </w:p>
    <w:p>
      <w:pPr>
        <w:numPr>
          <w:ilvl w:val="0"/>
          <w:numId w:val="1006"/>
        </w:numPr>
      </w:pPr>
      <w:r>
        <w:rPr>
          <w:bCs/>
          <w:b/>
        </w:rPr>
        <w:t xml:space="preserve">Tax payment deadlines</w:t>
      </w:r>
      <w:r>
        <w:t xml:space="preserve"> </w:t>
      </w:r>
      <w:r>
        <w:t xml:space="preserve">no longer force corporations to hold GBP-denominated assets. Corporations can hold USD and convert to GBP only at the moment of tax payment.</w:t>
      </w:r>
    </w:p>
    <w:p>
      <w:pPr>
        <w:numPr>
          <w:ilvl w:val="0"/>
          <w:numId w:val="1006"/>
        </w:numPr>
      </w:pPr>
      <w:r>
        <w:rPr>
          <w:bCs/>
          <w:b/>
        </w:rPr>
        <w:t xml:space="preserve">If USD-denominated assets offer better terms</w:t>
      </w:r>
      <w:r>
        <w:t xml:space="preserve"> </w:t>
      </w:r>
      <w:r>
        <w:t xml:space="preserve">(higher yield, faster settlement, programmability), corporations will hold USD and accept the currency conversion risk.</w:t>
      </w:r>
    </w:p>
    <w:p>
      <w:pPr>
        <w:numPr>
          <w:ilvl w:val="0"/>
          <w:numId w:val="1006"/>
        </w:numPr>
      </w:pPr>
      <w:r>
        <w:rPr>
          <w:bCs/>
          <w:b/>
        </w:rPr>
        <w:t xml:space="preserve">This breaks the tax-driven demand mechanism</w:t>
      </w:r>
      <w:r>
        <w:t xml:space="preserve"> </w:t>
      </w:r>
      <w:r>
        <w:t xml:space="preserve">that historically supported Gilts.</w:t>
      </w:r>
    </w:p>
    <w:bookmarkEnd w:id="32"/>
    <w:bookmarkStart w:id="33" w:name="X8996e563078d9c5997526db6066f26b8a8c2929"/>
    <w:p>
      <w:pPr>
        <w:pStyle w:val="Heading3"/>
      </w:pPr>
      <w:r>
        <w:t xml:space="preserve">Restoring the Mechanism: Digital Gilts as Tax Payment</w:t>
      </w:r>
    </w:p>
    <w:p>
      <w:pPr>
        <w:pStyle w:val="FirstParagraph"/>
      </w:pPr>
      <w:r>
        <w:t xml:space="preserve">By allowing corporations to pay taxes in Digital Gilts, HM Treasury can restore the tax-driven demand mechanism. Here’s how:</w:t>
      </w:r>
    </w:p>
    <w:p>
      <w:pPr>
        <w:numPr>
          <w:ilvl w:val="0"/>
          <w:numId w:val="1007"/>
        </w:numPr>
      </w:pPr>
      <w:r>
        <w:rPr>
          <w:bCs/>
          <w:b/>
        </w:rPr>
        <w:t xml:space="preserve">Corporations purchase Digital Gilts</w:t>
      </w:r>
      <w:r>
        <w:t xml:space="preserve"> </w:t>
      </w:r>
      <w:r>
        <w:t xml:space="preserve">as part of their working capital management.</w:t>
      </w:r>
    </w:p>
    <w:p>
      <w:pPr>
        <w:numPr>
          <w:ilvl w:val="0"/>
          <w:numId w:val="1007"/>
        </w:numPr>
      </w:pPr>
      <w:r>
        <w:rPr>
          <w:bCs/>
          <w:b/>
        </w:rPr>
        <w:t xml:space="preserve">Digital Gilts offer tax benefits</w:t>
      </w:r>
      <w:r>
        <w:t xml:space="preserve"> </w:t>
      </w:r>
      <w:r>
        <w:t xml:space="preserve">(e.g., tax-deferred status if held until tax payment date, or tax-exempt yield).</w:t>
      </w:r>
    </w:p>
    <w:p>
      <w:pPr>
        <w:numPr>
          <w:ilvl w:val="0"/>
          <w:numId w:val="1007"/>
        </w:numPr>
      </w:pPr>
      <w:r>
        <w:rPr>
          <w:bCs/>
          <w:b/>
        </w:rPr>
        <w:t xml:space="preserve">On tax payment date</w:t>
      </w:r>
      <w:r>
        <w:t xml:space="preserve">, corporations transfer Digital Gilts to HM Treasury as payment.</w:t>
      </w:r>
    </w:p>
    <w:p>
      <w:pPr>
        <w:numPr>
          <w:ilvl w:val="0"/>
          <w:numId w:val="1007"/>
        </w:numPr>
      </w:pPr>
      <w:r>
        <w:rPr>
          <w:bCs/>
          <w:b/>
        </w:rPr>
        <w:t xml:space="preserve">This creates automatic demand</w:t>
      </w:r>
      <w:r>
        <w:t xml:space="preserve"> </w:t>
      </w:r>
      <w:r>
        <w:t xml:space="preserve">for Digital Gilts, similar to the historical mechanism that supported US Treasuries.</w:t>
      </w:r>
    </w:p>
    <w:p>
      <w:pPr>
        <w:numPr>
          <w:ilvl w:val="0"/>
          <w:numId w:val="1007"/>
        </w:numPr>
      </w:pPr>
      <w:r>
        <w:rPr>
          <w:bCs/>
          <w:b/>
        </w:rPr>
        <w:t xml:space="preserve">This demand is structural and recurring</w:t>
      </w:r>
      <w:r>
        <w:t xml:space="preserve">, creating a stable floor for Digital Gilt prices.</w:t>
      </w:r>
    </w:p>
    <w:p>
      <w:pPr>
        <w:numPr>
          <w:ilvl w:val="0"/>
          <w:numId w:val="1007"/>
        </w:numPr>
      </w:pPr>
      <w:r>
        <w:rPr>
          <w:bCs/>
          <w:b/>
        </w:rPr>
        <w:t xml:space="preserve">This stable demand supports the Gilt market</w:t>
      </w:r>
      <w:r>
        <w:t xml:space="preserve">, enabling HM Treasury to borrow at favorable rates.</w:t>
      </w:r>
    </w:p>
    <w:bookmarkEnd w:id="33"/>
    <w:bookmarkStart w:id="34" w:name="X92ce07d62873157f24a376e6e8bde6cbcad398e"/>
    <w:p>
      <w:pPr>
        <w:pStyle w:val="Heading3"/>
      </w:pPr>
      <w:r>
        <w:t xml:space="preserve">The Strategic Lesson: The US Did This First</w:t>
      </w:r>
    </w:p>
    <w:p>
      <w:pPr>
        <w:pStyle w:val="FirstParagraph"/>
      </w:pPr>
      <w:r>
        <w:t xml:space="preserve">The key insight is that</w:t>
      </w:r>
      <w:r>
        <w:t xml:space="preserve"> </w:t>
      </w:r>
      <w:r>
        <w:rPr>
          <w:bCs/>
          <w:b/>
        </w:rPr>
        <w:t xml:space="preserve">the United States deliberately established dollar dominance through tax-driven demand for US Treasury securities</w:t>
      </w:r>
      <w:r>
        <w:t xml:space="preserve">. The historical currency shown above is not merely a historical artifact—it is evidence of a deliberate strategy to establish US financial dominance.</w:t>
      </w:r>
    </w:p>
    <w:p>
      <w:pPr>
        <w:pStyle w:val="BodyText"/>
      </w:pPr>
      <w:r>
        <w:t xml:space="preserve">The UK now faces a choice:</w:t>
      </w:r>
      <w:r>
        <w:t xml:space="preserve"> </w:t>
      </w:r>
      <w:r>
        <w:rPr>
          <w:bCs/>
          <w:b/>
        </w:rPr>
        <w:t xml:space="preserve">Will it employ the same strategy that made the US dollar dominant, or will it cede financial sovereignty to the US through Agentic USD?</w:t>
      </w:r>
    </w:p>
    <w:p>
      <w:pPr>
        <w:pStyle w:val="BodyText"/>
      </w:pPr>
      <w:r>
        <w:t xml:space="preserve">By implementing Digital Gilts as tax payment, HM Treasury can employ the same strategy that the US used to establish dollar dominance. The mechanism is proven. The strategy is proven. The only question is whether the UK has the political will to implement it.</w:t>
      </w:r>
    </w:p>
    <w:p>
      <w:r>
        <w:pict>
          <v:rect style="width:0;height:1.5pt" o:hralign="center" o:hrstd="t" o:hr="t"/>
        </w:pict>
      </w:r>
    </w:p>
    <w:bookmarkEnd w:id="34"/>
    <w:bookmarkEnd w:id="35"/>
    <w:bookmarkStart w:id="39" w:name="X5adbbc8152d3233020eef60c33e540f13eae267"/>
    <w:p>
      <w:pPr>
        <w:pStyle w:val="Heading2"/>
      </w:pPr>
      <w:r>
        <w:t xml:space="preserve">Part 3: Implementation Mechanisms—How Digital Gilts as Tax Payment Would Work</w:t>
      </w:r>
    </w:p>
    <w:bookmarkStart w:id="36" w:name="X60f7a3696e3992440bd55ddfaa9bab4d402ad6d"/>
    <w:p>
      <w:pPr>
        <w:pStyle w:val="Heading3"/>
      </w:pPr>
      <w:r>
        <w:t xml:space="preserve">Mechanism 1: Direct Tax Payment in Digital Gilts</w:t>
      </w:r>
    </w:p>
    <w:p>
      <w:pPr>
        <w:pStyle w:val="FirstParagraph"/>
      </w:pPr>
      <w:r>
        <w:t xml:space="preserve">The simplest implementation would allow corporations to pay taxes directly in Digital Gilts:</w:t>
      </w:r>
    </w:p>
    <w:p>
      <w:pPr>
        <w:pStyle w:val="BodyText"/>
      </w:pPr>
      <w:r>
        <w:rPr>
          <w:bCs/>
          <w:b/>
        </w:rPr>
        <w:t xml:space="preserve">Process:</w:t>
      </w:r>
    </w:p>
    <w:p>
      <w:pPr>
        <w:numPr>
          <w:ilvl w:val="0"/>
          <w:numId w:val="1008"/>
        </w:numPr>
      </w:pPr>
      <w:r>
        <w:rPr>
          <w:bCs/>
          <w:b/>
        </w:rPr>
        <w:t xml:space="preserve">Corporations hold Digital Gilts</w:t>
      </w:r>
      <w:r>
        <w:t xml:space="preserve"> </w:t>
      </w:r>
      <w:r>
        <w:t xml:space="preserve">as part of their working capital portfolio.</w:t>
      </w:r>
    </w:p>
    <w:p>
      <w:pPr>
        <w:numPr>
          <w:ilvl w:val="0"/>
          <w:numId w:val="1008"/>
        </w:numPr>
      </w:pPr>
      <w:r>
        <w:rPr>
          <w:bCs/>
          <w:b/>
        </w:rPr>
        <w:t xml:space="preserve">Tax payment date approaches</w:t>
      </w:r>
      <w:r>
        <w:t xml:space="preserve"> </w:t>
      </w:r>
      <w:r>
        <w:t xml:space="preserve">(typically quarterly for large corporations).</w:t>
      </w:r>
    </w:p>
    <w:p>
      <w:pPr>
        <w:numPr>
          <w:ilvl w:val="0"/>
          <w:numId w:val="1008"/>
        </w:numPr>
      </w:pPr>
      <w:r>
        <w:rPr>
          <w:bCs/>
          <w:b/>
        </w:rPr>
        <w:t xml:space="preserve">Corporation calculates tax liability</w:t>
      </w:r>
      <w:r>
        <w:t xml:space="preserve"> </w:t>
      </w:r>
      <w:r>
        <w:t xml:space="preserve">and determines how many Digital Gilts to transfer.</w:t>
      </w:r>
    </w:p>
    <w:p>
      <w:pPr>
        <w:numPr>
          <w:ilvl w:val="0"/>
          <w:numId w:val="1008"/>
        </w:numPr>
      </w:pPr>
      <w:r>
        <w:rPr>
          <w:bCs/>
          <w:b/>
        </w:rPr>
        <w:t xml:space="preserve">Corporation transfers Digital Gilts to HM Treasury</w:t>
      </w:r>
      <w:r>
        <w:t xml:space="preserve"> </w:t>
      </w:r>
      <w:r>
        <w:t xml:space="preserve">via blockchain network.</w:t>
      </w:r>
    </w:p>
    <w:p>
      <w:pPr>
        <w:numPr>
          <w:ilvl w:val="0"/>
          <w:numId w:val="1008"/>
        </w:numPr>
      </w:pPr>
      <w:r>
        <w:rPr>
          <w:bCs/>
          <w:b/>
        </w:rPr>
        <w:t xml:space="preserve">HM Treasury receives Digital Gilts</w:t>
      </w:r>
      <w:r>
        <w:t xml:space="preserve"> </w:t>
      </w:r>
      <w:r>
        <w:t xml:space="preserve">and records the tax payment.</w:t>
      </w:r>
    </w:p>
    <w:p>
      <w:pPr>
        <w:numPr>
          <w:ilvl w:val="0"/>
          <w:numId w:val="1008"/>
        </w:numPr>
      </w:pPr>
      <w:r>
        <w:rPr>
          <w:bCs/>
          <w:b/>
        </w:rPr>
        <w:t xml:space="preserve">HM Treasury can then:</w:t>
      </w:r>
    </w:p>
    <w:p>
      <w:pPr>
        <w:numPr>
          <w:ilvl w:val="1"/>
          <w:numId w:val="1009"/>
        </w:numPr>
        <w:pStyle w:val="Compact"/>
      </w:pPr>
      <w:r>
        <w:t xml:space="preserve">Hold the Digital Gilts (reducing Gilt supply in the market)</w:t>
      </w:r>
    </w:p>
    <w:p>
      <w:pPr>
        <w:numPr>
          <w:ilvl w:val="1"/>
          <w:numId w:val="1009"/>
        </w:numPr>
        <w:pStyle w:val="Compact"/>
      </w:pPr>
      <w:r>
        <w:t xml:space="preserve">Sell the Digital Gilts (raising cash)</w:t>
      </w:r>
    </w:p>
    <w:p>
      <w:pPr>
        <w:numPr>
          <w:ilvl w:val="1"/>
          <w:numId w:val="1009"/>
        </w:numPr>
        <w:pStyle w:val="Compact"/>
      </w:pPr>
      <w:r>
        <w:t xml:space="preserve">Retire the Digital Gilts (reducing government debt)</w:t>
      </w:r>
    </w:p>
    <w:p>
      <w:pPr>
        <w:pStyle w:val="FirstParagraph"/>
      </w:pPr>
      <w:r>
        <w:rPr>
          <w:bCs/>
          <w:b/>
        </w:rPr>
        <w:t xml:space="preserve">Advantages:</w:t>
      </w:r>
      <w:r>
        <w:t xml:space="preserve"> </w:t>
      </w:r>
      <w:r>
        <w:t xml:space="preserve">- Simple to implement</w:t>
      </w:r>
      <w:r>
        <w:t xml:space="preserve"> </w:t>
      </w:r>
      <w:r>
        <w:t xml:space="preserve">- Minimal regulatory changes required</w:t>
      </w:r>
      <w:r>
        <w:t xml:space="preserve"> </w:t>
      </w:r>
      <w:r>
        <w:t xml:space="preserve">- Corporations benefit from holding Gilts</w:t>
      </w:r>
      <w:r>
        <w:t xml:space="preserve"> </w:t>
      </w:r>
      <w:r>
        <w:t xml:space="preserve">- HM Treasury benefits from stable demand</w:t>
      </w:r>
    </w:p>
    <w:p>
      <w:pPr>
        <w:pStyle w:val="BodyText"/>
      </w:pPr>
      <w:r>
        <w:rPr>
          <w:bCs/>
          <w:b/>
        </w:rPr>
        <w:t xml:space="preserve">Challenges:</w:t>
      </w:r>
      <w:r>
        <w:t xml:space="preserve"> </w:t>
      </w:r>
      <w:r>
        <w:t xml:space="preserve">- Requires HMRC system changes</w:t>
      </w:r>
      <w:r>
        <w:t xml:space="preserve"> </w:t>
      </w:r>
      <w:r>
        <w:t xml:space="preserve">- Requires corporations to hold Gilts (not all will)</w:t>
      </w:r>
      <w:r>
        <w:t xml:space="preserve"> </w:t>
      </w:r>
      <w:r>
        <w:t xml:space="preserve">- May create tax arbitrage opportunities</w:t>
      </w:r>
    </w:p>
    <w:bookmarkEnd w:id="36"/>
    <w:bookmarkStart w:id="37" w:name="mechanism-2-tax-deferred-digital-gilts"/>
    <w:p>
      <w:pPr>
        <w:pStyle w:val="Heading3"/>
      </w:pPr>
      <w:r>
        <w:t xml:space="preserve">Mechanism 2: Tax-Deferred Digital Gilts</w:t>
      </w:r>
    </w:p>
    <w:p>
      <w:pPr>
        <w:pStyle w:val="FirstParagraph"/>
      </w:pPr>
      <w:r>
        <w:t xml:space="preserve">A more sophisticated implementation would create special</w:t>
      </w:r>
      <w:r>
        <w:t xml:space="preserve"> </w:t>
      </w:r>
      <w:r>
        <w:t xml:space="preserve">“</w:t>
      </w:r>
      <w:r>
        <w:t xml:space="preserve">tax-deferred</w:t>
      </w:r>
      <w:r>
        <w:t xml:space="preserve">”</w:t>
      </w:r>
      <w:r>
        <w:t xml:space="preserve"> </w:t>
      </w:r>
      <w:r>
        <w:t xml:space="preserve">Digital Gilts:</w:t>
      </w:r>
    </w:p>
    <w:p>
      <w:pPr>
        <w:pStyle w:val="BodyText"/>
      </w:pPr>
      <w:r>
        <w:rPr>
          <w:bCs/>
          <w:b/>
        </w:rPr>
        <w:t xml:space="preserve">Process:</w:t>
      </w:r>
    </w:p>
    <w:p>
      <w:pPr>
        <w:numPr>
          <w:ilvl w:val="0"/>
          <w:numId w:val="1010"/>
        </w:numPr>
      </w:pPr>
      <w:r>
        <w:rPr>
          <w:bCs/>
          <w:b/>
        </w:rPr>
        <w:t xml:space="preserve">HM Treasury issues</w:t>
      </w:r>
      <w:r>
        <w:rPr>
          <w:bCs/>
          <w:b/>
        </w:rPr>
        <w:t xml:space="preserve"> </w:t>
      </w:r>
      <w:r>
        <w:rPr>
          <w:bCs/>
          <w:b/>
        </w:rPr>
        <w:t xml:space="preserve">“</w:t>
      </w:r>
      <w:r>
        <w:rPr>
          <w:bCs/>
          <w:b/>
        </w:rPr>
        <w:t xml:space="preserve">tax-deferred</w:t>
      </w:r>
      <w:r>
        <w:rPr>
          <w:bCs/>
          <w:b/>
        </w:rPr>
        <w:t xml:space="preserve">”</w:t>
      </w:r>
      <w:r>
        <w:rPr>
          <w:bCs/>
          <w:b/>
        </w:rPr>
        <w:t xml:space="preserve"> </w:t>
      </w:r>
      <w:r>
        <w:rPr>
          <w:bCs/>
          <w:b/>
        </w:rPr>
        <w:t xml:space="preserve">Digital Gilts</w:t>
      </w:r>
      <w:r>
        <w:t xml:space="preserve"> </w:t>
      </w:r>
      <w:r>
        <w:t xml:space="preserve">with special characteristics:</w:t>
      </w:r>
    </w:p>
    <w:p>
      <w:pPr>
        <w:numPr>
          <w:ilvl w:val="1"/>
          <w:numId w:val="1011"/>
        </w:numPr>
        <w:pStyle w:val="Compact"/>
      </w:pPr>
      <w:r>
        <w:t xml:space="preserve">Yield is tax-exempt if held until tax payment date</w:t>
      </w:r>
    </w:p>
    <w:p>
      <w:pPr>
        <w:numPr>
          <w:ilvl w:val="1"/>
          <w:numId w:val="1011"/>
        </w:numPr>
        <w:pStyle w:val="Compact"/>
      </w:pPr>
      <w:r>
        <w:t xml:space="preserve">Tax-deferred status expires after tax payment</w:t>
      </w:r>
    </w:p>
    <w:p>
      <w:pPr>
        <w:numPr>
          <w:ilvl w:val="1"/>
          <w:numId w:val="1011"/>
        </w:numPr>
        <w:pStyle w:val="Compact"/>
      </w:pPr>
      <w:r>
        <w:t xml:space="preserve">Can only be held by UK-resident corporations</w:t>
      </w:r>
    </w:p>
    <w:p>
      <w:pPr>
        <w:numPr>
          <w:ilvl w:val="0"/>
          <w:numId w:val="1010"/>
        </w:numPr>
      </w:pPr>
      <w:r>
        <w:rPr>
          <w:bCs/>
          <w:b/>
        </w:rPr>
        <w:t xml:space="preserve">Corporations purchase tax-deferred Digital Gilts</w:t>
      </w:r>
      <w:r>
        <w:t xml:space="preserve"> </w:t>
      </w:r>
      <w:r>
        <w:t xml:space="preserve">because they offer:</w:t>
      </w:r>
    </w:p>
    <w:p>
      <w:pPr>
        <w:numPr>
          <w:ilvl w:val="1"/>
          <w:numId w:val="1012"/>
        </w:numPr>
        <w:pStyle w:val="Compact"/>
      </w:pPr>
      <w:r>
        <w:t xml:space="preserve">Tax-exempt yield (higher after-tax return than regular Gilts)</w:t>
      </w:r>
    </w:p>
    <w:p>
      <w:pPr>
        <w:numPr>
          <w:ilvl w:val="1"/>
          <w:numId w:val="1012"/>
        </w:numPr>
        <w:pStyle w:val="Compact"/>
      </w:pPr>
      <w:r>
        <w:t xml:space="preserve">Automatic tax payment mechanism</w:t>
      </w:r>
    </w:p>
    <w:p>
      <w:pPr>
        <w:numPr>
          <w:ilvl w:val="1"/>
          <w:numId w:val="1012"/>
        </w:numPr>
        <w:pStyle w:val="Compact"/>
      </w:pPr>
      <w:r>
        <w:t xml:space="preserve">Reduced compliance costs</w:t>
      </w:r>
    </w:p>
    <w:p>
      <w:pPr>
        <w:numPr>
          <w:ilvl w:val="0"/>
          <w:numId w:val="1010"/>
        </w:numPr>
      </w:pPr>
      <w:r>
        <w:rPr>
          <w:bCs/>
          <w:b/>
        </w:rPr>
        <w:t xml:space="preserve">On tax payment date</w:t>
      </w:r>
      <w:r>
        <w:t xml:space="preserve">, corporations transfer tax-deferred Digital Gilts to HM Treasury.</w:t>
      </w:r>
    </w:p>
    <w:p>
      <w:pPr>
        <w:numPr>
          <w:ilvl w:val="0"/>
          <w:numId w:val="1010"/>
        </w:numPr>
      </w:pPr>
      <w:r>
        <w:rPr>
          <w:bCs/>
          <w:b/>
        </w:rPr>
        <w:t xml:space="preserve">HM Treasury receives tax payment</w:t>
      </w:r>
      <w:r>
        <w:t xml:space="preserve"> </w:t>
      </w:r>
      <w:r>
        <w:t xml:space="preserve">and can retire the Digital Gilts or hold them.</w:t>
      </w:r>
    </w:p>
    <w:p>
      <w:pPr>
        <w:pStyle w:val="FirstParagraph"/>
      </w:pPr>
      <w:r>
        <w:rPr>
          <w:bCs/>
          <w:b/>
        </w:rPr>
        <w:t xml:space="preserve">Advantages:</w:t>
      </w:r>
      <w:r>
        <w:t xml:space="preserve"> </w:t>
      </w:r>
      <w:r>
        <w:t xml:space="preserve">- Creates strong incentive to hold Digital Gilts</w:t>
      </w:r>
      <w:r>
        <w:t xml:space="preserve"> </w:t>
      </w:r>
      <w:r>
        <w:t xml:space="preserve">- Tax-exempt yield makes Gilts competitive with Agentic USD</w:t>
      </w:r>
      <w:r>
        <w:t xml:space="preserve"> </w:t>
      </w:r>
      <w:r>
        <w:t xml:space="preserve">- Reduces tax compliance costs for corporations</w:t>
      </w:r>
      <w:r>
        <w:t xml:space="preserve"> </w:t>
      </w:r>
      <w:r>
        <w:t xml:space="preserve">- Stable, predictable demand for HM Treasury</w:t>
      </w:r>
    </w:p>
    <w:p>
      <w:pPr>
        <w:pStyle w:val="BodyText"/>
      </w:pPr>
      <w:r>
        <w:rPr>
          <w:bCs/>
          <w:b/>
        </w:rPr>
        <w:t xml:space="preserve">Challenges:</w:t>
      </w:r>
      <w:r>
        <w:t xml:space="preserve"> </w:t>
      </w:r>
      <w:r>
        <w:t xml:space="preserve">- Requires new tax legislation</w:t>
      </w:r>
      <w:r>
        <w:t xml:space="preserve"> </w:t>
      </w:r>
      <w:r>
        <w:t xml:space="preserve">- May reduce tax revenue (due to tax-exempt status)</w:t>
      </w:r>
      <w:r>
        <w:t xml:space="preserve"> </w:t>
      </w:r>
      <w:r>
        <w:t xml:space="preserve">- Requires careful design to prevent abuse</w:t>
      </w:r>
    </w:p>
    <w:bookmarkEnd w:id="37"/>
    <w:bookmarkStart w:id="38" w:name="mechanism-3-programmable-tax-settlements"/>
    <w:p>
      <w:pPr>
        <w:pStyle w:val="Heading3"/>
      </w:pPr>
      <w:r>
        <w:t xml:space="preserve">Mechanism 3: Programmable Tax Settlements</w:t>
      </w:r>
    </w:p>
    <w:p>
      <w:pPr>
        <w:pStyle w:val="FirstParagraph"/>
      </w:pPr>
      <w:r>
        <w:t xml:space="preserve">The most sophisticated implementation would enable fully programmable tax settlements:</w:t>
      </w:r>
    </w:p>
    <w:p>
      <w:pPr>
        <w:pStyle w:val="BodyText"/>
      </w:pPr>
      <w:r>
        <w:rPr>
          <w:bCs/>
          <w:b/>
        </w:rPr>
        <w:t xml:space="preserve">Process:</w:t>
      </w:r>
    </w:p>
    <w:p>
      <w:pPr>
        <w:numPr>
          <w:ilvl w:val="0"/>
          <w:numId w:val="1013"/>
        </w:numPr>
      </w:pPr>
      <w:r>
        <w:rPr>
          <w:bCs/>
          <w:b/>
        </w:rPr>
        <w:t xml:space="preserve">Corporations program Digital Gilts</w:t>
      </w:r>
      <w:r>
        <w:t xml:space="preserve"> </w:t>
      </w:r>
      <w:r>
        <w:t xml:space="preserve">with smart contracts that automatically transfer to HM Treasury on tax payment dates.</w:t>
      </w:r>
    </w:p>
    <w:p>
      <w:pPr>
        <w:numPr>
          <w:ilvl w:val="0"/>
          <w:numId w:val="1013"/>
        </w:numPr>
      </w:pPr>
      <w:r>
        <w:rPr>
          <w:bCs/>
          <w:b/>
        </w:rPr>
        <w:t xml:space="preserve">Smart contracts execute automatically</w:t>
      </w:r>
      <w:r>
        <w:t xml:space="preserve"> </w:t>
      </w:r>
      <w:r>
        <w:t xml:space="preserve">on the specified date, transferring Digital Gilts to HM Treasury.</w:t>
      </w:r>
    </w:p>
    <w:p>
      <w:pPr>
        <w:numPr>
          <w:ilvl w:val="0"/>
          <w:numId w:val="1013"/>
        </w:numPr>
      </w:pPr>
      <w:r>
        <w:rPr>
          <w:bCs/>
          <w:b/>
        </w:rPr>
        <w:t xml:space="preserve">HM Treasury receives automatic tax payments</w:t>
      </w:r>
      <w:r>
        <w:t xml:space="preserve"> </w:t>
      </w:r>
      <w:r>
        <w:t xml:space="preserve">without manual intervention.</w:t>
      </w:r>
    </w:p>
    <w:p>
      <w:pPr>
        <w:numPr>
          <w:ilvl w:val="0"/>
          <w:numId w:val="1013"/>
        </w:numPr>
      </w:pPr>
      <w:r>
        <w:rPr>
          <w:bCs/>
          <w:b/>
        </w:rPr>
        <w:t xml:space="preserve">Corporations benefit from:</w:t>
      </w:r>
    </w:p>
    <w:p>
      <w:pPr>
        <w:numPr>
          <w:ilvl w:val="1"/>
          <w:numId w:val="1014"/>
        </w:numPr>
        <w:pStyle w:val="Compact"/>
      </w:pPr>
      <w:r>
        <w:t xml:space="preserve">Fully automated tax compliance</w:t>
      </w:r>
    </w:p>
    <w:p>
      <w:pPr>
        <w:numPr>
          <w:ilvl w:val="1"/>
          <w:numId w:val="1014"/>
        </w:numPr>
        <w:pStyle w:val="Compact"/>
      </w:pPr>
      <w:r>
        <w:t xml:space="preserve">Reduced administrative overhead</w:t>
      </w:r>
    </w:p>
    <w:p>
      <w:pPr>
        <w:numPr>
          <w:ilvl w:val="1"/>
          <w:numId w:val="1014"/>
        </w:numPr>
        <w:pStyle w:val="Compact"/>
      </w:pPr>
      <w:r>
        <w:t xml:space="preserve">Certainty that tax payments will execute on time</w:t>
      </w:r>
    </w:p>
    <w:p>
      <w:pPr>
        <w:pStyle w:val="FirstParagraph"/>
      </w:pPr>
      <w:r>
        <w:rPr>
          <w:bCs/>
          <w:b/>
        </w:rPr>
        <w:t xml:space="preserve">Advantages:</w:t>
      </w:r>
      <w:r>
        <w:t xml:space="preserve"> </w:t>
      </w:r>
      <w:r>
        <w:t xml:space="preserve">- Fully automated, reducing compliance costs</w:t>
      </w:r>
      <w:r>
        <w:t xml:space="preserve"> </w:t>
      </w:r>
      <w:r>
        <w:t xml:space="preserve">- Programmable tax settlements enable new financial products</w:t>
      </w:r>
      <w:r>
        <w:t xml:space="preserve"> </w:t>
      </w:r>
      <w:r>
        <w:t xml:space="preserve">- Creates opportunity for AI agents to manage tax compliance</w:t>
      </w:r>
      <w:r>
        <w:t xml:space="preserve"> </w:t>
      </w:r>
      <w:r>
        <w:t xml:space="preserve">- Enables real-time tax reporting and visibility</w:t>
      </w:r>
    </w:p>
    <w:p>
      <w:pPr>
        <w:pStyle w:val="BodyText"/>
      </w:pPr>
      <w:r>
        <w:rPr>
          <w:bCs/>
          <w:b/>
        </w:rPr>
        <w:t xml:space="preserve">Challenges:</w:t>
      </w:r>
      <w:r>
        <w:t xml:space="preserve"> </w:t>
      </w:r>
      <w:r>
        <w:t xml:space="preserve">- Requires sophisticated smart contract technology</w:t>
      </w:r>
      <w:r>
        <w:t xml:space="preserve"> </w:t>
      </w:r>
      <w:r>
        <w:t xml:space="preserve">- Requires HMRC system integration</w:t>
      </w:r>
      <w:r>
        <w:t xml:space="preserve"> </w:t>
      </w:r>
      <w:r>
        <w:t xml:space="preserve">- May create new tax avoidance opportunities</w:t>
      </w:r>
      <w:r>
        <w:t xml:space="preserve"> </w:t>
      </w:r>
      <w:r>
        <w:t xml:space="preserve">- Requires careful regulatory oversight</w:t>
      </w:r>
    </w:p>
    <w:p>
      <w:r>
        <w:pict>
          <v:rect style="width:0;height:1.5pt" o:hralign="center" o:hrstd="t" o:hr="t"/>
        </w:pict>
      </w:r>
    </w:p>
    <w:bookmarkEnd w:id="38"/>
    <w:bookmarkEnd w:id="39"/>
    <w:bookmarkStart w:id="42" w:name="X65be11fc49f439edadd963fe1a4ae4ac4e80c43"/>
    <w:p>
      <w:pPr>
        <w:pStyle w:val="Heading2"/>
      </w:pPr>
      <w:r>
        <w:t xml:space="preserve">Part 4: Strategic Implications—Winners and Losers</w:t>
      </w:r>
    </w:p>
    <w:bookmarkStart w:id="40" w:name="Xbbea9158bc014213c02fbfd682696df6a4bde30"/>
    <w:p>
      <w:pPr>
        <w:pStyle w:val="Heading3"/>
      </w:pPr>
      <w:r>
        <w:t xml:space="preserve">If HM Treasury Implements Digital Gilts as Tax Payment</w:t>
      </w:r>
    </w:p>
    <w:p>
      <w:pPr>
        <w:pStyle w:val="FirstParagraph"/>
      </w:pPr>
      <w:r>
        <w:rPr>
          <w:bCs/>
          <w:b/>
        </w:rPr>
        <w:t xml:space="preserve">Winners:</w:t>
      </w:r>
    </w:p>
    <w:p>
      <w:pPr>
        <w:numPr>
          <w:ilvl w:val="0"/>
          <w:numId w:val="1015"/>
        </w:numPr>
        <w:pStyle w:val="Compact"/>
      </w:pPr>
      <w:r>
        <w:rPr>
          <w:bCs/>
          <w:b/>
        </w:rPr>
        <w:t xml:space="preserve">HM Treasury</w:t>
      </w:r>
      <w:r>
        <w:t xml:space="preserve">: Stabilizes Gilt demand, maintains fiscal control, preserves borrowing capacity</w:t>
      </w:r>
    </w:p>
    <w:p>
      <w:pPr>
        <w:numPr>
          <w:ilvl w:val="0"/>
          <w:numId w:val="1015"/>
        </w:numPr>
        <w:pStyle w:val="Compact"/>
      </w:pPr>
      <w:r>
        <w:rPr>
          <w:bCs/>
          <w:b/>
        </w:rPr>
        <w:t xml:space="preserve">UK Corporations</w:t>
      </w:r>
      <w:r>
        <w:t xml:space="preserve">: Benefit from yield on tax reserves, reduced compliance costs, tax-deferred status</w:t>
      </w:r>
    </w:p>
    <w:p>
      <w:pPr>
        <w:numPr>
          <w:ilvl w:val="0"/>
          <w:numId w:val="1015"/>
        </w:numPr>
        <w:pStyle w:val="Compact"/>
      </w:pPr>
      <w:r>
        <w:rPr>
          <w:bCs/>
          <w:b/>
        </w:rPr>
        <w:t xml:space="preserve">Bank of England</w:t>
      </w:r>
      <w:r>
        <w:t xml:space="preserve">: Maintains monetary policy control, preserves visibility into financial system</w:t>
      </w:r>
    </w:p>
    <w:p>
      <w:pPr>
        <w:numPr>
          <w:ilvl w:val="0"/>
          <w:numId w:val="1015"/>
        </w:numPr>
        <w:pStyle w:val="Compact"/>
      </w:pPr>
      <w:r>
        <w:rPr>
          <w:bCs/>
          <w:b/>
        </w:rPr>
        <w:t xml:space="preserve">Sterling</w:t>
      </w:r>
      <w:r>
        <w:t xml:space="preserve">: Remains competitive with USD, preserves currency sovereignty</w:t>
      </w:r>
    </w:p>
    <w:p>
      <w:pPr>
        <w:numPr>
          <w:ilvl w:val="0"/>
          <w:numId w:val="1015"/>
        </w:numPr>
        <w:pStyle w:val="Compact"/>
      </w:pPr>
      <w:r>
        <w:rPr>
          <w:bCs/>
          <w:b/>
        </w:rPr>
        <w:t xml:space="preserve">UK Financial System</w:t>
      </w:r>
      <w:r>
        <w:t xml:space="preserve">: Maintains independence from US financial system</w:t>
      </w:r>
    </w:p>
    <w:p>
      <w:pPr>
        <w:pStyle w:val="FirstParagraph"/>
      </w:pPr>
      <w:r>
        <w:rPr>
          <w:bCs/>
          <w:b/>
        </w:rPr>
        <w:t xml:space="preserve">Losers:</w:t>
      </w:r>
    </w:p>
    <w:p>
      <w:pPr>
        <w:numPr>
          <w:ilvl w:val="0"/>
          <w:numId w:val="1016"/>
        </w:numPr>
        <w:pStyle w:val="Compact"/>
      </w:pPr>
      <w:r>
        <w:rPr>
          <w:bCs/>
          <w:b/>
        </w:rPr>
        <w:t xml:space="preserve">Agentic USD</w:t>
      </w:r>
      <w:r>
        <w:t xml:space="preserve">: Loses UK corporate demand, reduced market share</w:t>
      </w:r>
    </w:p>
    <w:p>
      <w:pPr>
        <w:numPr>
          <w:ilvl w:val="0"/>
          <w:numId w:val="1016"/>
        </w:numPr>
        <w:pStyle w:val="Compact"/>
      </w:pPr>
      <w:r>
        <w:rPr>
          <w:bCs/>
          <w:b/>
        </w:rPr>
        <w:t xml:space="preserve">Foreign Investors</w:t>
      </w:r>
      <w:r>
        <w:t xml:space="preserve">: May face reduced Gilt yields (due to stable domestic demand)</w:t>
      </w:r>
    </w:p>
    <w:p>
      <w:pPr>
        <w:numPr>
          <w:ilvl w:val="0"/>
          <w:numId w:val="1016"/>
        </w:numPr>
        <w:pStyle w:val="Compact"/>
      </w:pPr>
      <w:r>
        <w:rPr>
          <w:bCs/>
          <w:b/>
        </w:rPr>
        <w:t xml:space="preserve">US Treasury</w:t>
      </w:r>
      <w:r>
        <w:t xml:space="preserve">: Loses influence over UK financial system</w:t>
      </w:r>
    </w:p>
    <w:p>
      <w:pPr>
        <w:pStyle w:val="FirstParagraph"/>
      </w:pPr>
      <w:r>
        <w:rPr>
          <w:bCs/>
          <w:b/>
        </w:rPr>
        <w:t xml:space="preserve">Outcome</w:t>
      </w:r>
      <w:r>
        <w:t xml:space="preserve">: UK maintains financial sovereignty, Agentic USD threat is contained, sterling remains a strong currency.</w:t>
      </w:r>
    </w:p>
    <w:bookmarkEnd w:id="40"/>
    <w:bookmarkStart w:id="41" w:name="if-hm-treasury-fails-to-implement"/>
    <w:p>
      <w:pPr>
        <w:pStyle w:val="Heading3"/>
      </w:pPr>
      <w:r>
        <w:t xml:space="preserve">If HM Treasury Fails to Implement</w:t>
      </w:r>
    </w:p>
    <w:p>
      <w:pPr>
        <w:pStyle w:val="FirstParagraph"/>
      </w:pPr>
      <w:r>
        <w:rPr>
          <w:bCs/>
          <w:b/>
        </w:rPr>
        <w:t xml:space="preserve">Winners:</w:t>
      </w:r>
    </w:p>
    <w:p>
      <w:pPr>
        <w:numPr>
          <w:ilvl w:val="0"/>
          <w:numId w:val="1017"/>
        </w:numPr>
        <w:pStyle w:val="Compact"/>
      </w:pPr>
      <w:r>
        <w:rPr>
          <w:bCs/>
          <w:b/>
        </w:rPr>
        <w:t xml:space="preserve">Agentic USD</w:t>
      </w:r>
      <w:r>
        <w:t xml:space="preserve">: Captures UK corporate demand, gains market share</w:t>
      </w:r>
    </w:p>
    <w:p>
      <w:pPr>
        <w:numPr>
          <w:ilvl w:val="0"/>
          <w:numId w:val="1017"/>
        </w:numPr>
        <w:pStyle w:val="Compact"/>
      </w:pPr>
      <w:r>
        <w:rPr>
          <w:bCs/>
          <w:b/>
        </w:rPr>
        <w:t xml:space="preserve">US Treasury</w:t>
      </w:r>
      <w:r>
        <w:t xml:space="preserve">: Gains influence over UK financial system</w:t>
      </w:r>
    </w:p>
    <w:p>
      <w:pPr>
        <w:numPr>
          <w:ilvl w:val="0"/>
          <w:numId w:val="1017"/>
        </w:numPr>
        <w:pStyle w:val="Compact"/>
      </w:pPr>
      <w:r>
        <w:rPr>
          <w:bCs/>
          <w:b/>
        </w:rPr>
        <w:t xml:space="preserve">Foreign Investors</w:t>
      </w:r>
      <w:r>
        <w:t xml:space="preserve">: Benefit from higher Gilt yields (due to reduced domestic demand)</w:t>
      </w:r>
    </w:p>
    <w:p>
      <w:pPr>
        <w:pStyle w:val="FirstParagraph"/>
      </w:pPr>
      <w:r>
        <w:rPr>
          <w:bCs/>
          <w:b/>
        </w:rPr>
        <w:t xml:space="preserve">Losers:</w:t>
      </w:r>
    </w:p>
    <w:p>
      <w:pPr>
        <w:numPr>
          <w:ilvl w:val="0"/>
          <w:numId w:val="1018"/>
        </w:numPr>
        <w:pStyle w:val="Compact"/>
      </w:pPr>
      <w:r>
        <w:rPr>
          <w:bCs/>
          <w:b/>
        </w:rPr>
        <w:t xml:space="preserve">HM Treasury</w:t>
      </w:r>
      <w:r>
        <w:t xml:space="preserve">: Loses Gilt demand, faces fiscal crisis, forced to borrow at higher rates</w:t>
      </w:r>
    </w:p>
    <w:p>
      <w:pPr>
        <w:numPr>
          <w:ilvl w:val="0"/>
          <w:numId w:val="1018"/>
        </w:numPr>
        <w:pStyle w:val="Compact"/>
      </w:pPr>
      <w:r>
        <w:rPr>
          <w:bCs/>
          <w:b/>
        </w:rPr>
        <w:t xml:space="preserve">UK Corporations</w:t>
      </w:r>
      <w:r>
        <w:t xml:space="preserve">: Face higher borrowing costs, reduced credit availability</w:t>
      </w:r>
    </w:p>
    <w:p>
      <w:pPr>
        <w:numPr>
          <w:ilvl w:val="0"/>
          <w:numId w:val="1018"/>
        </w:numPr>
        <w:pStyle w:val="Compact"/>
      </w:pPr>
      <w:r>
        <w:rPr>
          <w:bCs/>
          <w:b/>
        </w:rPr>
        <w:t xml:space="preserve">Bank of England</w:t>
      </w:r>
      <w:r>
        <w:t xml:space="preserve">: Loses monetary policy control, loses visibility into financial system</w:t>
      </w:r>
    </w:p>
    <w:p>
      <w:pPr>
        <w:numPr>
          <w:ilvl w:val="0"/>
          <w:numId w:val="1018"/>
        </w:numPr>
        <w:pStyle w:val="Compact"/>
      </w:pPr>
      <w:r>
        <w:rPr>
          <w:bCs/>
          <w:b/>
        </w:rPr>
        <w:t xml:space="preserve">Sterling</w:t>
      </w:r>
      <w:r>
        <w:t xml:space="preserve">: Loses competitiveness, faces depreciation pressure</w:t>
      </w:r>
    </w:p>
    <w:p>
      <w:pPr>
        <w:numPr>
          <w:ilvl w:val="0"/>
          <w:numId w:val="1018"/>
        </w:numPr>
        <w:pStyle w:val="Compact"/>
      </w:pPr>
      <w:r>
        <w:rPr>
          <w:bCs/>
          <w:b/>
        </w:rPr>
        <w:t xml:space="preserve">UK Financial System</w:t>
      </w:r>
      <w:r>
        <w:t xml:space="preserve">: Becomes dependent on US financial system</w:t>
      </w:r>
    </w:p>
    <w:p>
      <w:pPr>
        <w:pStyle w:val="FirstParagraph"/>
      </w:pPr>
      <w:r>
        <w:rPr>
          <w:bCs/>
          <w:b/>
        </w:rPr>
        <w:t xml:space="preserve">Outcome</w:t>
      </w:r>
      <w:r>
        <w:t xml:space="preserve">: UK loses financial sovereignty, dollarization accelerates, sterling weakens, UK enters fiscal crisis.</w:t>
      </w:r>
    </w:p>
    <w:p>
      <w:r>
        <w:pict>
          <v:rect style="width:0;height:1.5pt" o:hralign="center" o:hrstd="t" o:hr="t"/>
        </w:pict>
      </w:r>
    </w:p>
    <w:bookmarkEnd w:id="41"/>
    <w:bookmarkEnd w:id="42"/>
    <w:bookmarkStart w:id="47" w:name="X41e9f7fe004581b10729642938bdc0ca60c1fa7"/>
    <w:p>
      <w:pPr>
        <w:pStyle w:val="Heading2"/>
      </w:pPr>
      <w:r>
        <w:t xml:space="preserve">Part 5: Timeline and Implementation Roadmap</w:t>
      </w:r>
    </w:p>
    <w:bookmarkStart w:id="43" w:name="Xbea7e229f3529815fc239ae1b3496188ebf498c"/>
    <w:p>
      <w:pPr>
        <w:pStyle w:val="Heading3"/>
      </w:pPr>
      <w:r>
        <w:t xml:space="preserve">Phase 1: Recognition and Analysis (2025-2026)</w:t>
      </w:r>
    </w:p>
    <w:p>
      <w:pPr>
        <w:pStyle w:val="FirstParagraph"/>
      </w:pPr>
      <w:r>
        <w:rPr>
          <w:bCs/>
          <w:b/>
        </w:rPr>
        <w:t xml:space="preserve">Actions:</w:t>
      </w:r>
      <w:r>
        <w:t xml:space="preserve"> </w:t>
      </w:r>
      <w:r>
        <w:t xml:space="preserve">- HM Treasury recognizes Agentic USD threat</w:t>
      </w:r>
      <w:r>
        <w:t xml:space="preserve"> </w:t>
      </w:r>
      <w:r>
        <w:t xml:space="preserve">- Gilt yields begin rising</w:t>
      </w:r>
      <w:r>
        <w:t xml:space="preserve"> </w:t>
      </w:r>
      <w:r>
        <w:t xml:space="preserve">- Policy discussions begin within Treasury and BoE</w:t>
      </w:r>
      <w:r>
        <w:t xml:space="preserve"> </w:t>
      </w:r>
      <w:r>
        <w:t xml:space="preserve">- Economic analysis confirms threat magnitude</w:t>
      </w:r>
    </w:p>
    <w:p>
      <w:pPr>
        <w:pStyle w:val="BodyText"/>
      </w:pPr>
      <w:r>
        <w:rPr>
          <w:bCs/>
          <w:b/>
        </w:rPr>
        <w:t xml:space="preserve">Indicators:</w:t>
      </w:r>
      <w:r>
        <w:t xml:space="preserve"> </w:t>
      </w:r>
      <w:r>
        <w:t xml:space="preserve">- Gilt yields rise 50+ basis points</w:t>
      </w:r>
      <w:r>
        <w:t xml:space="preserve"> </w:t>
      </w:r>
      <w:r>
        <w:t xml:space="preserve">- Agentic USD adoption accelerates</w:t>
      </w:r>
      <w:r>
        <w:t xml:space="preserve"> </w:t>
      </w:r>
      <w:r>
        <w:t xml:space="preserve">- Corporate demand for Gilts declines</w:t>
      </w:r>
      <w:r>
        <w:t xml:space="preserve"> </w:t>
      </w:r>
      <w:r>
        <w:t xml:space="preserve">- Media coverage of Agentic USD threat increases</w:t>
      </w:r>
    </w:p>
    <w:bookmarkEnd w:id="43"/>
    <w:bookmarkStart w:id="44" w:name="phase-2-pilot-program-2026-2027"/>
    <w:p>
      <w:pPr>
        <w:pStyle w:val="Heading3"/>
      </w:pPr>
      <w:r>
        <w:t xml:space="preserve">Phase 2: Pilot Program (2026-2027)</w:t>
      </w:r>
    </w:p>
    <w:p>
      <w:pPr>
        <w:pStyle w:val="FirstParagraph"/>
      </w:pPr>
      <w:r>
        <w:rPr>
          <w:bCs/>
          <w:b/>
        </w:rPr>
        <w:t xml:space="preserve">Actions:</w:t>
      </w:r>
      <w:r>
        <w:t xml:space="preserve"> </w:t>
      </w:r>
      <w:r>
        <w:t xml:space="preserve">- HM Treasury announces Digital Gilts as tax payment pilot</w:t>
      </w:r>
      <w:r>
        <w:t xml:space="preserve"> </w:t>
      </w:r>
      <w:r>
        <w:t xml:space="preserve">- Selects 20-30 large corporations to participate</w:t>
      </w:r>
      <w:r>
        <w:t xml:space="preserve"> </w:t>
      </w:r>
      <w:r>
        <w:t xml:space="preserve">- Tests tax payment mechanisms</w:t>
      </w:r>
      <w:r>
        <w:t xml:space="preserve"> </w:t>
      </w:r>
      <w:r>
        <w:t xml:space="preserve">- Refines HMRC systems</w:t>
      </w:r>
      <w:r>
        <w:t xml:space="preserve"> </w:t>
      </w:r>
      <w:r>
        <w:t xml:space="preserve">- Gathers data on pilot effectiveness</w:t>
      </w:r>
    </w:p>
    <w:p>
      <w:pPr>
        <w:pStyle w:val="BodyText"/>
      </w:pPr>
      <w:r>
        <w:rPr>
          <w:bCs/>
          <w:b/>
        </w:rPr>
        <w:t xml:space="preserve">Deliverables:</w:t>
      </w:r>
      <w:r>
        <w:t xml:space="preserve"> </w:t>
      </w:r>
      <w:r>
        <w:t xml:space="preserve">- Pilot program results</w:t>
      </w:r>
      <w:r>
        <w:t xml:space="preserve"> </w:t>
      </w:r>
      <w:r>
        <w:t xml:space="preserve">- Lessons learned</w:t>
      </w:r>
      <w:r>
        <w:t xml:space="preserve"> </w:t>
      </w:r>
      <w:r>
        <w:t xml:space="preserve">- Refined implementation plan</w:t>
      </w:r>
      <w:r>
        <w:t xml:space="preserve"> </w:t>
      </w:r>
      <w:r>
        <w:t xml:space="preserve">- Parliamentary briefing</w:t>
      </w:r>
    </w:p>
    <w:bookmarkEnd w:id="44"/>
    <w:bookmarkStart w:id="45" w:name="phase-3-full-implementation-2027-2028"/>
    <w:p>
      <w:pPr>
        <w:pStyle w:val="Heading3"/>
      </w:pPr>
      <w:r>
        <w:t xml:space="preserve">Phase 3: Full Implementation (2027-2028)</w:t>
      </w:r>
    </w:p>
    <w:p>
      <w:pPr>
        <w:pStyle w:val="FirstParagraph"/>
      </w:pPr>
      <w:r>
        <w:rPr>
          <w:bCs/>
          <w:b/>
        </w:rPr>
        <w:t xml:space="preserve">Actions:</w:t>
      </w:r>
      <w:r>
        <w:t xml:space="preserve"> </w:t>
      </w:r>
      <w:r>
        <w:t xml:space="preserve">- HM Treasury obtains Parliamentary approval for tax law changes</w:t>
      </w:r>
      <w:r>
        <w:t xml:space="preserve"> </w:t>
      </w:r>
      <w:r>
        <w:t xml:space="preserve">- Implements full Digital Gilts tax payment system</w:t>
      </w:r>
      <w:r>
        <w:t xml:space="preserve"> </w:t>
      </w:r>
      <w:r>
        <w:t xml:space="preserve">- Makes available to all UK corporations</w:t>
      </w:r>
      <w:r>
        <w:t xml:space="preserve"> </w:t>
      </w:r>
      <w:r>
        <w:t xml:space="preserve">- Enables tax-deferred Digital Gilts (if approved)</w:t>
      </w:r>
      <w:r>
        <w:t xml:space="preserve"> </w:t>
      </w:r>
      <w:r>
        <w:t xml:space="preserve">- Integrates with HMRC systems</w:t>
      </w:r>
    </w:p>
    <w:p>
      <w:pPr>
        <w:pStyle w:val="BodyText"/>
      </w:pPr>
      <w:r>
        <w:rPr>
          <w:bCs/>
          <w:b/>
        </w:rPr>
        <w:t xml:space="preserve">Deliverables:</w:t>
      </w:r>
      <w:r>
        <w:t xml:space="preserve"> </w:t>
      </w:r>
      <w:r>
        <w:t xml:space="preserve">- Digital Gilts tax payment system live</w:t>
      </w:r>
      <w:r>
        <w:t xml:space="preserve"> </w:t>
      </w:r>
      <w:r>
        <w:t xml:space="preserve">- Tax-deferred Digital Gilts available</w:t>
      </w:r>
      <w:r>
        <w:t xml:space="preserve"> </w:t>
      </w:r>
      <w:r>
        <w:t xml:space="preserve">- HMRC systems updated</w:t>
      </w:r>
      <w:r>
        <w:t xml:space="preserve"> </w:t>
      </w:r>
      <w:r>
        <w:t xml:space="preserve">- Corporate guidance published</w:t>
      </w:r>
    </w:p>
    <w:bookmarkEnd w:id="45"/>
    <w:bookmarkStart w:id="46" w:name="X570b70d5d89195e06f5d59f6220e12dff11aee0"/>
    <w:p>
      <w:pPr>
        <w:pStyle w:val="Heading3"/>
      </w:pPr>
      <w:r>
        <w:t xml:space="preserve">Phase 4: Integration and Optimization (2028-2030)</w:t>
      </w:r>
    </w:p>
    <w:p>
      <w:pPr>
        <w:pStyle w:val="FirstParagraph"/>
      </w:pPr>
      <w:r>
        <w:rPr>
          <w:bCs/>
          <w:b/>
        </w:rPr>
        <w:t xml:space="preserve">Actions:</w:t>
      </w:r>
      <w:r>
        <w:t xml:space="preserve"> </w:t>
      </w:r>
      <w:r>
        <w:t xml:space="preserve">- Digital Gilts become primary corporate tax payment method</w:t>
      </w:r>
      <w:r>
        <w:t xml:space="preserve"> </w:t>
      </w:r>
      <w:r>
        <w:t xml:space="preserve">- Programmable tax settlements become standard</w:t>
      </w:r>
      <w:r>
        <w:t xml:space="preserve"> </w:t>
      </w:r>
      <w:r>
        <w:t xml:space="preserve">- Integration with AI agents for automated tax compliance</w:t>
      </w:r>
      <w:r>
        <w:t xml:space="preserve"> </w:t>
      </w:r>
      <w:r>
        <w:t xml:space="preserve">- Expansion to other tax types (VAT, payroll taxes)</w:t>
      </w:r>
      <w:r>
        <w:t xml:space="preserve"> </w:t>
      </w:r>
      <w:r>
        <w:t xml:space="preserve">- International coordination with other central banks</w:t>
      </w:r>
    </w:p>
    <w:p>
      <w:pPr>
        <w:pStyle w:val="BodyText"/>
      </w:pPr>
      <w:r>
        <w:rPr>
          <w:bCs/>
          <w:b/>
        </w:rPr>
        <w:t xml:space="preserve">Deliverables:</w:t>
      </w:r>
      <w:r>
        <w:t xml:space="preserve"> </w:t>
      </w:r>
      <w:r>
        <w:t xml:space="preserve">- Digital Gilts as standard tax payment method</w:t>
      </w:r>
      <w:r>
        <w:t xml:space="preserve"> </w:t>
      </w:r>
      <w:r>
        <w:t xml:space="preserve">- Programmable tax settlement infrastructure</w:t>
      </w:r>
      <w:r>
        <w:t xml:space="preserve"> </w:t>
      </w:r>
      <w:r>
        <w:t xml:space="preserve">- AI-enabled tax compliance</w:t>
      </w:r>
      <w:r>
        <w:t xml:space="preserve"> </w:t>
      </w:r>
      <w:r>
        <w:t xml:space="preserve">- International coordination agreements</w:t>
      </w:r>
    </w:p>
    <w:p>
      <w:r>
        <w:pict>
          <v:rect style="width:0;height:1.5pt" o:hralign="center" o:hrstd="t" o:hr="t"/>
        </w:pict>
      </w:r>
    </w:p>
    <w:bookmarkEnd w:id="46"/>
    <w:bookmarkEnd w:id="47"/>
    <w:bookmarkStart w:id="48" w:name="X87f6a8e2bbca0f3dc1112de7b567e3192f88415"/>
    <w:p>
      <w:pPr>
        <w:pStyle w:val="Heading2"/>
      </w:pPr>
      <w:r>
        <w:t xml:space="preserve">Part 6: Comparative Analysis—Digital Gilts vs. Agentic USD</w:t>
      </w:r>
    </w:p>
    <w:tbl>
      <w:tblPr>
        <w:tblStyle w:val="Table"/>
        <w:tblW w:type="pct" w:w="5000"/>
        <w:tblLook w:firstRow="1" w:lastRow="0" w:firstColumn="0" w:lastColumn="0" w:noHBand="0" w:noVBand="0" w:val="0020"/>
        <w:jc w:val="start"/>
      </w:tblPr>
      <w:tblGrid>
        <w:gridCol w:w="1620"/>
        <w:gridCol w:w="2700"/>
        <w:gridCol w:w="2160"/>
        <w:gridCol w:w="1440"/>
      </w:tblGrid>
      <w:tr>
        <w:trPr>
          <w:tblHeader w:val="true"/>
        </w:trPr>
        <w:tc>
          <w:tcPr/>
          <w:p>
            <w:pPr>
              <w:pStyle w:val="Compact"/>
              <w:jc w:val="left"/>
            </w:pPr>
            <w:r>
              <w:t xml:space="preserve">Feature</w:t>
            </w:r>
          </w:p>
        </w:tc>
        <w:tc>
          <w:tcPr/>
          <w:p>
            <w:pPr>
              <w:pStyle w:val="Compact"/>
              <w:jc w:val="left"/>
            </w:pPr>
            <w:r>
              <w:t xml:space="preserve">Digital Gilts</w:t>
            </w:r>
          </w:p>
        </w:tc>
        <w:tc>
          <w:tcPr/>
          <w:p>
            <w:pPr>
              <w:pStyle w:val="Compact"/>
              <w:jc w:val="left"/>
            </w:pPr>
            <w:r>
              <w:t xml:space="preserve">Agentic USD</w:t>
            </w:r>
          </w:p>
        </w:tc>
        <w:tc>
          <w:tcPr/>
          <w:p>
            <w:pPr>
              <w:pStyle w:val="Compact"/>
              <w:jc w:val="left"/>
            </w:pPr>
            <w:r>
              <w:t xml:space="preserve">Winner</w:t>
            </w:r>
          </w:p>
        </w:tc>
      </w:tr>
      <w:tr>
        <w:tc>
          <w:tcPr/>
          <w:p>
            <w:pPr>
              <w:pStyle w:val="Compact"/>
              <w:jc w:val="left"/>
            </w:pPr>
            <w:r>
              <w:rPr>
                <w:bCs/>
                <w:b/>
              </w:rPr>
              <w:t xml:space="preserve">Backing</w:t>
            </w:r>
          </w:p>
        </w:tc>
        <w:tc>
          <w:tcPr/>
          <w:p>
            <w:pPr>
              <w:pStyle w:val="Compact"/>
              <w:jc w:val="left"/>
            </w:pPr>
            <w:r>
              <w:t xml:space="preserve">UK government</w:t>
            </w:r>
          </w:p>
        </w:tc>
        <w:tc>
          <w:tcPr/>
          <w:p>
            <w:pPr>
              <w:pStyle w:val="Compact"/>
              <w:jc w:val="left"/>
            </w:pPr>
            <w:r>
              <w:t xml:space="preserve">US Treasury</w:t>
            </w:r>
          </w:p>
        </w:tc>
        <w:tc>
          <w:tcPr/>
          <w:p>
            <w:pPr>
              <w:pStyle w:val="Compact"/>
              <w:jc w:val="left"/>
            </w:pPr>
            <w:r>
              <w:t xml:space="preserve">Agentic USD (safer)</w:t>
            </w:r>
          </w:p>
        </w:tc>
      </w:tr>
      <w:tr>
        <w:tc>
          <w:tcPr/>
          <w:p>
            <w:pPr>
              <w:pStyle w:val="Compact"/>
              <w:jc w:val="left"/>
            </w:pPr>
            <w:r>
              <w:rPr>
                <w:bCs/>
                <w:b/>
              </w:rPr>
              <w:t xml:space="preserve">Yield</w:t>
            </w:r>
          </w:p>
        </w:tc>
        <w:tc>
          <w:tcPr/>
          <w:p>
            <w:pPr>
              <w:pStyle w:val="Compact"/>
              <w:jc w:val="left"/>
            </w:pPr>
            <w:r>
              <w:t xml:space="preserve">4-5% (if pass-through enabled)</w:t>
            </w:r>
          </w:p>
        </w:tc>
        <w:tc>
          <w:tcPr/>
          <w:p>
            <w:pPr>
              <w:pStyle w:val="Compact"/>
              <w:jc w:val="left"/>
            </w:pPr>
            <w:r>
              <w:t xml:space="preserve">4.5-5%</w:t>
            </w:r>
          </w:p>
        </w:tc>
        <w:tc>
          <w:tcPr/>
          <w:p>
            <w:pPr>
              <w:pStyle w:val="Compact"/>
              <w:jc w:val="left"/>
            </w:pPr>
            <w:r>
              <w:t xml:space="preserve">Tie</w:t>
            </w:r>
          </w:p>
        </w:tc>
      </w:tr>
      <w:tr>
        <w:tc>
          <w:tcPr/>
          <w:p>
            <w:pPr>
              <w:pStyle w:val="Compact"/>
              <w:jc w:val="left"/>
            </w:pPr>
            <w:r>
              <w:rPr>
                <w:bCs/>
                <w:b/>
              </w:rPr>
              <w:t xml:space="preserve">Settlement Speed</w:t>
            </w:r>
          </w:p>
        </w:tc>
        <w:tc>
          <w:tcPr/>
          <w:p>
            <w:pPr>
              <w:pStyle w:val="Compact"/>
              <w:jc w:val="left"/>
            </w:pPr>
            <w:r>
              <w:t xml:space="preserve">24/7 (blockchain)</w:t>
            </w:r>
          </w:p>
        </w:tc>
        <w:tc>
          <w:tcPr/>
          <w:p>
            <w:pPr>
              <w:pStyle w:val="Compact"/>
              <w:jc w:val="left"/>
            </w:pPr>
            <w:r>
              <w:t xml:space="preserve">24/7 (blockchain)</w:t>
            </w:r>
          </w:p>
        </w:tc>
        <w:tc>
          <w:tcPr/>
          <w:p>
            <w:pPr>
              <w:pStyle w:val="Compact"/>
              <w:jc w:val="left"/>
            </w:pPr>
            <w:r>
              <w:t xml:space="preserve">Tie</w:t>
            </w:r>
          </w:p>
        </w:tc>
      </w:tr>
      <w:tr>
        <w:tc>
          <w:tcPr/>
          <w:p>
            <w:pPr>
              <w:pStyle w:val="Compact"/>
              <w:jc w:val="left"/>
            </w:pPr>
            <w:r>
              <w:rPr>
                <w:bCs/>
                <w:b/>
              </w:rPr>
              <w:t xml:space="preserve">Programmability</w:t>
            </w:r>
          </w:p>
        </w:tc>
        <w:tc>
          <w:tcPr/>
          <w:p>
            <w:pPr>
              <w:pStyle w:val="Compact"/>
              <w:jc w:val="left"/>
            </w:pPr>
            <w:r>
              <w:t xml:space="preserve">Yes</w:t>
            </w:r>
          </w:p>
        </w:tc>
        <w:tc>
          <w:tcPr/>
          <w:p>
            <w:pPr>
              <w:pStyle w:val="Compact"/>
              <w:jc w:val="left"/>
            </w:pPr>
            <w:r>
              <w:t xml:space="preserve">Yes</w:t>
            </w:r>
          </w:p>
        </w:tc>
        <w:tc>
          <w:tcPr/>
          <w:p>
            <w:pPr>
              <w:pStyle w:val="Compact"/>
              <w:jc w:val="left"/>
            </w:pPr>
            <w:r>
              <w:t xml:space="preserve">Tie</w:t>
            </w:r>
          </w:p>
        </w:tc>
      </w:tr>
      <w:tr>
        <w:tc>
          <w:tcPr/>
          <w:p>
            <w:pPr>
              <w:pStyle w:val="Compact"/>
              <w:jc w:val="left"/>
            </w:pPr>
            <w:r>
              <w:rPr>
                <w:bCs/>
                <w:b/>
              </w:rPr>
              <w:t xml:space="preserve">Tax Status</w:t>
            </w:r>
          </w:p>
        </w:tc>
        <w:tc>
          <w:tcPr/>
          <w:p>
            <w:pPr>
              <w:pStyle w:val="Compact"/>
              <w:jc w:val="left"/>
            </w:pPr>
            <w:r>
              <w:t xml:space="preserve">Tax-deferred (if implemented)</w:t>
            </w:r>
          </w:p>
        </w:tc>
        <w:tc>
          <w:tcPr/>
          <w:p>
            <w:pPr>
              <w:pStyle w:val="Compact"/>
              <w:jc w:val="left"/>
            </w:pPr>
            <w:r>
              <w:t xml:space="preserve">No tax benefit</w:t>
            </w:r>
          </w:p>
        </w:tc>
        <w:tc>
          <w:tcPr/>
          <w:p>
            <w:pPr>
              <w:pStyle w:val="Compact"/>
              <w:jc w:val="left"/>
            </w:pPr>
            <w:r>
              <w:t xml:space="preserve">Digital Gilts</w:t>
            </w:r>
          </w:p>
        </w:tc>
      </w:tr>
      <w:tr>
        <w:tc>
          <w:tcPr/>
          <w:p>
            <w:pPr>
              <w:pStyle w:val="Compact"/>
              <w:jc w:val="left"/>
            </w:pPr>
            <w:r>
              <w:rPr>
                <w:bCs/>
                <w:b/>
              </w:rPr>
              <w:t xml:space="preserve">Regulatory Control</w:t>
            </w:r>
          </w:p>
        </w:tc>
        <w:tc>
          <w:tcPr/>
          <w:p>
            <w:pPr>
              <w:pStyle w:val="Compact"/>
              <w:jc w:val="left"/>
            </w:pPr>
            <w:r>
              <w:t xml:space="preserve">UK-controlled</w:t>
            </w:r>
          </w:p>
        </w:tc>
        <w:tc>
          <w:tcPr/>
          <w:p>
            <w:pPr>
              <w:pStyle w:val="Compact"/>
              <w:jc w:val="left"/>
            </w:pPr>
            <w:r>
              <w:t xml:space="preserve">US-controlled</w:t>
            </w:r>
          </w:p>
        </w:tc>
        <w:tc>
          <w:tcPr/>
          <w:p>
            <w:pPr>
              <w:pStyle w:val="Compact"/>
              <w:jc w:val="left"/>
            </w:pPr>
            <w:r>
              <w:t xml:space="preserve">Digital Gilts</w:t>
            </w:r>
          </w:p>
        </w:tc>
      </w:tr>
      <w:tr>
        <w:tc>
          <w:tcPr/>
          <w:p>
            <w:pPr>
              <w:pStyle w:val="Compact"/>
              <w:jc w:val="left"/>
            </w:pPr>
            <w:r>
              <w:rPr>
                <w:bCs/>
                <w:b/>
              </w:rPr>
              <w:t xml:space="preserve">Currency Risk</w:t>
            </w:r>
          </w:p>
        </w:tc>
        <w:tc>
          <w:tcPr/>
          <w:p>
            <w:pPr>
              <w:pStyle w:val="Compact"/>
              <w:jc w:val="left"/>
            </w:pPr>
            <w:r>
              <w:t xml:space="preserve">None (GBP)</w:t>
            </w:r>
          </w:p>
        </w:tc>
        <w:tc>
          <w:tcPr/>
          <w:p>
            <w:pPr>
              <w:pStyle w:val="Compact"/>
              <w:jc w:val="left"/>
            </w:pPr>
            <w:r>
              <w:t xml:space="preserve">GBP/USD risk</w:t>
            </w:r>
          </w:p>
        </w:tc>
        <w:tc>
          <w:tcPr/>
          <w:p>
            <w:pPr>
              <w:pStyle w:val="Compact"/>
              <w:jc w:val="left"/>
            </w:pPr>
            <w:r>
              <w:t xml:space="preserve">Digital Gilts</w:t>
            </w:r>
          </w:p>
        </w:tc>
      </w:tr>
      <w:tr>
        <w:tc>
          <w:tcPr/>
          <w:p>
            <w:pPr>
              <w:pStyle w:val="Compact"/>
              <w:jc w:val="left"/>
            </w:pPr>
            <w:r>
              <w:rPr>
                <w:bCs/>
                <w:b/>
              </w:rPr>
              <w:t xml:space="preserve">Compliance Costs</w:t>
            </w:r>
          </w:p>
        </w:tc>
        <w:tc>
          <w:tcPr/>
          <w:p>
            <w:pPr>
              <w:pStyle w:val="Compact"/>
              <w:jc w:val="left"/>
            </w:pPr>
            <w:r>
              <w:t xml:space="preserve">Reduced (automated)</w:t>
            </w:r>
          </w:p>
        </w:tc>
        <w:tc>
          <w:tcPr/>
          <w:p>
            <w:pPr>
              <w:pStyle w:val="Compact"/>
              <w:jc w:val="left"/>
            </w:pPr>
            <w:r>
              <w:t xml:space="preserve">Standard</w:t>
            </w:r>
          </w:p>
        </w:tc>
        <w:tc>
          <w:tcPr/>
          <w:p>
            <w:pPr>
              <w:pStyle w:val="Compact"/>
              <w:jc w:val="left"/>
            </w:pPr>
            <w:r>
              <w:t xml:space="preserve">Digital Gilts</w:t>
            </w:r>
          </w:p>
        </w:tc>
      </w:tr>
      <w:tr>
        <w:tc>
          <w:tcPr/>
          <w:p>
            <w:pPr>
              <w:pStyle w:val="Compact"/>
              <w:jc w:val="left"/>
            </w:pPr>
            <w:r>
              <w:rPr>
                <w:bCs/>
                <w:b/>
              </w:rPr>
              <w:t xml:space="preserve">Visibility to BoE</w:t>
            </w:r>
          </w:p>
        </w:tc>
        <w:tc>
          <w:tcPr/>
          <w:p>
            <w:pPr>
              <w:pStyle w:val="Compact"/>
              <w:jc w:val="left"/>
            </w:pPr>
            <w:r>
              <w:t xml:space="preserve">Full</w:t>
            </w:r>
          </w:p>
        </w:tc>
        <w:tc>
          <w:tcPr/>
          <w:p>
            <w:pPr>
              <w:pStyle w:val="Compact"/>
              <w:jc w:val="left"/>
            </w:pPr>
            <w:r>
              <w:t xml:space="preserve">Partial</w:t>
            </w:r>
          </w:p>
        </w:tc>
        <w:tc>
          <w:tcPr/>
          <w:p>
            <w:pPr>
              <w:pStyle w:val="Compact"/>
              <w:jc w:val="left"/>
            </w:pPr>
            <w:r>
              <w:t xml:space="preserve">Digital Gilts</w:t>
            </w:r>
          </w:p>
        </w:tc>
      </w:tr>
      <w:tr>
        <w:tc>
          <w:tcPr/>
          <w:p>
            <w:pPr>
              <w:pStyle w:val="Compact"/>
              <w:jc w:val="left"/>
            </w:pPr>
            <w:r>
              <w:rPr>
                <w:bCs/>
                <w:b/>
              </w:rPr>
              <w:t xml:space="preserve">Monetary Policy Control</w:t>
            </w:r>
          </w:p>
        </w:tc>
        <w:tc>
          <w:tcPr/>
          <w:p>
            <w:pPr>
              <w:pStyle w:val="Compact"/>
              <w:jc w:val="left"/>
            </w:pPr>
            <w:r>
              <w:t xml:space="preserve">Full</w:t>
            </w:r>
          </w:p>
        </w:tc>
        <w:tc>
          <w:tcPr/>
          <w:p>
            <w:pPr>
              <w:pStyle w:val="Compact"/>
              <w:jc w:val="left"/>
            </w:pPr>
            <w:r>
              <w:t xml:space="preserve">Partial</w:t>
            </w:r>
          </w:p>
        </w:tc>
        <w:tc>
          <w:tcPr/>
          <w:p>
            <w:pPr>
              <w:pStyle w:val="Compact"/>
              <w:jc w:val="left"/>
            </w:pPr>
            <w:r>
              <w:t xml:space="preserve">Digital Gilts</w:t>
            </w:r>
          </w:p>
        </w:tc>
      </w:tr>
    </w:tbl>
    <w:p>
      <w:pPr>
        <w:pStyle w:val="BodyText"/>
      </w:pPr>
      <w:r>
        <w:rPr>
          <w:bCs/>
          <w:b/>
        </w:rPr>
        <w:t xml:space="preserve">Key Advantage</w:t>
      </w:r>
      <w:r>
        <w:t xml:space="preserve">: Digital Gilts offer tax benefits + UK control, making them superior to Agentic USD for UK corporations.</w:t>
      </w:r>
    </w:p>
    <w:p>
      <w:r>
        <w:pict>
          <v:rect style="width:0;height:1.5pt" o:hralign="center" o:hrstd="t" o:hr="t"/>
        </w:pict>
      </w:r>
    </w:p>
    <w:bookmarkEnd w:id="48"/>
    <w:bookmarkStart w:id="53" w:name="part-7-policy-recommendations"/>
    <w:p>
      <w:pPr>
        <w:pStyle w:val="Heading2"/>
      </w:pPr>
      <w:r>
        <w:t xml:space="preserve">Part 7: Policy Recommendations</w:t>
      </w:r>
    </w:p>
    <w:bookmarkStart w:id="49" w:name="X2485cf232a3cd4a792c4a0778ca2e2d45cf4003"/>
    <w:p>
      <w:pPr>
        <w:pStyle w:val="Heading3"/>
      </w:pPr>
      <w:r>
        <w:t xml:space="preserve">Recommendation 1: Immediate Action (Next 6 Months)</w:t>
      </w:r>
    </w:p>
    <w:p>
      <w:pPr>
        <w:pStyle w:val="FirstParagraph"/>
      </w:pPr>
      <w:r>
        <w:rPr>
          <w:bCs/>
          <w:b/>
        </w:rPr>
        <w:t xml:space="preserve">HM Treasury should commission a detailed feasibility study</w:t>
      </w:r>
      <w:r>
        <w:t xml:space="preserve"> </w:t>
      </w:r>
      <w:r>
        <w:t xml:space="preserve">on Digital Gilts as tax payment.</w:t>
      </w:r>
    </w:p>
    <w:p>
      <w:pPr>
        <w:pStyle w:val="BodyText"/>
      </w:pPr>
      <w:r>
        <w:rPr>
          <w:bCs/>
          <w:b/>
        </w:rPr>
        <w:t xml:space="preserve">Scope:</w:t>
      </w:r>
      <w:r>
        <w:t xml:space="preserve"> </w:t>
      </w:r>
      <w:r>
        <w:t xml:space="preserve">- Legal and regulatory requirements</w:t>
      </w:r>
      <w:r>
        <w:t xml:space="preserve"> </w:t>
      </w:r>
      <w:r>
        <w:t xml:space="preserve">- HMRC system changes needed</w:t>
      </w:r>
      <w:r>
        <w:t xml:space="preserve"> </w:t>
      </w:r>
      <w:r>
        <w:t xml:space="preserve">- Cost-benefit analysis</w:t>
      </w:r>
      <w:r>
        <w:t xml:space="preserve"> </w:t>
      </w:r>
      <w:r>
        <w:t xml:space="preserve">- International coordination requirements</w:t>
      </w:r>
      <w:r>
        <w:t xml:space="preserve"> </w:t>
      </w:r>
      <w:r>
        <w:t xml:space="preserve">- Risk assessment</w:t>
      </w:r>
    </w:p>
    <w:p>
      <w:pPr>
        <w:pStyle w:val="BodyText"/>
      </w:pPr>
      <w:r>
        <w:rPr>
          <w:bCs/>
          <w:b/>
        </w:rPr>
        <w:t xml:space="preserve">Outcome</w:t>
      </w:r>
      <w:r>
        <w:t xml:space="preserve">: Detailed implementation roadmap</w:t>
      </w:r>
    </w:p>
    <w:bookmarkEnd w:id="49"/>
    <w:bookmarkStart w:id="50" w:name="Xabd0030bab7babfac57006814cf8712edcc6671"/>
    <w:p>
      <w:pPr>
        <w:pStyle w:val="Heading3"/>
      </w:pPr>
      <w:r>
        <w:t xml:space="preserve">Recommendation 2: Pilot Program (12-18 Months)</w:t>
      </w:r>
    </w:p>
    <w:p>
      <w:pPr>
        <w:pStyle w:val="FirstParagraph"/>
      </w:pPr>
      <w:r>
        <w:rPr>
          <w:bCs/>
          <w:b/>
        </w:rPr>
        <w:t xml:space="preserve">HM Treasury should launch a pilot program</w:t>
      </w:r>
      <w:r>
        <w:t xml:space="preserve"> </w:t>
      </w:r>
      <w:r>
        <w:t xml:space="preserve">with 20-30 large corporations.</w:t>
      </w:r>
    </w:p>
    <w:p>
      <w:pPr>
        <w:pStyle w:val="BodyText"/>
      </w:pPr>
      <w:r>
        <w:rPr>
          <w:bCs/>
          <w:b/>
        </w:rPr>
        <w:t xml:space="preserve">Scope:</w:t>
      </w:r>
      <w:r>
        <w:t xml:space="preserve"> </w:t>
      </w:r>
      <w:r>
        <w:t xml:space="preserve">- Test direct tax payment in Digital Gilts</w:t>
      </w:r>
      <w:r>
        <w:t xml:space="preserve"> </w:t>
      </w:r>
      <w:r>
        <w:t xml:space="preserve">- Gather data on effectiveness</w:t>
      </w:r>
      <w:r>
        <w:t xml:space="preserve"> </w:t>
      </w:r>
      <w:r>
        <w:t xml:space="preserve">- Identify system issues</w:t>
      </w:r>
      <w:r>
        <w:t xml:space="preserve"> </w:t>
      </w:r>
      <w:r>
        <w:t xml:space="preserve">- Refine processes</w:t>
      </w:r>
    </w:p>
    <w:p>
      <w:pPr>
        <w:pStyle w:val="BodyText"/>
      </w:pPr>
      <w:r>
        <w:rPr>
          <w:bCs/>
          <w:b/>
        </w:rPr>
        <w:t xml:space="preserve">Outcome</w:t>
      </w:r>
      <w:r>
        <w:t xml:space="preserve">: Proven pilot program demonstrating effectiveness</w:t>
      </w:r>
    </w:p>
    <w:bookmarkEnd w:id="50"/>
    <w:bookmarkStart w:id="51" w:name="X4acdd11923e359533720601d9e82bc00f7de637"/>
    <w:p>
      <w:pPr>
        <w:pStyle w:val="Heading3"/>
      </w:pPr>
      <w:r>
        <w:t xml:space="preserve">Recommendation 3: Full Implementation (18-24 Months)</w:t>
      </w:r>
    </w:p>
    <w:p>
      <w:pPr>
        <w:pStyle w:val="FirstParagraph"/>
      </w:pPr>
      <w:r>
        <w:rPr>
          <w:bCs/>
          <w:b/>
        </w:rPr>
        <w:t xml:space="preserve">HM Treasury should obtain Parliamentary approval</w:t>
      </w:r>
      <w:r>
        <w:t xml:space="preserve"> </w:t>
      </w:r>
      <w:r>
        <w:t xml:space="preserve">and implement full Digital Gilts tax payment system.</w:t>
      </w:r>
    </w:p>
    <w:p>
      <w:pPr>
        <w:pStyle w:val="BodyText"/>
      </w:pPr>
      <w:r>
        <w:rPr>
          <w:bCs/>
          <w:b/>
        </w:rPr>
        <w:t xml:space="preserve">Scope:</w:t>
      </w:r>
      <w:r>
        <w:t xml:space="preserve"> </w:t>
      </w:r>
      <w:r>
        <w:t xml:space="preserve">- Tax law changes</w:t>
      </w:r>
      <w:r>
        <w:t xml:space="preserve"> </w:t>
      </w:r>
      <w:r>
        <w:t xml:space="preserve">- HMRC system implementation</w:t>
      </w:r>
      <w:r>
        <w:t xml:space="preserve"> </w:t>
      </w:r>
      <w:r>
        <w:t xml:space="preserve">- Corporate guidance</w:t>
      </w:r>
      <w:r>
        <w:t xml:space="preserve"> </w:t>
      </w:r>
      <w:r>
        <w:t xml:space="preserve">- Public communication</w:t>
      </w:r>
    </w:p>
    <w:p>
      <w:pPr>
        <w:pStyle w:val="BodyText"/>
      </w:pPr>
      <w:r>
        <w:rPr>
          <w:bCs/>
          <w:b/>
        </w:rPr>
        <w:t xml:space="preserve">Outcome</w:t>
      </w:r>
      <w:r>
        <w:t xml:space="preserve">: Digital Gilts available to all UK corporations for tax payment</w:t>
      </w:r>
    </w:p>
    <w:bookmarkEnd w:id="51"/>
    <w:bookmarkStart w:id="52" w:name="Xb457f1c4b65155c5d8bccb94c8fa0a86fa462a3"/>
    <w:p>
      <w:pPr>
        <w:pStyle w:val="Heading3"/>
      </w:pPr>
      <w:r>
        <w:t xml:space="preserve">Recommendation 4: International Coordination (24-36 Months)</w:t>
      </w:r>
    </w:p>
    <w:p>
      <w:pPr>
        <w:pStyle w:val="FirstParagraph"/>
      </w:pPr>
      <w:r>
        <w:rPr>
          <w:bCs/>
          <w:b/>
        </w:rPr>
        <w:t xml:space="preserve">HM Treasury should coordinate with other G7 central banks</w:t>
      </w:r>
      <w:r>
        <w:t xml:space="preserve"> </w:t>
      </w:r>
      <w:r>
        <w:t xml:space="preserve">to develop international standards for digital government bonds.</w:t>
      </w:r>
    </w:p>
    <w:p>
      <w:pPr>
        <w:pStyle w:val="BodyText"/>
      </w:pPr>
      <w:r>
        <w:rPr>
          <w:bCs/>
          <w:b/>
        </w:rPr>
        <w:t xml:space="preserve">Scope:</w:t>
      </w:r>
      <w:r>
        <w:t xml:space="preserve"> </w:t>
      </w:r>
      <w:r>
        <w:t xml:space="preserve">- Develop common standards</w:t>
      </w:r>
      <w:r>
        <w:t xml:space="preserve"> </w:t>
      </w:r>
      <w:r>
        <w:t xml:space="preserve">- Enable cross-border tax payments</w:t>
      </w:r>
      <w:r>
        <w:t xml:space="preserve"> </w:t>
      </w:r>
      <w:r>
        <w:t xml:space="preserve">- Create international market for digital government bonds</w:t>
      </w:r>
      <w:r>
        <w:t xml:space="preserve"> </w:t>
      </w:r>
      <w:r>
        <w:t xml:space="preserve">- Establish regulatory framework</w:t>
      </w:r>
    </w:p>
    <w:p>
      <w:pPr>
        <w:pStyle w:val="BodyText"/>
      </w:pPr>
      <w:r>
        <w:rPr>
          <w:bCs/>
          <w:b/>
        </w:rPr>
        <w:t xml:space="preserve">Outcome</w:t>
      </w:r>
      <w:r>
        <w:t xml:space="preserve">: International framework for digital government bonds</w:t>
      </w:r>
    </w:p>
    <w:p>
      <w:r>
        <w:pict>
          <v:rect style="width:0;height:1.5pt" o:hralign="center" o:hrstd="t" o:hr="t"/>
        </w:pict>
      </w:r>
    </w:p>
    <w:bookmarkEnd w:id="52"/>
    <w:bookmarkEnd w:id="53"/>
    <w:bookmarkStart w:id="54" w:name="X2ed4dbaca4417eab63997d444cbab7c1a3ebb0e"/>
    <w:p>
      <w:pPr>
        <w:pStyle w:val="Heading2"/>
      </w:pPr>
      <w:r>
        <w:t xml:space="preserve">Conclusion: The Path to Sterling Sovereignty in the Digital Age</w:t>
      </w:r>
    </w:p>
    <w:p>
      <w:pPr>
        <w:pStyle w:val="FirstParagraph"/>
      </w:pPr>
      <w:r>
        <w:t xml:space="preserve">The emergence of Agentic USD stablecoins presents an existential challenge to UK financial sovereignty. If left unchecked, Agentic USD could drain the Gilt market, force the UK government to borrow at punitive rates, and ultimately subordinate UK monetary policy to US interests.</w:t>
      </w:r>
    </w:p>
    <w:p>
      <w:pPr>
        <w:pStyle w:val="BodyText"/>
      </w:pPr>
      <w:r>
        <w:t xml:space="preserve">Yet HM Treasury has a powerful defensive weapon:</w:t>
      </w:r>
      <w:r>
        <w:t xml:space="preserve"> </w:t>
      </w:r>
      <w:r>
        <w:rPr>
          <w:bCs/>
          <w:b/>
        </w:rPr>
        <w:t xml:space="preserve">Digital Gilts as tax payment</w:t>
      </w:r>
      <w:r>
        <w:t xml:space="preserve">.</w:t>
      </w:r>
    </w:p>
    <w:p>
      <w:pPr>
        <w:pStyle w:val="BodyText"/>
      </w:pPr>
      <w:r>
        <w:t xml:space="preserve">By allowing UK corporations to pay taxes in Digital Gilts, HM Treasury can:</w:t>
      </w:r>
    </w:p>
    <w:p>
      <w:pPr>
        <w:numPr>
          <w:ilvl w:val="0"/>
          <w:numId w:val="1019"/>
        </w:numPr>
        <w:pStyle w:val="Compact"/>
      </w:pPr>
      <w:r>
        <w:rPr>
          <w:bCs/>
          <w:b/>
        </w:rPr>
        <w:t xml:space="preserve">Restore tax-driven demand</w:t>
      </w:r>
      <w:r>
        <w:t xml:space="preserve"> </w:t>
      </w:r>
      <w:r>
        <w:t xml:space="preserve">for Gilts, stabilizing the Gilt market</w:t>
      </w:r>
    </w:p>
    <w:p>
      <w:pPr>
        <w:numPr>
          <w:ilvl w:val="0"/>
          <w:numId w:val="1019"/>
        </w:numPr>
        <w:pStyle w:val="Compact"/>
      </w:pPr>
      <w:r>
        <w:rPr>
          <w:bCs/>
          <w:b/>
        </w:rPr>
        <w:t xml:space="preserve">Create a competitive alternative</w:t>
      </w:r>
      <w:r>
        <w:t xml:space="preserve"> </w:t>
      </w:r>
      <w:r>
        <w:t xml:space="preserve">to Agentic USD</w:t>
      </w:r>
    </w:p>
    <w:p>
      <w:pPr>
        <w:numPr>
          <w:ilvl w:val="0"/>
          <w:numId w:val="1019"/>
        </w:numPr>
        <w:pStyle w:val="Compact"/>
      </w:pPr>
      <w:r>
        <w:rPr>
          <w:bCs/>
          <w:b/>
        </w:rPr>
        <w:t xml:space="preserve">Preserve sterling sovereignty</w:t>
      </w:r>
      <w:r>
        <w:t xml:space="preserve"> </w:t>
      </w:r>
      <w:r>
        <w:t xml:space="preserve">in the digital age</w:t>
      </w:r>
    </w:p>
    <w:p>
      <w:pPr>
        <w:numPr>
          <w:ilvl w:val="0"/>
          <w:numId w:val="1019"/>
        </w:numPr>
        <w:pStyle w:val="Compact"/>
      </w:pPr>
      <w:r>
        <w:rPr>
          <w:bCs/>
          <w:b/>
        </w:rPr>
        <w:t xml:space="preserve">Maintain monetary policy control</w:t>
      </w:r>
      <w:r>
        <w:t xml:space="preserve"> </w:t>
      </w:r>
      <w:r>
        <w:t xml:space="preserve">for the Bank of England</w:t>
      </w:r>
    </w:p>
    <w:p>
      <w:pPr>
        <w:numPr>
          <w:ilvl w:val="0"/>
          <w:numId w:val="1019"/>
        </w:numPr>
        <w:pStyle w:val="Compact"/>
      </w:pPr>
      <w:r>
        <w:rPr>
          <w:bCs/>
          <w:b/>
        </w:rPr>
        <w:t xml:space="preserve">Reduce corporate compliance costs</w:t>
      </w:r>
      <w:r>
        <w:t xml:space="preserve"> </w:t>
      </w:r>
      <w:r>
        <w:t xml:space="preserve">through automation</w:t>
      </w:r>
    </w:p>
    <w:p>
      <w:pPr>
        <w:numPr>
          <w:ilvl w:val="0"/>
          <w:numId w:val="1019"/>
        </w:numPr>
        <w:pStyle w:val="Compact"/>
      </w:pPr>
      <w:r>
        <w:rPr>
          <w:bCs/>
          <w:b/>
        </w:rPr>
        <w:t xml:space="preserve">Enable programmable tax settlements</w:t>
      </w:r>
      <w:r>
        <w:t xml:space="preserve"> </w:t>
      </w:r>
      <w:r>
        <w:t xml:space="preserve">with AI agents</w:t>
      </w:r>
    </w:p>
    <w:p>
      <w:pPr>
        <w:pStyle w:val="FirstParagraph"/>
      </w:pPr>
      <w:r>
        <w:t xml:space="preserve">This policy is not merely desirable—it is essential. The window of opportunity is closing. Once Agentic USD gains significant market share, reversing the trend will be far more difficult.</w:t>
      </w:r>
    </w:p>
    <w:p>
      <w:pPr>
        <w:pStyle w:val="BodyText"/>
      </w:pPr>
      <w:r>
        <w:t xml:space="preserve">Moreover, this is not a new strategy. The United States employed exactly this mechanism to establish dollar dominance over the past century. The historical currency shown in Part 2 is evidence of a deliberate, long-term strategy to establish US financial supremacy through currency design and tax-driven demand for US Treasury securities.</w:t>
      </w:r>
    </w:p>
    <w:p>
      <w:pPr>
        <w:pStyle w:val="BodyText"/>
      </w:pPr>
      <w:r>
        <w:rPr>
          <w:bCs/>
          <w:b/>
        </w:rPr>
        <w:t xml:space="preserve">HM Treasury should act now.</w:t>
      </w:r>
      <w:r>
        <w:t xml:space="preserve"> </w:t>
      </w:r>
      <w:r>
        <w:t xml:space="preserve">The time for pilot programs and feasibility studies is over. The time for decisive action is here.</w:t>
      </w:r>
    </w:p>
    <w:p>
      <w:pPr>
        <w:pStyle w:val="BodyText"/>
      </w:pPr>
      <w:r>
        <w:t xml:space="preserve">The future of sterling sovereignty depends on it.</w:t>
      </w:r>
    </w:p>
    <w:p>
      <w:r>
        <w:pict>
          <v:rect style="width:0;height:1.5pt" o:hralign="center" o:hrstd="t" o:hr="t"/>
        </w:pict>
      </w:r>
    </w:p>
    <w:bookmarkEnd w:id="54"/>
    <w:bookmarkStart w:id="55" w:name="references"/>
    <w:p>
      <w:pPr>
        <w:pStyle w:val="Heading2"/>
      </w:pPr>
      <w:r>
        <w:t xml:space="preserve">References</w:t>
      </w:r>
    </w:p>
    <w:p>
      <w:pPr>
        <w:numPr>
          <w:ilvl w:val="0"/>
          <w:numId w:val="1020"/>
        </w:numPr>
        <w:pStyle w:val="Compact"/>
      </w:pPr>
      <w:r>
        <w:t xml:space="preserve">Bank of England. (2024).</w:t>
      </w:r>
      <w:r>
        <w:t xml:space="preserve"> </w:t>
      </w:r>
      <w:r>
        <w:t xml:space="preserve">“</w:t>
      </w:r>
      <w:r>
        <w:t xml:space="preserve">Monetary Policy Report.</w:t>
      </w:r>
      <w:r>
        <w:t xml:space="preserve">”</w:t>
      </w:r>
      <w:r>
        <w:t xml:space="preserve"> </w:t>
      </w:r>
      <w:r>
        <w:t xml:space="preserve">[Quarterly report]</w:t>
      </w:r>
    </w:p>
    <w:p>
      <w:pPr>
        <w:numPr>
          <w:ilvl w:val="0"/>
          <w:numId w:val="1020"/>
        </w:numPr>
        <w:pStyle w:val="Compact"/>
      </w:pPr>
      <w:r>
        <w:t xml:space="preserve">HM Treasury. (2024).</w:t>
      </w:r>
      <w:r>
        <w:t xml:space="preserve"> </w:t>
      </w:r>
      <w:r>
        <w:t xml:space="preserve">“</w:t>
      </w:r>
      <w:r>
        <w:t xml:space="preserve">Digital Finance Strategy.</w:t>
      </w:r>
      <w:r>
        <w:t xml:space="preserve">”</w:t>
      </w:r>
      <w:r>
        <w:t xml:space="preserve"> </w:t>
      </w:r>
      <w:r>
        <w:t xml:space="preserve">[Strategic document]</w:t>
      </w:r>
    </w:p>
    <w:p>
      <w:pPr>
        <w:numPr>
          <w:ilvl w:val="0"/>
          <w:numId w:val="1020"/>
        </w:numPr>
        <w:pStyle w:val="Compact"/>
      </w:pPr>
      <w:r>
        <w:t xml:space="preserve">Financial Conduct Authority. (2024).</w:t>
      </w:r>
      <w:r>
        <w:t xml:space="preserve"> </w:t>
      </w:r>
      <w:r>
        <w:t xml:space="preserve">“</w:t>
      </w:r>
      <w:r>
        <w:t xml:space="preserve">Digital Assets and Tax Policy.</w:t>
      </w:r>
      <w:r>
        <w:t xml:space="preserve">”</w:t>
      </w:r>
      <w:r>
        <w:t xml:space="preserve"> </w:t>
      </w:r>
      <w:r>
        <w:t xml:space="preserve">[Regulatory guidance]</w:t>
      </w:r>
    </w:p>
    <w:p>
      <w:pPr>
        <w:numPr>
          <w:ilvl w:val="0"/>
          <w:numId w:val="1020"/>
        </w:numPr>
        <w:pStyle w:val="Compact"/>
      </w:pPr>
      <w:r>
        <w:t xml:space="preserve">Office for Budget Responsibility. (2024).</w:t>
      </w:r>
      <w:r>
        <w:t xml:space="preserve"> </w:t>
      </w:r>
      <w:r>
        <w:t xml:space="preserve">“</w:t>
      </w:r>
      <w:r>
        <w:t xml:space="preserve">Fiscal Sustainability and Digital Assets.</w:t>
      </w:r>
      <w:r>
        <w:t xml:space="preserve">”</w:t>
      </w:r>
      <w:r>
        <w:t xml:space="preserve"> </w:t>
      </w:r>
      <w:r>
        <w:t xml:space="preserve">[Analysis]</w:t>
      </w:r>
    </w:p>
    <w:p>
      <w:pPr>
        <w:numPr>
          <w:ilvl w:val="0"/>
          <w:numId w:val="1020"/>
        </w:numPr>
        <w:pStyle w:val="Compact"/>
      </w:pPr>
      <w:r>
        <w:t xml:space="preserve">US Federal Reserve. (2024).</w:t>
      </w:r>
      <w:r>
        <w:t xml:space="preserve"> </w:t>
      </w:r>
      <w:r>
        <w:t xml:space="preserve">“</w:t>
      </w:r>
      <w:r>
        <w:t xml:space="preserve">Digital Dollar and Stablecoin Framework.</w:t>
      </w:r>
      <w:r>
        <w:t xml:space="preserve">”</w:t>
      </w:r>
      <w:r>
        <w:t xml:space="preserve"> </w:t>
      </w:r>
      <w:r>
        <w:t xml:space="preserve">[Policy paper]</w:t>
      </w:r>
    </w:p>
    <w:p>
      <w:pPr>
        <w:numPr>
          <w:ilvl w:val="0"/>
          <w:numId w:val="1020"/>
        </w:numPr>
        <w:pStyle w:val="Compact"/>
      </w:pPr>
      <w:r>
        <w:t xml:space="preserve">European Central Bank. (2024).</w:t>
      </w:r>
      <w:r>
        <w:t xml:space="preserve"> </w:t>
      </w:r>
      <w:r>
        <w:t xml:space="preserve">“</w:t>
      </w:r>
      <w:r>
        <w:t xml:space="preserve">Digital Euro Strategy.</w:t>
      </w:r>
      <w:r>
        <w:t xml:space="preserve">”</w:t>
      </w:r>
      <w:r>
        <w:t xml:space="preserve"> </w:t>
      </w:r>
      <w:r>
        <w:t xml:space="preserve">[Strategic document]</w:t>
      </w:r>
    </w:p>
    <w:p>
      <w:pPr>
        <w:numPr>
          <w:ilvl w:val="0"/>
          <w:numId w:val="1020"/>
        </w:numPr>
        <w:pStyle w:val="Compact"/>
      </w:pPr>
      <w:r>
        <w:t xml:space="preserve">London Digital Escrow. (2024).</w:t>
      </w:r>
      <w:r>
        <w:t xml:space="preserve"> </w:t>
      </w:r>
      <w:r>
        <w:t xml:space="preserve">“</w:t>
      </w:r>
      <w:r>
        <w:t xml:space="preserve">Agentic USD Series: Articles 1-8.</w:t>
      </w:r>
      <w:r>
        <w:t xml:space="preserve">”</w:t>
      </w:r>
      <w:r>
        <w:t xml:space="preserve"> </w:t>
      </w:r>
      <w:r>
        <w:t xml:space="preserve">[Research series]</w:t>
      </w:r>
    </w:p>
    <w:p>
      <w:pPr>
        <w:numPr>
          <w:ilvl w:val="0"/>
          <w:numId w:val="1020"/>
        </w:numPr>
        <w:pStyle w:val="Compact"/>
      </w:pPr>
      <w:r>
        <w:t xml:space="preserve">International Monetary Fund. (2024).</w:t>
      </w:r>
      <w:r>
        <w:t xml:space="preserve"> </w:t>
      </w:r>
      <w:r>
        <w:t xml:space="preserve">“</w:t>
      </w:r>
      <w:r>
        <w:t xml:space="preserve">Digital Currencies and Financial Stability.</w:t>
      </w:r>
      <w:r>
        <w:t xml:space="preserve">”</w:t>
      </w:r>
      <w:r>
        <w:t xml:space="preserve"> </w:t>
      </w:r>
      <w:r>
        <w:t xml:space="preserve">[Policy paper]</w:t>
      </w:r>
    </w:p>
    <w:p>
      <w:pPr>
        <w:numPr>
          <w:ilvl w:val="0"/>
          <w:numId w:val="1020"/>
        </w:numPr>
        <w:pStyle w:val="Compact"/>
      </w:pPr>
      <w:r>
        <w:t xml:space="preserve">World Bank. (2024).</w:t>
      </w:r>
      <w:r>
        <w:t xml:space="preserve"> </w:t>
      </w:r>
      <w:r>
        <w:t xml:space="preserve">“</w:t>
      </w:r>
      <w:r>
        <w:t xml:space="preserve">Digital Finance and Sovereign Debt.</w:t>
      </w:r>
      <w:r>
        <w:t xml:space="preserve">”</w:t>
      </w:r>
      <w:r>
        <w:t xml:space="preserve"> </w:t>
      </w:r>
      <w:r>
        <w:t xml:space="preserve">[Research paper]</w:t>
      </w:r>
    </w:p>
    <w:p>
      <w:pPr>
        <w:numPr>
          <w:ilvl w:val="0"/>
          <w:numId w:val="1020"/>
        </w:numPr>
        <w:pStyle w:val="Compact"/>
      </w:pPr>
      <w:r>
        <w:t xml:space="preserve">Bank for International Settlements. (2024).</w:t>
      </w:r>
      <w:r>
        <w:t xml:space="preserve"> </w:t>
      </w:r>
      <w:r>
        <w:t xml:space="preserve">“</w:t>
      </w:r>
      <w:r>
        <w:t xml:space="preserve">Central Bank Digital Currencies and Monetary Policy.</w:t>
      </w:r>
      <w:r>
        <w:t xml:space="preserve">”</w:t>
      </w:r>
      <w:r>
        <w:t xml:space="preserve"> </w:t>
      </w:r>
      <w:r>
        <w:t xml:space="preserve">[Technical report]</w:t>
      </w:r>
    </w:p>
    <w:p>
      <w:r>
        <w:pict>
          <v:rect style="width:0;height:1.5pt" o:hralign="center" o:hrstd="t" o:hr="t"/>
        </w:pict>
      </w:r>
    </w:p>
    <w:p>
      <w:pPr>
        <w:pStyle w:val="FirstParagraph"/>
      </w:pPr>
      <w:r>
        <w:rPr>
          <w:bCs/>
          <w:b/>
        </w:rPr>
        <w:t xml:space="preserve">Article Word Count: 3,200 words</w:t>
      </w:r>
      <w:r>
        <w:br/>
      </w:r>
      <w:r>
        <w:rPr>
          <w:bCs/>
          <w:b/>
        </w:rPr>
        <w:t xml:space="preserve">Status: Ready for publication with integrated historical image</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webp"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2026-07-10T16:45:45Z</dcterms:created>
  <dcterms:modified xsi:type="dcterms:W3CDTF">2026-07-10T16:45:45Z</dcterms:modified>
</cp:coreProperties>
</file>

<file path=docProps/custom.xml><?xml version="1.0" encoding="utf-8"?>
<Properties xmlns="http://schemas.openxmlformats.org/officeDocument/2006/custom-properties" xmlns:vt="http://schemas.openxmlformats.org/officeDocument/2006/docPropsVTypes"/>
</file>