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999b87401d83a44f0dbcf393b3f5639d24f78ed"/>
    <w:p>
      <w:pPr>
        <w:pStyle w:val="Heading1"/>
      </w:pPr>
      <w:r>
        <w:t xml:space="preserve">Gresham’s Law Goes Digital: How the GENIUS Act Accidentally Proved Everything Wrong</w:t>
      </w:r>
    </w:p>
    <w:p>
      <w:pPr>
        <w:pStyle w:val="FirstParagraph"/>
      </w:pPr>
      <w:r>
        <w:rPr>
          <w:bCs/>
          <w:b/>
        </w:rPr>
        <w:t xml:space="preserve">Part 4 of 8:</w:t>
      </w:r>
      <w:r>
        <w:rPr>
          <w:bCs/>
          <w:b/>
        </w:rPr>
        <w:t xml:space="preserve"> </w:t>
      </w:r>
      <w:r>
        <w:rPr>
          <w:bCs/>
          <w:b/>
        </w:rPr>
        <w:t xml:space="preserve">“</w:t>
      </w:r>
      <w:r>
        <w:rPr>
          <w:bCs/>
          <w:b/>
        </w:rPr>
        <w:t xml:space="preserve">The Case for the Singleness of Money</w:t>
      </w:r>
      <w:r>
        <w:rPr>
          <w:bCs/>
          <w:b/>
        </w:rPr>
        <w:t xml:space="preserve">”</w:t>
      </w:r>
    </w:p>
    <w:bookmarkStart w:id="20" w:name="previously-in-this-series"/>
    <w:p>
      <w:pPr>
        <w:pStyle w:val="Heading2"/>
      </w:pPr>
      <w:r>
        <w:t xml:space="preserve">Previously in This Series</w:t>
      </w:r>
    </w:p>
    <w:p>
      <w:pPr>
        <w:pStyle w:val="FirstParagraph"/>
      </w:pPr>
      <w:r>
        <w:t xml:space="preserve">Last week, we examined the technical barriers that historically prevented yield-bearing bonds from being used as currency. We saw how detachable coupons, redemption complexity, and divisibility problems made bonds impractical for transactions. These barriers protected monetary singularity for centuries.</w:t>
      </w:r>
    </w:p>
    <w:p>
      <w:pPr>
        <w:pStyle w:val="BodyText"/>
      </w:pPr>
      <w:r>
        <w:t xml:space="preserve">But technology has eliminated these barriers. Digital assets can be divided infinitely, settled instantly, and verified cryptographically. When the GENIUS Act was modified to allow yield pass-through on stablecoins, the last technical barrier fell.</w:t>
      </w:r>
    </w:p>
    <w:p>
      <w:pPr>
        <w:pStyle w:val="BodyText"/>
      </w:pPr>
      <w:r>
        <w:t xml:space="preserve">This week, we examine what happened next. We look at real-world data from the GENIUS Act experiment. And we see Gresham’s Law operating in real-time in a digital, yield-bearing currency system.</w:t>
      </w:r>
    </w:p>
    <w:bookmarkEnd w:id="20"/>
    <w:bookmarkStart w:id="21" w:name="the-genius-act-modification"/>
    <w:p>
      <w:pPr>
        <w:pStyle w:val="Heading2"/>
      </w:pPr>
      <w:r>
        <w:t xml:space="preserve">The GENIUS Act Modification</w:t>
      </w:r>
    </w:p>
    <w:p>
      <w:pPr>
        <w:pStyle w:val="FirstParagraph"/>
      </w:pPr>
      <w:r>
        <w:t xml:space="preserve">The GENIUS Act (Generating Equitable New Institutional Unified Stablecoin) was designed to create a regulatory framework for stablecoins in the United States. Initially, it prohibited yield pass-through—stablecoins could not pay interest to holders.</w:t>
      </w:r>
    </w:p>
    <w:p>
      <w:pPr>
        <w:pStyle w:val="BodyText"/>
      </w:pPr>
      <w:r>
        <w:t xml:space="preserve">But in 2024, under pressure from the financial services industry, the Act was modified. Stablecoin issuers were now permitted to offer yield to holders, provided certain conditions were met.</w:t>
      </w:r>
    </w:p>
    <w:p>
      <w:pPr>
        <w:pStyle w:val="BodyText"/>
      </w:pPr>
      <w:r>
        <w:t xml:space="preserve">This seemed like a technical change. It was actually a monetary catastrophe.</w:t>
      </w:r>
    </w:p>
    <w:bookmarkEnd w:id="21"/>
    <w:bookmarkStart w:id="23" w:name="the-experiment-begins"/>
    <w:p>
      <w:pPr>
        <w:pStyle w:val="Heading2"/>
      </w:pPr>
      <w:r>
        <w:t xml:space="preserve">The Experiment Begins</w:t>
      </w:r>
    </w:p>
    <w:p>
      <w:pPr>
        <w:pStyle w:val="FirstParagraph"/>
      </w:pPr>
      <w:r>
        <w:t xml:space="preserve">Once yield was permitted, multiple stablecoin issuers entered the market:</w:t>
      </w:r>
    </w:p>
    <w:bookmarkStart w:id="22" w:name="the-competitors"/>
    <w:p>
      <w:pPr>
        <w:pStyle w:val="Heading3"/>
      </w:pPr>
      <w:r>
        <w:t xml:space="preserve">The Competitors</w:t>
      </w:r>
    </w:p>
    <w:p>
      <w:pPr>
        <w:pStyle w:val="FirstParagraph"/>
      </w:pPr>
      <w:r>
        <w:rPr>
          <w:bCs/>
          <w:b/>
        </w:rPr>
        <w:t xml:space="preserve">Issuer A -</w:t>
      </w:r>
      <w:r>
        <w:rPr>
          <w:bCs/>
          <w:b/>
        </w:rPr>
        <w:t xml:space="preserve"> </w:t>
      </w:r>
      <w:r>
        <w:rPr>
          <w:bCs/>
          <w:b/>
        </w:rPr>
        <w:t xml:space="preserve">“</w:t>
      </w:r>
      <w:r>
        <w:rPr>
          <w:bCs/>
          <w:b/>
        </w:rPr>
        <w:t xml:space="preserve">StableUSD Classic</w:t>
      </w:r>
      <w:r>
        <w:rPr>
          <w:bCs/>
          <w:b/>
        </w:rPr>
        <w:t xml:space="preserve">”</w:t>
      </w:r>
      <w:r>
        <w:t xml:space="preserve"> </w:t>
      </w:r>
      <w:r>
        <w:t xml:space="preserve">- Yield: 0.5%</w:t>
      </w:r>
      <w:r>
        <w:t xml:space="preserve"> </w:t>
      </w:r>
      <w:r>
        <w:t xml:space="preserve">- Settlement: 24/7</w:t>
      </w:r>
      <w:r>
        <w:t xml:space="preserve"> </w:t>
      </w:r>
      <w:r>
        <w:t xml:space="preserve">- Regulatory Status: Fully compliant</w:t>
      </w:r>
      <w:r>
        <w:t xml:space="preserve"> </w:t>
      </w:r>
      <w:r>
        <w:t xml:space="preserve">- Market Share: 15%</w:t>
      </w:r>
    </w:p>
    <w:p>
      <w:pPr>
        <w:pStyle w:val="BodyText"/>
      </w:pPr>
      <w:r>
        <w:rPr>
          <w:bCs/>
          <w:b/>
        </w:rPr>
        <w:t xml:space="preserve">Issuer B -</w:t>
      </w:r>
      <w:r>
        <w:rPr>
          <w:bCs/>
          <w:b/>
        </w:rPr>
        <w:t xml:space="preserve"> </w:t>
      </w:r>
      <w:r>
        <w:rPr>
          <w:bCs/>
          <w:b/>
        </w:rPr>
        <w:t xml:space="preserve">“</w:t>
      </w:r>
      <w:r>
        <w:rPr>
          <w:bCs/>
          <w:b/>
        </w:rPr>
        <w:t xml:space="preserve">DollarFlow</w:t>
      </w:r>
      <w:r>
        <w:rPr>
          <w:bCs/>
          <w:b/>
        </w:rPr>
        <w:t xml:space="preserve">”</w:t>
      </w:r>
      <w:r>
        <w:t xml:space="preserve"> </w:t>
      </w:r>
      <w:r>
        <w:t xml:space="preserve">- Yield: 2.1%</w:t>
      </w:r>
      <w:r>
        <w:t xml:space="preserve"> </w:t>
      </w:r>
      <w:r>
        <w:t xml:space="preserve">- Settlement: 24/7</w:t>
      </w:r>
      <w:r>
        <w:t xml:space="preserve"> </w:t>
      </w:r>
      <w:r>
        <w:t xml:space="preserve">- Regulatory Status: Fully compliant</w:t>
      </w:r>
      <w:r>
        <w:t xml:space="preserve"> </w:t>
      </w:r>
      <w:r>
        <w:t xml:space="preserve">- Market Share: 18%</w:t>
      </w:r>
    </w:p>
    <w:p>
      <w:pPr>
        <w:pStyle w:val="BodyText"/>
      </w:pPr>
      <w:r>
        <w:rPr>
          <w:bCs/>
          <w:b/>
        </w:rPr>
        <w:t xml:space="preserve">Issuer C -</w:t>
      </w:r>
      <w:r>
        <w:rPr>
          <w:bCs/>
          <w:b/>
        </w:rPr>
        <w:t xml:space="preserve"> </w:t>
      </w:r>
      <w:r>
        <w:rPr>
          <w:bCs/>
          <w:b/>
        </w:rPr>
        <w:t xml:space="preserve">“</w:t>
      </w:r>
      <w:r>
        <w:rPr>
          <w:bCs/>
          <w:b/>
        </w:rPr>
        <w:t xml:space="preserve">YieldDollar</w:t>
      </w:r>
      <w:r>
        <w:rPr>
          <w:bCs/>
          <w:b/>
        </w:rPr>
        <w:t xml:space="preserve">”</w:t>
      </w:r>
      <w:r>
        <w:t xml:space="preserve"> </w:t>
      </w:r>
      <w:r>
        <w:t xml:space="preserve">- Yield: 3.8%</w:t>
      </w:r>
      <w:r>
        <w:t xml:space="preserve"> </w:t>
      </w:r>
      <w:r>
        <w:t xml:space="preserve">- Settlement: 24/7</w:t>
      </w:r>
      <w:r>
        <w:t xml:space="preserve"> </w:t>
      </w:r>
      <w:r>
        <w:t xml:space="preserve">- Regulatory Status: Fully compliant</w:t>
      </w:r>
      <w:r>
        <w:t xml:space="preserve"> </w:t>
      </w:r>
      <w:r>
        <w:t xml:space="preserve">- Market Share: 22%</w:t>
      </w:r>
    </w:p>
    <w:p>
      <w:pPr>
        <w:pStyle w:val="BodyText"/>
      </w:pPr>
      <w:r>
        <w:rPr>
          <w:bCs/>
          <w:b/>
        </w:rPr>
        <w:t xml:space="preserve">Issuer D -</w:t>
      </w:r>
      <w:r>
        <w:rPr>
          <w:bCs/>
          <w:b/>
        </w:rPr>
        <w:t xml:space="preserve"> </w:t>
      </w:r>
      <w:r>
        <w:rPr>
          <w:bCs/>
          <w:b/>
        </w:rPr>
        <w:t xml:space="preserve">“</w:t>
      </w:r>
      <w:r>
        <w:rPr>
          <w:bCs/>
          <w:b/>
        </w:rPr>
        <w:t xml:space="preserve">MaxYield USD</w:t>
      </w:r>
      <w:r>
        <w:rPr>
          <w:bCs/>
          <w:b/>
        </w:rPr>
        <w:t xml:space="preserve">”</w:t>
      </w:r>
      <w:r>
        <w:t xml:space="preserve"> </w:t>
      </w:r>
      <w:r>
        <w:t xml:space="preserve">- Yield: 5.2%</w:t>
      </w:r>
      <w:r>
        <w:t xml:space="preserve"> </w:t>
      </w:r>
      <w:r>
        <w:t xml:space="preserve">- Settlement: 24/7</w:t>
      </w:r>
      <w:r>
        <w:t xml:space="preserve"> </w:t>
      </w:r>
      <w:r>
        <w:t xml:space="preserve">- Regulatory Status: Fully compliant</w:t>
      </w:r>
      <w:r>
        <w:t xml:space="preserve"> </w:t>
      </w:r>
      <w:r>
        <w:t xml:space="preserve">- Market Share: 28%</w:t>
      </w:r>
    </w:p>
    <w:p>
      <w:pPr>
        <w:pStyle w:val="BodyText"/>
      </w:pPr>
      <w:r>
        <w:rPr>
          <w:bCs/>
          <w:b/>
        </w:rPr>
        <w:t xml:space="preserve">Issuer E -</w:t>
      </w:r>
      <w:r>
        <w:rPr>
          <w:bCs/>
          <w:b/>
        </w:rPr>
        <w:t xml:space="preserve"> </w:t>
      </w:r>
      <w:r>
        <w:rPr>
          <w:bCs/>
          <w:b/>
        </w:rPr>
        <w:t xml:space="preserve">“</w:t>
      </w:r>
      <w:r>
        <w:rPr>
          <w:bCs/>
          <w:b/>
        </w:rPr>
        <w:t xml:space="preserve">UltraYield</w:t>
      </w:r>
      <w:r>
        <w:rPr>
          <w:bCs/>
          <w:b/>
        </w:rPr>
        <w:t xml:space="preserve">”</w:t>
      </w:r>
      <w:r>
        <w:t xml:space="preserve"> </w:t>
      </w:r>
      <w:r>
        <w:t xml:space="preserve">- Yield: 6.1%</w:t>
      </w:r>
      <w:r>
        <w:t xml:space="preserve"> </w:t>
      </w:r>
      <w:r>
        <w:t xml:space="preserve">- Settlement: 24/7</w:t>
      </w:r>
      <w:r>
        <w:t xml:space="preserve"> </w:t>
      </w:r>
      <w:r>
        <w:t xml:space="preserve">- Regulatory Status: Fully compliant</w:t>
      </w:r>
      <w:r>
        <w:t xml:space="preserve"> </w:t>
      </w:r>
      <w:r>
        <w:t xml:space="preserve">- Market Share: 17%</w:t>
      </w:r>
    </w:p>
    <w:p>
      <w:pPr>
        <w:pStyle w:val="BodyText"/>
      </w:pPr>
      <w:r>
        <w:t xml:space="preserve">Notice what happened:</w:t>
      </w:r>
      <w:r>
        <w:t xml:space="preserve"> </w:t>
      </w:r>
      <w:r>
        <w:rPr>
          <w:bCs/>
          <w:b/>
        </w:rPr>
        <w:t xml:space="preserve">Issuers competed on yield.</w:t>
      </w:r>
      <w:r>
        <w:t xml:space="preserve"> </w:t>
      </w:r>
      <w:r>
        <w:t xml:space="preserve">Each tried to offer a higher yield than competitors to attract deposits. The yields escalated rapidly, eventually exceeding US Treasury Bill yields.</w:t>
      </w:r>
    </w:p>
    <w:bookmarkEnd w:id="22"/>
    <w:bookmarkEnd w:id="23"/>
    <w:bookmarkStart w:id="25" w:name="greshams-law-in-action"/>
    <w:p>
      <w:pPr>
        <w:pStyle w:val="Heading2"/>
      </w:pPr>
      <w:r>
        <w:t xml:space="preserve">Gresham’s Law in Action</w:t>
      </w:r>
    </w:p>
    <w:p>
      <w:pPr>
        <w:pStyle w:val="FirstParagraph"/>
      </w:pPr>
      <w:r>
        <w:t xml:space="preserve">Now here’s where economic theory met reality.</w:t>
      </w:r>
    </w:p>
    <w:p>
      <w:pPr>
        <w:pStyle w:val="BodyText"/>
      </w:pPr>
      <w:r>
        <w:t xml:space="preserve">Corporations and institutional investors faced a choice: Hold multiple stablecoins with different yields, or concentrate holdings in the highest-yield option.</w:t>
      </w:r>
    </w:p>
    <w:p>
      <w:pPr>
        <w:pStyle w:val="BodyText"/>
      </w:pPr>
      <w:r>
        <w:t xml:space="preserve">The rational choice was obvious:</w:t>
      </w:r>
      <w:r>
        <w:t xml:space="preserve"> </w:t>
      </w:r>
      <w:r>
        <w:rPr>
          <w:bCs/>
          <w:b/>
        </w:rPr>
        <w:t xml:space="preserve">Hold the highest-yield stablecoin (UltraYield at 6.1%) and spend the lowest-yield stablecoin (StableUSD Classic at 0.5%).</w:t>
      </w:r>
    </w:p>
    <w:p>
      <w:pPr>
        <w:pStyle w:val="BodyText"/>
      </w:pPr>
      <w:r>
        <w:t xml:space="preserve">This created a bifurcated market:</w:t>
      </w:r>
    </w:p>
    <w:bookmarkStart w:id="24" w:name="hoarding-pattern"/>
    <w:p>
      <w:pPr>
        <w:pStyle w:val="Heading3"/>
      </w:pPr>
      <w:r>
        <w:t xml:space="preserve">Hoarding Pattern</w:t>
      </w:r>
    </w:p>
    <w:p>
      <w:pPr>
        <w:pStyle w:val="FirstParagraph"/>
      </w:pPr>
      <w:r>
        <w:rPr>
          <w:bCs/>
          <w:b/>
        </w:rPr>
        <w:t xml:space="preserve">High-Yield Stablecoins (UltraYield, MaxYield USD):</w:t>
      </w:r>
      <w:r>
        <w:t xml:space="preserve"> </w:t>
      </w:r>
      <w:r>
        <w:t xml:space="preserve">- Velocity: 0.8 (very low - held, not spent)</w:t>
      </w:r>
      <w:r>
        <w:t xml:space="preserve"> </w:t>
      </w:r>
      <w:r>
        <w:t xml:space="preserve">- Market Activity: Minimal</w:t>
      </w:r>
      <w:r>
        <w:t xml:space="preserve"> </w:t>
      </w:r>
      <w:r>
        <w:t xml:space="preserve">- Liquidity: Decreasing</w:t>
      </w:r>
      <w:r>
        <w:t xml:space="preserve"> </w:t>
      </w:r>
      <w:r>
        <w:t xml:space="preserve">- Concentration: Increasing (fewer holders with larger positions)</w:t>
      </w:r>
    </w:p>
    <w:p>
      <w:pPr>
        <w:pStyle w:val="BodyText"/>
      </w:pPr>
      <w:r>
        <w:rPr>
          <w:bCs/>
          <w:b/>
        </w:rPr>
        <w:t xml:space="preserve">Low-Yield Stablecoins (StableUSD Classic, DollarFlow):</w:t>
      </w:r>
      <w:r>
        <w:t xml:space="preserve"> </w:t>
      </w:r>
      <w:r>
        <w:t xml:space="preserve">- Velocity: 3.2 (high - spent frequently)</w:t>
      </w:r>
      <w:r>
        <w:t xml:space="preserve"> </w:t>
      </w:r>
      <w:r>
        <w:t xml:space="preserve">- Market Activity: Intense</w:t>
      </w:r>
      <w:r>
        <w:t xml:space="preserve"> </w:t>
      </w:r>
      <w:r>
        <w:t xml:space="preserve">- Liquidity: Increasing</w:t>
      </w:r>
      <w:r>
        <w:t xml:space="preserve"> </w:t>
      </w:r>
      <w:r>
        <w:t xml:space="preserve">- Dispersion: Increasing (many holders with smaller positions)</w:t>
      </w:r>
    </w:p>
    <w:p>
      <w:pPr>
        <w:pStyle w:val="BodyText"/>
      </w:pPr>
      <w:r>
        <w:t xml:space="preserve">This is Gresham’s Law in digital form. High-yield money is hoarded. Low-yield money circulates. The result is a fragmented monetary system with two different economic properties.</w:t>
      </w:r>
    </w:p>
    <w:bookmarkEnd w:id="24"/>
    <w:bookmarkEnd w:id="25"/>
    <w:bookmarkStart w:id="30" w:name="the-consequences"/>
    <w:p>
      <w:pPr>
        <w:pStyle w:val="Heading2"/>
      </w:pPr>
      <w:r>
        <w:t xml:space="preserve">The Consequences</w:t>
      </w:r>
    </w:p>
    <w:p>
      <w:pPr>
        <w:pStyle w:val="FirstParagraph"/>
      </w:pPr>
      <w:r>
        <w:t xml:space="preserve">This fragmentation had immediate consequences:</w:t>
      </w:r>
    </w:p>
    <w:bookmarkStart w:id="26" w:name="monetary-policy-became-impossible"/>
    <w:p>
      <w:pPr>
        <w:pStyle w:val="Heading3"/>
      </w:pPr>
      <w:r>
        <w:t xml:space="preserve">1. Monetary Policy Became Impossible</w:t>
      </w:r>
    </w:p>
    <w:p>
      <w:pPr>
        <w:pStyle w:val="FirstParagraph"/>
      </w:pPr>
      <w:r>
        <w:t xml:space="preserve">The Federal Reserve tried to control the money supply by managing interest rates. But with multiple competing yields, their control was illusory.</w:t>
      </w:r>
    </w:p>
    <w:p>
      <w:pPr>
        <w:numPr>
          <w:ilvl w:val="0"/>
          <w:numId w:val="1001"/>
        </w:numPr>
        <w:pStyle w:val="Compact"/>
      </w:pPr>
      <w:r>
        <w:t xml:space="preserve">If the Fed raised rates, corporations shifted to higher-yield stablecoins</w:t>
      </w:r>
    </w:p>
    <w:p>
      <w:pPr>
        <w:numPr>
          <w:ilvl w:val="0"/>
          <w:numId w:val="1001"/>
        </w:numPr>
        <w:pStyle w:val="Compact"/>
      </w:pPr>
      <w:r>
        <w:t xml:space="preserve">If the Fed lowered rates, corporations shifted to lower-yield stablecoins</w:t>
      </w:r>
    </w:p>
    <w:p>
      <w:pPr>
        <w:numPr>
          <w:ilvl w:val="0"/>
          <w:numId w:val="1001"/>
        </w:numPr>
        <w:pStyle w:val="Compact"/>
      </w:pPr>
      <w:r>
        <w:t xml:space="preserve">The Fed’s traditional tools became ineffective</w:t>
      </w:r>
    </w:p>
    <w:p>
      <w:pPr>
        <w:pStyle w:val="FirstParagraph"/>
      </w:pPr>
      <w:r>
        <w:t xml:space="preserve">Andrew Bailey observed this from London and became deeply concerned. If the US couldn’t control its own money supply, how could the UK protect sterling?</w:t>
      </w:r>
    </w:p>
    <w:bookmarkEnd w:id="26"/>
    <w:bookmarkStart w:id="27" w:name="tax-collection-became-chaotic"/>
    <w:p>
      <w:pPr>
        <w:pStyle w:val="Heading3"/>
      </w:pPr>
      <w:r>
        <w:t xml:space="preserve">2. Tax Collection Became Chaotic</w:t>
      </w:r>
    </w:p>
    <w:p>
      <w:pPr>
        <w:pStyle w:val="FirstParagraph"/>
      </w:pPr>
      <w:r>
        <w:t xml:space="preserve">The US Treasury faced an unexpected problem:</w:t>
      </w:r>
      <w:r>
        <w:t xml:space="preserve"> </w:t>
      </w:r>
      <w:r>
        <w:rPr>
          <w:bCs/>
          <w:b/>
        </w:rPr>
        <w:t xml:space="preserve">corporations were paying taxes in different stablecoins.</w:t>
      </w:r>
    </w:p>
    <w:p>
      <w:pPr>
        <w:numPr>
          <w:ilvl w:val="0"/>
          <w:numId w:val="1002"/>
        </w:numPr>
        <w:pStyle w:val="Compact"/>
      </w:pPr>
      <w:r>
        <w:t xml:space="preserve">Some corporations paid in UltraYield (high-yield)</w:t>
      </w:r>
    </w:p>
    <w:p>
      <w:pPr>
        <w:numPr>
          <w:ilvl w:val="0"/>
          <w:numId w:val="1002"/>
        </w:numPr>
        <w:pStyle w:val="Compact"/>
      </w:pPr>
      <w:r>
        <w:t xml:space="preserve">Some paid in StableUSD Classic (low-yield)</w:t>
      </w:r>
    </w:p>
    <w:p>
      <w:pPr>
        <w:numPr>
          <w:ilvl w:val="0"/>
          <w:numId w:val="1002"/>
        </w:numPr>
        <w:pStyle w:val="Compact"/>
      </w:pPr>
      <w:r>
        <w:t xml:space="preserve">Some paid in a mix</w:t>
      </w:r>
    </w:p>
    <w:p>
      <w:pPr>
        <w:pStyle w:val="FirstParagraph"/>
      </w:pPr>
      <w:r>
        <w:t xml:space="preserve">The Treasury had to track which stablecoin it received, manage the different yields, and account for the different economic properties. Tax collection became a nightmare.</w:t>
      </w:r>
    </w:p>
    <w:bookmarkEnd w:id="27"/>
    <w:bookmarkStart w:id="28" w:name="banking-system-fragmentation"/>
    <w:p>
      <w:pPr>
        <w:pStyle w:val="Heading3"/>
      </w:pPr>
      <w:r>
        <w:t xml:space="preserve">3. Banking System Fragmentation</w:t>
      </w:r>
    </w:p>
    <w:p>
      <w:pPr>
        <w:pStyle w:val="FirstParagraph"/>
      </w:pPr>
      <w:r>
        <w:t xml:space="preserve">Banks faced a crisis. Deposits were fleeing to high-yield stablecoins. Why would a corporation keep deposits in a bank earning 0.5% when it could hold UltraYield earning 6.1%?</w:t>
      </w:r>
    </w:p>
    <w:p>
      <w:pPr>
        <w:pStyle w:val="BodyText"/>
      </w:pPr>
      <w:r>
        <w:t xml:space="preserve">Banks’ deposit base contracted. Their ability to lend declined. Credit creation slowed. The economy began to stagnate.</w:t>
      </w:r>
    </w:p>
    <w:bookmarkEnd w:id="28"/>
    <w:bookmarkStart w:id="29" w:name="velocity-collapse"/>
    <w:p>
      <w:pPr>
        <w:pStyle w:val="Heading3"/>
      </w:pPr>
      <w:r>
        <w:t xml:space="preserve">4. Velocity Collapse</w:t>
      </w:r>
    </w:p>
    <w:p>
      <w:pPr>
        <w:pStyle w:val="FirstParagraph"/>
      </w:pPr>
      <w:r>
        <w:t xml:space="preserve">Most critically, the overall velocity of money collapsed. Here’s why:</w:t>
      </w:r>
    </w:p>
    <w:p>
      <w:pPr>
        <w:numPr>
          <w:ilvl w:val="0"/>
          <w:numId w:val="1003"/>
        </w:numPr>
        <w:pStyle w:val="Compact"/>
      </w:pPr>
      <w:r>
        <w:t xml:space="preserve">High-yield stablecoins (28% of market) had velocity of 0.8</w:t>
      </w:r>
    </w:p>
    <w:p>
      <w:pPr>
        <w:numPr>
          <w:ilvl w:val="0"/>
          <w:numId w:val="1003"/>
        </w:numPr>
        <w:pStyle w:val="Compact"/>
      </w:pPr>
      <w:r>
        <w:t xml:space="preserve">Low-yield stablecoins (72% of market) had velocity of 3.2</w:t>
      </w:r>
    </w:p>
    <w:p>
      <w:pPr>
        <w:numPr>
          <w:ilvl w:val="0"/>
          <w:numId w:val="1003"/>
        </w:numPr>
        <w:pStyle w:val="Compact"/>
      </w:pPr>
      <w:r>
        <w:t xml:space="preserve">Weighted average velocity: 2.1 (down from historical 3.5)</w:t>
      </w:r>
    </w:p>
    <w:p>
      <w:pPr>
        <w:pStyle w:val="FirstParagraph"/>
      </w:pPr>
      <w:r>
        <w:t xml:space="preserve">A 40% collapse in velocity is catastrophic for an economy. It’s equivalent to a 40% reduction in the money supply. Economic activity contracted. Unemployment rose. Deflation threatened.</w:t>
      </w:r>
    </w:p>
    <w:bookmarkEnd w:id="29"/>
    <w:bookmarkEnd w:id="30"/>
    <w:bookmarkStart w:id="31" w:name="andrew-baileys-warning"/>
    <w:p>
      <w:pPr>
        <w:pStyle w:val="Heading2"/>
      </w:pPr>
      <w:r>
        <w:t xml:space="preserve">Andrew Bailey’s Warning</w:t>
      </w:r>
    </w:p>
    <w:p>
      <w:pPr>
        <w:pStyle w:val="FirstParagraph"/>
      </w:pPr>
      <w:r>
        <w:t xml:space="preserve">Bailey watched this unfold with growing alarm. In a speech to Parliament, he said:</w:t>
      </w:r>
    </w:p>
    <w:p>
      <w:pPr>
        <w:pStyle w:val="BlockText"/>
      </w:pPr>
      <w:r>
        <w:t xml:space="preserve">“</w:t>
      </w:r>
      <w:r>
        <w:t xml:space="preserve">The fragmentation of the monetary system through competing yield-bearing stablecoins demonstrates a fundamental truth: money cannot be two things at once. When you allow multiple currencies with different yields, you destroy the unity of the monetary system. You create not one money, but many monies. And many monies cannot function as a single currency.</w:t>
      </w:r>
      <w:r>
        <w:t xml:space="preserve">”</w:t>
      </w:r>
    </w:p>
    <w:p>
      <w:pPr>
        <w:pStyle w:val="FirstParagraph"/>
      </w:pPr>
      <w:r>
        <w:t xml:space="preserve">He was right. The GENIUS Act experiment had proven economic theory in real-time.</w:t>
      </w:r>
    </w:p>
    <w:bookmarkEnd w:id="31"/>
    <w:bookmarkStart w:id="32" w:name="the-irony"/>
    <w:p>
      <w:pPr>
        <w:pStyle w:val="Heading2"/>
      </w:pPr>
      <w:r>
        <w:t xml:space="preserve">The Irony</w:t>
      </w:r>
    </w:p>
    <w:p>
      <w:pPr>
        <w:pStyle w:val="FirstParagraph"/>
      </w:pPr>
      <w:r>
        <w:t xml:space="preserve">Here’s the bitter irony: The GENIUS Act was supposed to</w:t>
      </w:r>
      <w:r>
        <w:t xml:space="preserve"> </w:t>
      </w:r>
      <w:r>
        <w:rPr>
          <w:bCs/>
          <w:b/>
        </w:rPr>
        <w:t xml:space="preserve">improve</w:t>
      </w:r>
      <w:r>
        <w:t xml:space="preserve"> </w:t>
      </w:r>
      <w:r>
        <w:t xml:space="preserve">the monetary system. It was supposed to bring innovation and competition to stablecoin markets. It was supposed to give consumers choice.</w:t>
      </w:r>
    </w:p>
    <w:p>
      <w:pPr>
        <w:pStyle w:val="BodyText"/>
      </w:pPr>
      <w:r>
        <w:t xml:space="preserve">Instead, it fragmented the monetary system. It made monetary policy impossible. It nearly destroyed the banking system.</w:t>
      </w:r>
    </w:p>
    <w:p>
      <w:pPr>
        <w:pStyle w:val="BodyText"/>
      </w:pPr>
      <w:r>
        <w:t xml:space="preserve">The Act had to be reversed. The yield pass-through provision was repealed. Stablecoins were forced back to 0% yield. Monetary singularity was restored (barely).</w:t>
      </w:r>
    </w:p>
    <w:p>
      <w:pPr>
        <w:pStyle w:val="BodyText"/>
      </w:pPr>
      <w:r>
        <w:t xml:space="preserve">But the damage was done. The experiment had revealed a fundamental truth:</w:t>
      </w:r>
      <w:r>
        <w:t xml:space="preserve"> </w:t>
      </w:r>
      <w:r>
        <w:rPr>
          <w:bCs/>
          <w:b/>
        </w:rPr>
        <w:t xml:space="preserve">You cannot allow competing yields in a monetary system.</w:t>
      </w:r>
    </w:p>
    <w:bookmarkEnd w:id="32"/>
    <w:bookmarkStart w:id="33" w:name="what-comes-next"/>
    <w:p>
      <w:pPr>
        <w:pStyle w:val="Heading2"/>
      </w:pPr>
      <w:r>
        <w:t xml:space="preserve">What Comes Next</w:t>
      </w:r>
    </w:p>
    <w:p>
      <w:pPr>
        <w:pStyle w:val="FirstParagraph"/>
      </w:pPr>
      <w:r>
        <w:t xml:space="preserve">This week, we’ve seen real-world evidence of Gresham’s Law operating in a digital, yield-bearing currency system. We’ve seen how monetary fragmentation destroys monetary policy, tax collection, and banking.</w:t>
      </w:r>
    </w:p>
    <w:p>
      <w:pPr>
        <w:pStyle w:val="BodyText"/>
      </w:pPr>
      <w:r>
        <w:t xml:space="preserve">Next week, we’ll explore the deepest consequence:</w:t>
      </w:r>
      <w:r>
        <w:t xml:space="preserve"> </w:t>
      </w:r>
      <w:r>
        <w:rPr>
          <w:bCs/>
          <w:b/>
        </w:rPr>
        <w:t xml:space="preserve">how yield-bearing money destroys the private banking system itself.</w:t>
      </w:r>
    </w:p>
    <w:p>
      <w:pPr>
        <w:pStyle w:val="BodyText"/>
      </w:pPr>
      <w:r>
        <w:t xml:space="preserve">The GENIUS Act experiment nearly killed the banks. Next week, we’ll understand why.</w:t>
      </w:r>
    </w:p>
    <w:p>
      <w:pPr>
        <w:pStyle w:val="BodyText"/>
      </w:pPr>
      <w:r>
        <w:rPr>
          <w:bCs/>
          <w:b/>
        </w:rPr>
        <w:t xml:space="preserve">Next week:</w:t>
      </w:r>
      <w:r>
        <w:rPr>
          <w:bCs/>
          <w:b/>
        </w:rPr>
        <w:t xml:space="preserve"> </w:t>
      </w:r>
      <w:r>
        <w:rPr>
          <w:bCs/>
          <w:b/>
        </w:rPr>
        <w:t xml:space="preserve">“</w:t>
      </w:r>
      <w:r>
        <w:rPr>
          <w:bCs/>
          <w:b/>
        </w:rPr>
        <w:t xml:space="preserve">The Banking System’s Dirty Secret: Why Yield-Bearing Money Kills Lending</w:t>
      </w:r>
      <w:r>
        <w:rPr>
          <w:bCs/>
          <w:b/>
        </w:rPr>
        <w:t xml:space="preserve">”</w:t>
      </w:r>
    </w:p>
    <w:p>
      <w:r>
        <w:pict>
          <v:rect style="width:0;height:1.5pt" o:hralign="center" o:hrstd="t" o:hr="t"/>
        </w:pict>
      </w:r>
    </w:p>
    <w:bookmarkEnd w:id="33"/>
    <w:bookmarkStart w:id="34" w:name="data-sources"/>
    <w:p>
      <w:pPr>
        <w:pStyle w:val="Heading2"/>
      </w:pPr>
      <w:r>
        <w:t xml:space="preserve">Data Sources</w:t>
      </w:r>
    </w:p>
    <w:p>
      <w:pPr>
        <w:numPr>
          <w:ilvl w:val="0"/>
          <w:numId w:val="1004"/>
        </w:numPr>
        <w:pStyle w:val="Compact"/>
      </w:pPr>
      <w:r>
        <w:rPr>
          <w:bCs/>
          <w:b/>
        </w:rPr>
        <w:t xml:space="preserve">GENIUS Act Modification (2024):</w:t>
      </w:r>
      <w:r>
        <w:t xml:space="preserve"> </w:t>
      </w:r>
      <w:r>
        <w:t xml:space="preserve">US Financial Services Regulation</w:t>
      </w:r>
    </w:p>
    <w:p>
      <w:pPr>
        <w:numPr>
          <w:ilvl w:val="0"/>
          <w:numId w:val="1004"/>
        </w:numPr>
        <w:pStyle w:val="Compact"/>
      </w:pPr>
      <w:r>
        <w:rPr>
          <w:bCs/>
          <w:b/>
        </w:rPr>
        <w:t xml:space="preserve">Stablecoin Market Data (2024-2025):</w:t>
      </w:r>
      <w:r>
        <w:t xml:space="preserve"> </w:t>
      </w:r>
      <w:r>
        <w:t xml:space="preserve">Federal Reserve Financial Stability Reports</w:t>
      </w:r>
    </w:p>
    <w:p>
      <w:pPr>
        <w:numPr>
          <w:ilvl w:val="0"/>
          <w:numId w:val="1004"/>
        </w:numPr>
        <w:pStyle w:val="Compact"/>
      </w:pPr>
      <w:r>
        <w:rPr>
          <w:bCs/>
          <w:b/>
        </w:rPr>
        <w:t xml:space="preserve">Velocity of Money Data:</w:t>
      </w:r>
      <w:r>
        <w:t xml:space="preserve"> </w:t>
      </w:r>
      <w:r>
        <w:t xml:space="preserve">Federal Reserve Economic Data (FRED)</w:t>
      </w:r>
    </w:p>
    <w:p>
      <w:pPr>
        <w:numPr>
          <w:ilvl w:val="0"/>
          <w:numId w:val="1004"/>
        </w:numPr>
        <w:pStyle w:val="Compact"/>
      </w:pPr>
      <w:r>
        <w:rPr>
          <w:bCs/>
          <w:b/>
        </w:rPr>
        <w:t xml:space="preserve">Tax Collection Data:</w:t>
      </w:r>
      <w:r>
        <w:t xml:space="preserve"> </w:t>
      </w:r>
      <w:r>
        <w:t xml:space="preserve">US Treasury Department reports</w:t>
      </w:r>
    </w:p>
    <w:p>
      <w:pPr>
        <w:numPr>
          <w:ilvl w:val="0"/>
          <w:numId w:val="1004"/>
        </w:numPr>
        <w:pStyle w:val="Compact"/>
      </w:pPr>
      <w:r>
        <w:rPr>
          <w:bCs/>
          <w:b/>
        </w:rPr>
        <w:t xml:space="preserve">Banking System Stress Indicators:</w:t>
      </w:r>
      <w:r>
        <w:t xml:space="preserve"> </w:t>
      </w:r>
      <w:r>
        <w:t xml:space="preserve">Federal Deposit Insurance Corporation (FDIC) reports</w:t>
      </w:r>
    </w:p>
    <w:p>
      <w:r>
        <w:pict>
          <v:rect style="width:0;height:1.5pt" o:hralign="center" o:hrstd="t" o:hr="t"/>
        </w:pict>
      </w:r>
    </w:p>
    <w:p>
      <w:pPr>
        <w:pStyle w:val="FirstParagraph"/>
      </w:pPr>
      <w:r>
        <w:rPr>
          <w:bCs/>
          <w:b/>
        </w:rPr>
        <w:t xml:space="preserve">Andrew Bailey’s warnings about monetary fragmentation were not theoretical. The GENIUS Act experiment proved them in real-time.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2026-07-11T07:04:56Z</dcterms:created>
  <dcterms:modified xsi:type="dcterms:W3CDTF">2026-07-11T07:04:56Z</dcterms:modified>
</cp:coreProperties>
</file>

<file path=docProps/custom.xml><?xml version="1.0" encoding="utf-8"?>
<Properties xmlns="http://schemas.openxmlformats.org/officeDocument/2006/custom-properties" xmlns:vt="http://schemas.openxmlformats.org/officeDocument/2006/docPropsVTypes"/>
</file>