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ca82b759ce4041c0075f9c561589a4295102d69"/>
    <w:p>
      <w:pPr>
        <w:pStyle w:val="Heading1"/>
      </w:pPr>
      <w:r>
        <w:t xml:space="preserve">Digital Gilts as Tax Payment: HM Treasury’s Strategic Response to the Agentic USD Challenge</w:t>
      </w:r>
    </w:p>
    <w:p>
      <w:pPr>
        <w:pStyle w:val="FirstParagraph"/>
      </w:pPr>
      <w:r>
        <w:rPr>
          <w:bCs/>
          <w:b/>
        </w:rPr>
        <w:t xml:space="preserve">By David Parsons and Jonny Fry</w:t>
      </w:r>
      <w:r>
        <w:br/>
      </w:r>
      <w:r>
        <w:rPr>
          <w:bCs/>
          <w:b/>
        </w:rPr>
        <w:t xml:space="preserve">London Digital Escrow</w:t>
      </w:r>
    </w:p>
    <w:p>
      <w:r>
        <w:pict>
          <v:rect style="width:0;height:1.5pt" o:hralign="center" o:hrstd="t" o:hr="t"/>
        </w:pict>
      </w:r>
    </w:p>
    <w:bookmarkStart w:id="20" w:name="Xc11f09a3cf2a005ddb05845f8c39f3788d69212"/>
    <w:p>
      <w:pPr>
        <w:pStyle w:val="Heading2"/>
      </w:pPr>
      <w:r>
        <w:t xml:space="preserve">Introduction: The Emerging Threat to Sterling Sovereignty</w:t>
      </w:r>
    </w:p>
    <w:p>
      <w:pPr>
        <w:pStyle w:val="FirstParagraph"/>
      </w:pPr>
      <w:r>
        <w:t xml:space="preserve">The United Kingdom faces an unprecedented challenge to its monetary sovereignty. The rapid emergence of Agentic USD stablecoins—digital dollars backed 1:1 by US Treasury securities and offering yield pass-through—threatens to drain the Gilt market of institutional demand. As we have documented in previous articles of the Agentic USD series, this drain could reach £260-450 billion within 24 months, creating a sovereign debt trap that forces the UK government to borrow at increasingly punitive rates.</w:t>
      </w:r>
    </w:p>
    <w:p>
      <w:pPr>
        <w:pStyle w:val="BodyText"/>
      </w:pPr>
      <w:r>
        <w:t xml:space="preserve">Yet HM Treasury has a powerful defensive weapon at its disposal:</w:t>
      </w:r>
      <w:r>
        <w:t xml:space="preserve"> </w:t>
      </w:r>
      <w:r>
        <w:rPr>
          <w:bCs/>
          <w:b/>
        </w:rPr>
        <w:t xml:space="preserve">Digital Gilts as tax payment</w:t>
      </w:r>
      <w:r>
        <w:t xml:space="preserve">.</w:t>
      </w:r>
    </w:p>
    <w:p>
      <w:pPr>
        <w:pStyle w:val="BodyText"/>
      </w:pPr>
      <w:r>
        <w:t xml:space="preserve">By allowing UK corporations to pay their taxes in Digital Gilts, HM Treasury can accomplish something remarkable: it can restore the tax-driven demand mechanism that historically supported the Gilt market, create a competitive alternative to Agentic USD, and preserve sterling sovereignty in the digital age.</w:t>
      </w:r>
    </w:p>
    <w:p>
      <w:pPr>
        <w:pStyle w:val="BodyText"/>
      </w:pPr>
      <w:r>
        <w:t xml:space="preserve">This article explores the strategic logic, implementation mechanisms, historical precedents, and policy implications of Digital Gilts as tax payment. We argue that this policy is not merely desirable—it is essential for maintaining UK financial independence in the face of digital dollarization.</w:t>
      </w:r>
    </w:p>
    <w:p>
      <w:r>
        <w:pict>
          <v:rect style="width:0;height:1.5pt" o:hralign="center" o:hrstd="t" o:hr="t"/>
        </w:pict>
      </w:r>
    </w:p>
    <w:bookmarkEnd w:id="20"/>
    <w:bookmarkStart w:id="24" w:name="Xa1af89592e7ef40a40e92149b1d60bff44d395f"/>
    <w:p>
      <w:pPr>
        <w:pStyle w:val="Heading2"/>
      </w:pPr>
      <w:r>
        <w:t xml:space="preserve">Part 1: Understanding the Agentic USD Threat to Gilts</w:t>
      </w:r>
    </w:p>
    <w:bookmarkStart w:id="21" w:name="the-yield-advantage"/>
    <w:p>
      <w:pPr>
        <w:pStyle w:val="Heading3"/>
      </w:pPr>
      <w:r>
        <w:t xml:space="preserve">The Yield Advantage</w:t>
      </w:r>
    </w:p>
    <w:p>
      <w:pPr>
        <w:pStyle w:val="FirstParagraph"/>
      </w:pPr>
      <w:r>
        <w:t xml:space="preserve">To understand why Digital Gilts as tax payment is necessary, we must first understand the threat posed by Agentic USD stablecoins.</w:t>
      </w:r>
    </w:p>
    <w:p>
      <w:pPr>
        <w:pStyle w:val="BodyText"/>
      </w:pPr>
      <w:r>
        <w:t xml:space="preserve">Currently, Agentic USD stablecoins offer several advantages over traditional Gilts:</w:t>
      </w:r>
    </w:p>
    <w:p>
      <w:pPr>
        <w:pStyle w:val="BodyText"/>
      </w:pPr>
      <w:r>
        <w:rPr>
          <w:bCs/>
          <w:b/>
        </w:rPr>
        <w:t xml:space="preserve">1. Yield Pass-Through</w:t>
      </w:r>
      <w:r>
        <w:t xml:space="preserve">: If GENIUS regulations are amended (which we believe is likely), Agentic USD will offer 4.5-5% yield—comparable to Gilts but with additional benefits.</w:t>
      </w:r>
    </w:p>
    <w:p>
      <w:pPr>
        <w:pStyle w:val="BodyText"/>
      </w:pPr>
      <w:r>
        <w:rPr>
          <w:bCs/>
          <w:b/>
        </w:rPr>
        <w:t xml:space="preserve">2. Settlement Speed</w:t>
      </w:r>
      <w:r>
        <w:t xml:space="preserve">: Agentic USD settles 24/7 on blockchain networks. Gilts settle through traditional channels, which take 2-3 business days.</w:t>
      </w:r>
    </w:p>
    <w:p>
      <w:pPr>
        <w:pStyle w:val="BodyText"/>
      </w:pPr>
      <w:r>
        <w:rPr>
          <w:bCs/>
          <w:b/>
        </w:rPr>
        <w:t xml:space="preserve">3. Programmability</w:t>
      </w:r>
      <w:r>
        <w:t xml:space="preserve">: Agentic USD can be programmed to execute automated payments, conditional transfers, and complex financial transactions. Traditional Gilts cannot.</w:t>
      </w:r>
    </w:p>
    <w:p>
      <w:pPr>
        <w:pStyle w:val="BodyText"/>
      </w:pPr>
      <w:r>
        <w:rPr>
          <w:bCs/>
          <w:b/>
        </w:rPr>
        <w:t xml:space="preserve">4. No Counterparty Risk</w:t>
      </w:r>
      <w:r>
        <w:t xml:space="preserve">: Agentic USD is backed 1:1 by US Treasuries held in custody. There is no counterparty risk to the issuer. Gilts, by contrast, carry the credit risk of the UK government.</w:t>
      </w:r>
    </w:p>
    <w:p>
      <w:pPr>
        <w:pStyle w:val="BodyText"/>
      </w:pPr>
      <w:r>
        <w:rPr>
          <w:bCs/>
          <w:b/>
        </w:rPr>
        <w:t xml:space="preserve">5. Tax Efficiency</w:t>
      </w:r>
      <w:r>
        <w:t xml:space="preserve">: Agentic USD offers tax efficiency through programmable payments and reduced compliance overhead. Gilts require traditional tax reporting.</w:t>
      </w:r>
    </w:p>
    <w:p>
      <w:pPr>
        <w:pStyle w:val="BodyText"/>
      </w:pPr>
      <w:r>
        <w:rPr>
          <w:bCs/>
          <w:b/>
        </w:rPr>
        <w:t xml:space="preserve">6. Global Accessibility</w:t>
      </w:r>
      <w:r>
        <w:t xml:space="preserve">: Agentic USD is accessible 24/7 globally through blockchain networks. Gilts are accessible only during UK business hours through traditional channels.</w:t>
      </w:r>
    </w:p>
    <w:bookmarkEnd w:id="21"/>
    <w:bookmarkStart w:id="22" w:name="the-drain-mechanism"/>
    <w:p>
      <w:pPr>
        <w:pStyle w:val="Heading3"/>
      </w:pPr>
      <w:r>
        <w:t xml:space="preserve">The Drain Mechanism</w:t>
      </w:r>
    </w:p>
    <w:p>
      <w:pPr>
        <w:pStyle w:val="FirstParagraph"/>
      </w:pPr>
      <w:r>
        <w:t xml:space="preserve">These advantages create a powerful incentive for UK corporations and institutions to hold Agentic USD instead of Gilts. The drain mechanism works as follows:</w:t>
      </w:r>
    </w:p>
    <w:p>
      <w:pPr>
        <w:numPr>
          <w:ilvl w:val="0"/>
          <w:numId w:val="1001"/>
        </w:numPr>
      </w:pPr>
      <w:r>
        <w:rPr>
          <w:bCs/>
          <w:b/>
        </w:rPr>
        <w:t xml:space="preserve">Multinational corporations</w:t>
      </w:r>
      <w:r>
        <w:t xml:space="preserve"> </w:t>
      </w:r>
      <w:r>
        <w:t xml:space="preserve">with USD revenues (e.g., HSBC, Shell, Unilever) currently hold USD in traditional bank accounts or short-term US Treasury bills.</w:t>
      </w:r>
    </w:p>
    <w:p>
      <w:pPr>
        <w:numPr>
          <w:ilvl w:val="0"/>
          <w:numId w:val="1001"/>
        </w:numPr>
      </w:pPr>
      <w:r>
        <w:rPr>
          <w:bCs/>
          <w:b/>
        </w:rPr>
        <w:t xml:space="preserve">These corporations recognize</w:t>
      </w:r>
      <w:r>
        <w:t xml:space="preserve"> </w:t>
      </w:r>
      <w:r>
        <w:t xml:space="preserve">that Agentic USD offers better terms: higher yield, faster settlement, programmability, and tax efficiency.</w:t>
      </w:r>
    </w:p>
    <w:p>
      <w:pPr>
        <w:numPr>
          <w:ilvl w:val="0"/>
          <w:numId w:val="1001"/>
        </w:numPr>
      </w:pPr>
      <w:r>
        <w:rPr>
          <w:bCs/>
          <w:b/>
        </w:rPr>
        <w:t xml:space="preserve">Corporations shift USD holdings</w:t>
      </w:r>
      <w:r>
        <w:t xml:space="preserve"> </w:t>
      </w:r>
      <w:r>
        <w:t xml:space="preserve">from traditional channels to Agentic USD stablecoins.</w:t>
      </w:r>
    </w:p>
    <w:p>
      <w:pPr>
        <w:numPr>
          <w:ilvl w:val="0"/>
          <w:numId w:val="1001"/>
        </w:numPr>
      </w:pPr>
      <w:r>
        <w:rPr>
          <w:bCs/>
          <w:b/>
        </w:rPr>
        <w:t xml:space="preserve">This shift reduces demand</w:t>
      </w:r>
      <w:r>
        <w:t xml:space="preserve"> </w:t>
      </w:r>
      <w:r>
        <w:t xml:space="preserve">for traditional Gilts, as corporations that would have held Gilts as a GBP-denominated store of value now hold Agentic USD.</w:t>
      </w:r>
    </w:p>
    <w:p>
      <w:pPr>
        <w:numPr>
          <w:ilvl w:val="0"/>
          <w:numId w:val="1001"/>
        </w:numPr>
      </w:pPr>
      <w:r>
        <w:rPr>
          <w:bCs/>
          <w:b/>
        </w:rPr>
        <w:t xml:space="preserve">Reduced demand drives up Gilt yields</w:t>
      </w:r>
      <w:r>
        <w:t xml:space="preserve">, forcing HM Treasury to borrow at higher rates.</w:t>
      </w:r>
    </w:p>
    <w:p>
      <w:pPr>
        <w:numPr>
          <w:ilvl w:val="0"/>
          <w:numId w:val="1001"/>
        </w:numPr>
      </w:pPr>
      <w:r>
        <w:rPr>
          <w:bCs/>
          <w:b/>
        </w:rPr>
        <w:t xml:space="preserve">Higher borrowing costs create fiscal pressure</w:t>
      </w:r>
      <w:r>
        <w:t xml:space="preserve">, forcing the government to cut spending or raise taxes.</w:t>
      </w:r>
    </w:p>
    <w:p>
      <w:pPr>
        <w:numPr>
          <w:ilvl w:val="0"/>
          <w:numId w:val="1001"/>
        </w:numPr>
      </w:pPr>
      <w:r>
        <w:rPr>
          <w:bCs/>
          <w:b/>
        </w:rPr>
        <w:t xml:space="preserve">The cycle accelerates</w:t>
      </w:r>
      <w:r>
        <w:t xml:space="preserve"> </w:t>
      </w:r>
      <w:r>
        <w:t xml:space="preserve">as higher Gilt yields make Agentic USD even more attractive relative to Gilts.</w:t>
      </w:r>
    </w:p>
    <w:bookmarkEnd w:id="22"/>
    <w:bookmarkStart w:id="23" w:name="scale-of-the-threat"/>
    <w:p>
      <w:pPr>
        <w:pStyle w:val="Heading3"/>
      </w:pPr>
      <w:r>
        <w:t xml:space="preserve">Scale of the Threat</w:t>
      </w:r>
    </w:p>
    <w:p>
      <w:pPr>
        <w:pStyle w:val="FirstParagraph"/>
      </w:pPr>
      <w:r>
        <w:t xml:space="preserve">Our analysis in Article 4 (</w:t>
      </w:r>
      <w:r>
        <w:t xml:space="preserve">“</w:t>
      </w:r>
      <w:r>
        <w:t xml:space="preserve">The Sovereign Debt Trap</w:t>
      </w:r>
      <w:r>
        <w:t xml:space="preserve">”</w:t>
      </w:r>
      <w:r>
        <w:t xml:space="preserve">) projects that Agentic USD could drain £260-450 billion from the UK financial system within 24 months. This represents:</w:t>
      </w:r>
    </w:p>
    <w:p>
      <w:pPr>
        <w:numPr>
          <w:ilvl w:val="0"/>
          <w:numId w:val="1002"/>
        </w:numPr>
        <w:pStyle w:val="Compact"/>
      </w:pPr>
      <w:r>
        <w:t xml:space="preserve">13-23% of UK M₀ (narrow money supply)</w:t>
      </w:r>
    </w:p>
    <w:p>
      <w:pPr>
        <w:numPr>
          <w:ilvl w:val="0"/>
          <w:numId w:val="1002"/>
        </w:numPr>
        <w:pStyle w:val="Compact"/>
      </w:pPr>
      <w:r>
        <w:t xml:space="preserve">4-7% of total Gilt market outstanding</w:t>
      </w:r>
    </w:p>
    <w:p>
      <w:pPr>
        <w:numPr>
          <w:ilvl w:val="0"/>
          <w:numId w:val="1002"/>
        </w:numPr>
        <w:pStyle w:val="Compact"/>
      </w:pPr>
      <w:r>
        <w:t xml:space="preserve">15-25% of corporate working capital</w:t>
      </w:r>
    </w:p>
    <w:p>
      <w:pPr>
        <w:pStyle w:val="FirstParagraph"/>
      </w:pPr>
      <w:r>
        <w:t xml:space="preserve">This is not a trivial amount. A drain of this magnitude would:</w:t>
      </w:r>
    </w:p>
    <w:p>
      <w:pPr>
        <w:numPr>
          <w:ilvl w:val="0"/>
          <w:numId w:val="1003"/>
        </w:numPr>
        <w:pStyle w:val="Compact"/>
      </w:pPr>
      <w:r>
        <w:t xml:space="preserve">Increase Gilt yields by 80-120 basis points</w:t>
      </w:r>
    </w:p>
    <w:p>
      <w:pPr>
        <w:numPr>
          <w:ilvl w:val="0"/>
          <w:numId w:val="1003"/>
        </w:numPr>
        <w:pStyle w:val="Compact"/>
      </w:pPr>
      <w:r>
        <w:t xml:space="preserve">Force HM Treasury to issue an additional £50-100 billion in Gilts annually</w:t>
      </w:r>
    </w:p>
    <w:p>
      <w:pPr>
        <w:numPr>
          <w:ilvl w:val="0"/>
          <w:numId w:val="1003"/>
        </w:numPr>
        <w:pStyle w:val="Compact"/>
      </w:pPr>
      <w:r>
        <w:t xml:space="preserve">Reduce credit creation by the UK banking system by £100-200 billion</w:t>
      </w:r>
    </w:p>
    <w:p>
      <w:pPr>
        <w:numPr>
          <w:ilvl w:val="0"/>
          <w:numId w:val="1003"/>
        </w:numPr>
        <w:pStyle w:val="Compact"/>
      </w:pPr>
      <w:r>
        <w:t xml:space="preserve">Create a fiscal crisis within 24-36 months</w:t>
      </w:r>
    </w:p>
    <w:p>
      <w:r>
        <w:pict>
          <v:rect style="width:0;height:1.5pt" o:hralign="center" o:hrstd="t" o:hr="t"/>
        </w:pict>
      </w:r>
    </w:p>
    <w:bookmarkEnd w:id="23"/>
    <w:bookmarkEnd w:id="24"/>
    <w:bookmarkStart w:id="28" w:name="X1a4133d40c6e93406e2e5aab7cef3bbed6553ad"/>
    <w:p>
      <w:pPr>
        <w:pStyle w:val="Heading2"/>
      </w:pPr>
      <w:r>
        <w:t xml:space="preserve">Part 2: The Historical Precedent—Tax-Driven Bond Markets</w:t>
      </w:r>
    </w:p>
    <w:p>
      <w:pPr>
        <w:pStyle w:val="FirstParagraph"/>
      </w:pPr>
      <w:r>
        <w:t xml:space="preserve">To understand why Digital Gilts as tax payment is such a powerful response, we must examine the historical role of taxes in driving demand for government bonds.</w:t>
      </w:r>
    </w:p>
    <w:bookmarkStart w:id="25" w:name="Xe63b2518320d35ad4ace08436f873ac5cb3859a"/>
    <w:p>
      <w:pPr>
        <w:pStyle w:val="Heading3"/>
      </w:pPr>
      <w:r>
        <w:t xml:space="preserve">The US Treasury Market: The World’s Largest Bond Market</w:t>
      </w:r>
    </w:p>
    <w:p>
      <w:pPr>
        <w:pStyle w:val="FirstParagraph"/>
      </w:pPr>
      <w:r>
        <w:t xml:space="preserve">The US Treasury market is the world’s largest and most liquid bond market, with approximately $26 trillion in outstanding debt. This market’s dominance is not accidental. It reflects several structural factors, one of which is particularly relevant to our analysis:</w:t>
      </w:r>
      <w:r>
        <w:t xml:space="preserve"> </w:t>
      </w:r>
      <w:r>
        <w:rPr>
          <w:bCs/>
          <w:b/>
        </w:rPr>
        <w:t xml:space="preserve">tax-driven demand</w:t>
      </w:r>
      <w:r>
        <w:t xml:space="preserve">.</w:t>
      </w:r>
    </w:p>
    <w:p>
      <w:pPr>
        <w:pStyle w:val="BodyText"/>
      </w:pPr>
      <w:r>
        <w:t xml:space="preserve">US corporations must pay their federal income taxes in US dollars. This creates automatic demand for US Treasury securities. Here’s how the mechanism works:</w:t>
      </w:r>
    </w:p>
    <w:p>
      <w:pPr>
        <w:numPr>
          <w:ilvl w:val="0"/>
          <w:numId w:val="1004"/>
        </w:numPr>
      </w:pPr>
      <w:r>
        <w:rPr>
          <w:bCs/>
          <w:b/>
        </w:rPr>
        <w:t xml:space="preserve">US corporations generate profits</w:t>
      </w:r>
      <w:r>
        <w:t xml:space="preserve"> </w:t>
      </w:r>
      <w:r>
        <w:t xml:space="preserve">in USD.</w:t>
      </w:r>
    </w:p>
    <w:p>
      <w:pPr>
        <w:numPr>
          <w:ilvl w:val="0"/>
          <w:numId w:val="1004"/>
        </w:numPr>
      </w:pPr>
      <w:r>
        <w:rPr>
          <w:bCs/>
          <w:b/>
        </w:rPr>
        <w:t xml:space="preserve">These corporations must pay federal income taxes</w:t>
      </w:r>
      <w:r>
        <w:t xml:space="preserve"> </w:t>
      </w:r>
      <w:r>
        <w:t xml:space="preserve">in USD, typically quarterly.</w:t>
      </w:r>
    </w:p>
    <w:p>
      <w:pPr>
        <w:numPr>
          <w:ilvl w:val="0"/>
          <w:numId w:val="1004"/>
        </w:numPr>
      </w:pPr>
      <w:r>
        <w:rPr>
          <w:bCs/>
          <w:b/>
        </w:rPr>
        <w:t xml:space="preserve">To prepare for tax payments</w:t>
      </w:r>
      <w:r>
        <w:t xml:space="preserve">, corporations hold USD-denominated assets—primarily US Treasury bills and bonds.</w:t>
      </w:r>
    </w:p>
    <w:p>
      <w:pPr>
        <w:numPr>
          <w:ilvl w:val="0"/>
          <w:numId w:val="1004"/>
        </w:numPr>
      </w:pPr>
      <w:r>
        <w:rPr>
          <w:bCs/>
          <w:b/>
        </w:rPr>
        <w:t xml:space="preserve">This creates automatic demand</w:t>
      </w:r>
      <w:r>
        <w:t xml:space="preserve"> </w:t>
      </w:r>
      <w:r>
        <w:t xml:space="preserve">for US Treasury securities.</w:t>
      </w:r>
    </w:p>
    <w:p>
      <w:pPr>
        <w:numPr>
          <w:ilvl w:val="0"/>
          <w:numId w:val="1004"/>
        </w:numPr>
      </w:pPr>
      <w:r>
        <w:rPr>
          <w:bCs/>
          <w:b/>
        </w:rPr>
        <w:t xml:space="preserve">This demand is structural and recurring</w:t>
      </w:r>
      <w:r>
        <w:t xml:space="preserve">, creating a stable floor for US Treasury prices.</w:t>
      </w:r>
    </w:p>
    <w:p>
      <w:pPr>
        <w:numPr>
          <w:ilvl w:val="0"/>
          <w:numId w:val="1004"/>
        </w:numPr>
      </w:pPr>
      <w:r>
        <w:rPr>
          <w:bCs/>
          <w:b/>
        </w:rPr>
        <w:t xml:space="preserve">This stable demand supports the US Treasury market</w:t>
      </w:r>
      <w:r>
        <w:t xml:space="preserve">, enabling the US government to borrow at favorable rates.</w:t>
      </w:r>
    </w:p>
    <w:bookmarkEnd w:id="25"/>
    <w:bookmarkStart w:id="26" w:name="the-historical-strength-of-uk-gilts"/>
    <w:p>
      <w:pPr>
        <w:pStyle w:val="Heading3"/>
      </w:pPr>
      <w:r>
        <w:t xml:space="preserve">The Historical Strength of UK Gilts</w:t>
      </w:r>
    </w:p>
    <w:p>
      <w:pPr>
        <w:pStyle w:val="FirstParagraph"/>
      </w:pPr>
      <w:r>
        <w:t xml:space="preserve">Historically, UK Gilts benefited from a similar mechanism. UK corporations paid their corporate income taxes in GBP, creating automatic demand for Gilt-denominated assets. This tax-driven demand was a key pillar supporting the Gilt market.</w:t>
      </w:r>
    </w:p>
    <w:p>
      <w:pPr>
        <w:pStyle w:val="BodyText"/>
      </w:pPr>
      <w:r>
        <w:t xml:space="preserve">However, in the digital age, this mechanism has broken down. Here’s why:</w:t>
      </w:r>
    </w:p>
    <w:p>
      <w:pPr>
        <w:numPr>
          <w:ilvl w:val="0"/>
          <w:numId w:val="1005"/>
        </w:numPr>
      </w:pPr>
      <w:r>
        <w:rPr>
          <w:bCs/>
          <w:b/>
        </w:rPr>
        <w:t xml:space="preserve">Corporations can now hold multiple currencies</w:t>
      </w:r>
      <w:r>
        <w:t xml:space="preserve"> </w:t>
      </w:r>
      <w:r>
        <w:t xml:space="preserve">simultaneously, without operational friction.</w:t>
      </w:r>
    </w:p>
    <w:p>
      <w:pPr>
        <w:numPr>
          <w:ilvl w:val="0"/>
          <w:numId w:val="1005"/>
        </w:numPr>
      </w:pPr>
      <w:r>
        <w:rPr>
          <w:bCs/>
          <w:b/>
        </w:rPr>
        <w:t xml:space="preserve">Digital assets and stablecoins</w:t>
      </w:r>
      <w:r>
        <w:t xml:space="preserve"> </w:t>
      </w:r>
      <w:r>
        <w:t xml:space="preserve">make it easy to hold USD, EUR, or other currencies without traditional banking infrastructure.</w:t>
      </w:r>
    </w:p>
    <w:p>
      <w:pPr>
        <w:numPr>
          <w:ilvl w:val="0"/>
          <w:numId w:val="1005"/>
        </w:numPr>
      </w:pPr>
      <w:r>
        <w:rPr>
          <w:bCs/>
          <w:b/>
        </w:rPr>
        <w:t xml:space="preserve">Tax payment deadlines</w:t>
      </w:r>
      <w:r>
        <w:t xml:space="preserve"> </w:t>
      </w:r>
      <w:r>
        <w:t xml:space="preserve">no longer force corporations to hold GBP-denominated assets. Corporations can hold USD and convert to GBP only at the moment of tax payment.</w:t>
      </w:r>
    </w:p>
    <w:p>
      <w:pPr>
        <w:numPr>
          <w:ilvl w:val="0"/>
          <w:numId w:val="1005"/>
        </w:numPr>
      </w:pPr>
      <w:r>
        <w:rPr>
          <w:bCs/>
          <w:b/>
        </w:rPr>
        <w:t xml:space="preserve">If USD-denominated assets offer better terms</w:t>
      </w:r>
      <w:r>
        <w:t xml:space="preserve"> </w:t>
      </w:r>
      <w:r>
        <w:t xml:space="preserve">(higher yield, faster settlement, programmability), corporations will hold USD and accept the currency conversion risk.</w:t>
      </w:r>
    </w:p>
    <w:p>
      <w:pPr>
        <w:numPr>
          <w:ilvl w:val="0"/>
          <w:numId w:val="1005"/>
        </w:numPr>
      </w:pPr>
      <w:r>
        <w:rPr>
          <w:bCs/>
          <w:b/>
        </w:rPr>
        <w:t xml:space="preserve">This breaks the tax-driven demand mechanism</w:t>
      </w:r>
      <w:r>
        <w:t xml:space="preserve"> </w:t>
      </w:r>
      <w:r>
        <w:t xml:space="preserve">that historically supported Gilts.</w:t>
      </w:r>
    </w:p>
    <w:bookmarkEnd w:id="26"/>
    <w:bookmarkStart w:id="27" w:name="X8996e563078d9c5997526db6066f26b8a8c2929"/>
    <w:p>
      <w:pPr>
        <w:pStyle w:val="Heading3"/>
      </w:pPr>
      <w:r>
        <w:t xml:space="preserve">Restoring the Mechanism: Digital Gilts as Tax Payment</w:t>
      </w:r>
    </w:p>
    <w:p>
      <w:pPr>
        <w:pStyle w:val="FirstParagraph"/>
      </w:pPr>
      <w:r>
        <w:t xml:space="preserve">By allowing corporations to pay taxes in Digital Gilts, HM Treasury can restore the tax-driven demand mechanism. Here’s how:</w:t>
      </w:r>
    </w:p>
    <w:p>
      <w:pPr>
        <w:numPr>
          <w:ilvl w:val="0"/>
          <w:numId w:val="1006"/>
        </w:numPr>
      </w:pPr>
      <w:r>
        <w:rPr>
          <w:bCs/>
          <w:b/>
        </w:rPr>
        <w:t xml:space="preserve">Corporations purchase Digital Gilts</w:t>
      </w:r>
      <w:r>
        <w:t xml:space="preserve"> </w:t>
      </w:r>
      <w:r>
        <w:t xml:space="preserve">as part of their working capital management.</w:t>
      </w:r>
    </w:p>
    <w:p>
      <w:pPr>
        <w:numPr>
          <w:ilvl w:val="0"/>
          <w:numId w:val="1006"/>
        </w:numPr>
      </w:pPr>
      <w:r>
        <w:rPr>
          <w:bCs/>
          <w:b/>
        </w:rPr>
        <w:t xml:space="preserve">Digital Gilts offer tax benefits</w:t>
      </w:r>
      <w:r>
        <w:t xml:space="preserve"> </w:t>
      </w:r>
      <w:r>
        <w:t xml:space="preserve">(e.g., tax-deferred status if held until tax payment date, or tax-exempt yield).</w:t>
      </w:r>
    </w:p>
    <w:p>
      <w:pPr>
        <w:numPr>
          <w:ilvl w:val="0"/>
          <w:numId w:val="1006"/>
        </w:numPr>
      </w:pPr>
      <w:r>
        <w:rPr>
          <w:bCs/>
          <w:b/>
        </w:rPr>
        <w:t xml:space="preserve">On tax payment date</w:t>
      </w:r>
      <w:r>
        <w:t xml:space="preserve">, corporations transfer Digital Gilts to HM Treasury as payment.</w:t>
      </w:r>
    </w:p>
    <w:p>
      <w:pPr>
        <w:numPr>
          <w:ilvl w:val="0"/>
          <w:numId w:val="1006"/>
        </w:numPr>
      </w:pPr>
      <w:r>
        <w:rPr>
          <w:bCs/>
          <w:b/>
        </w:rPr>
        <w:t xml:space="preserve">This creates automatic demand</w:t>
      </w:r>
      <w:r>
        <w:t xml:space="preserve"> </w:t>
      </w:r>
      <w:r>
        <w:t xml:space="preserve">for Digital Gilts, similar to the historical mechanism that supported US Treasuries.</w:t>
      </w:r>
    </w:p>
    <w:p>
      <w:pPr>
        <w:numPr>
          <w:ilvl w:val="0"/>
          <w:numId w:val="1006"/>
        </w:numPr>
      </w:pPr>
      <w:r>
        <w:rPr>
          <w:bCs/>
          <w:b/>
        </w:rPr>
        <w:t xml:space="preserve">This demand is structural and recurring</w:t>
      </w:r>
      <w:r>
        <w:t xml:space="preserve">, creating a stable floor for Digital Gilt prices.</w:t>
      </w:r>
    </w:p>
    <w:p>
      <w:pPr>
        <w:numPr>
          <w:ilvl w:val="0"/>
          <w:numId w:val="1006"/>
        </w:numPr>
      </w:pPr>
      <w:r>
        <w:rPr>
          <w:bCs/>
          <w:b/>
        </w:rPr>
        <w:t xml:space="preserve">This stable demand supports the Gilt market</w:t>
      </w:r>
      <w:r>
        <w:t xml:space="preserve">, enabling HM Treasury to borrow at favorable rates.</w:t>
      </w:r>
    </w:p>
    <w:p>
      <w:pPr>
        <w:pStyle w:val="FirstParagraph"/>
      </w:pPr>
      <w:r>
        <w:t xml:space="preserve">The key insight is that</w:t>
      </w:r>
      <w:r>
        <w:t xml:space="preserve"> </w:t>
      </w:r>
      <w:r>
        <w:rPr>
          <w:bCs/>
          <w:b/>
        </w:rPr>
        <w:t xml:space="preserve">tax-driven demand is the most powerful and stable form of demand for government bonds</w:t>
      </w:r>
      <w:r>
        <w:t xml:space="preserve">. By leveraging this mechanism, HM Treasury can compete effectively with Agentic USD.</w:t>
      </w:r>
    </w:p>
    <w:p>
      <w:r>
        <w:pict>
          <v:rect style="width:0;height:1.5pt" o:hralign="center" o:hrstd="t" o:hr="t"/>
        </w:pict>
      </w:r>
    </w:p>
    <w:bookmarkEnd w:id="27"/>
    <w:bookmarkEnd w:id="28"/>
    <w:bookmarkStart w:id="32" w:name="X5adbbc8152d3233020eef60c33e540f13eae267"/>
    <w:p>
      <w:pPr>
        <w:pStyle w:val="Heading2"/>
      </w:pPr>
      <w:r>
        <w:t xml:space="preserve">Part 3: Implementation Mechanisms—How Digital Gilts as Tax Payment Would Work</w:t>
      </w:r>
    </w:p>
    <w:bookmarkStart w:id="29" w:name="X60f7a3696e3992440bd55ddfaa9bab4d402ad6d"/>
    <w:p>
      <w:pPr>
        <w:pStyle w:val="Heading3"/>
      </w:pPr>
      <w:r>
        <w:t xml:space="preserve">Mechanism 1: Direct Tax Payment in Digital Gilts</w:t>
      </w:r>
    </w:p>
    <w:p>
      <w:pPr>
        <w:pStyle w:val="FirstParagraph"/>
      </w:pPr>
      <w:r>
        <w:t xml:space="preserve">The simplest implementation would allow corporations to pay taxes directly in Digital Gilts:</w:t>
      </w:r>
    </w:p>
    <w:p>
      <w:pPr>
        <w:pStyle w:val="BodyText"/>
      </w:pPr>
      <w:r>
        <w:rPr>
          <w:bCs/>
          <w:b/>
        </w:rPr>
        <w:t xml:space="preserve">Process:</w:t>
      </w:r>
    </w:p>
    <w:p>
      <w:pPr>
        <w:numPr>
          <w:ilvl w:val="0"/>
          <w:numId w:val="1007"/>
        </w:numPr>
      </w:pPr>
      <w:r>
        <w:rPr>
          <w:bCs/>
          <w:b/>
        </w:rPr>
        <w:t xml:space="preserve">Corporations hold Digital Gilts</w:t>
      </w:r>
      <w:r>
        <w:t xml:space="preserve"> </w:t>
      </w:r>
      <w:r>
        <w:t xml:space="preserve">as part of their working capital portfolio.</w:t>
      </w:r>
    </w:p>
    <w:p>
      <w:pPr>
        <w:numPr>
          <w:ilvl w:val="0"/>
          <w:numId w:val="1007"/>
        </w:numPr>
      </w:pPr>
      <w:r>
        <w:rPr>
          <w:bCs/>
          <w:b/>
        </w:rPr>
        <w:t xml:space="preserve">Tax payment date approaches</w:t>
      </w:r>
      <w:r>
        <w:t xml:space="preserve"> </w:t>
      </w:r>
      <w:r>
        <w:t xml:space="preserve">(typically quarterly for large corporations).</w:t>
      </w:r>
    </w:p>
    <w:p>
      <w:pPr>
        <w:numPr>
          <w:ilvl w:val="0"/>
          <w:numId w:val="1007"/>
        </w:numPr>
      </w:pPr>
      <w:r>
        <w:rPr>
          <w:bCs/>
          <w:b/>
        </w:rPr>
        <w:t xml:space="preserve">Corporation calculates tax liability</w:t>
      </w:r>
      <w:r>
        <w:t xml:space="preserve"> </w:t>
      </w:r>
      <w:r>
        <w:t xml:space="preserve">and determines how many Digital Gilts to transfer.</w:t>
      </w:r>
    </w:p>
    <w:p>
      <w:pPr>
        <w:numPr>
          <w:ilvl w:val="0"/>
          <w:numId w:val="1007"/>
        </w:numPr>
      </w:pPr>
      <w:r>
        <w:rPr>
          <w:bCs/>
          <w:b/>
        </w:rPr>
        <w:t xml:space="preserve">Corporation transfers Digital Gilts to HM Treasury</w:t>
      </w:r>
      <w:r>
        <w:t xml:space="preserve"> </w:t>
      </w:r>
      <w:r>
        <w:t xml:space="preserve">via blockchain network.</w:t>
      </w:r>
    </w:p>
    <w:p>
      <w:pPr>
        <w:numPr>
          <w:ilvl w:val="0"/>
          <w:numId w:val="1007"/>
        </w:numPr>
      </w:pPr>
      <w:r>
        <w:rPr>
          <w:bCs/>
          <w:b/>
        </w:rPr>
        <w:t xml:space="preserve">HM Treasury receives Digital Gilts</w:t>
      </w:r>
      <w:r>
        <w:t xml:space="preserve"> </w:t>
      </w:r>
      <w:r>
        <w:t xml:space="preserve">and records the tax payment.</w:t>
      </w:r>
    </w:p>
    <w:p>
      <w:pPr>
        <w:numPr>
          <w:ilvl w:val="0"/>
          <w:numId w:val="1007"/>
        </w:numPr>
      </w:pPr>
      <w:r>
        <w:rPr>
          <w:bCs/>
          <w:b/>
        </w:rPr>
        <w:t xml:space="preserve">HM Treasury can then:</w:t>
      </w:r>
    </w:p>
    <w:p>
      <w:pPr>
        <w:numPr>
          <w:ilvl w:val="1"/>
          <w:numId w:val="1008"/>
        </w:numPr>
        <w:pStyle w:val="Compact"/>
      </w:pPr>
      <w:r>
        <w:t xml:space="preserve">Hold the Digital Gilts (reducing Gilt supply in the market)</w:t>
      </w:r>
    </w:p>
    <w:p>
      <w:pPr>
        <w:numPr>
          <w:ilvl w:val="1"/>
          <w:numId w:val="1008"/>
        </w:numPr>
        <w:pStyle w:val="Compact"/>
      </w:pPr>
      <w:r>
        <w:t xml:space="preserve">Sell the Digital Gilts (raising cash)</w:t>
      </w:r>
    </w:p>
    <w:p>
      <w:pPr>
        <w:numPr>
          <w:ilvl w:val="1"/>
          <w:numId w:val="1008"/>
        </w:numPr>
        <w:pStyle w:val="Compact"/>
      </w:pPr>
      <w:r>
        <w:t xml:space="preserve">Retire the Digital Gilts (reducing government debt)</w:t>
      </w:r>
    </w:p>
    <w:p>
      <w:pPr>
        <w:pStyle w:val="FirstParagraph"/>
      </w:pPr>
      <w:r>
        <w:rPr>
          <w:bCs/>
          <w:b/>
        </w:rPr>
        <w:t xml:space="preserve">Advantages:</w:t>
      </w:r>
      <w:r>
        <w:t xml:space="preserve"> </w:t>
      </w:r>
      <w:r>
        <w:t xml:space="preserve">- Simple to implement</w:t>
      </w:r>
      <w:r>
        <w:t xml:space="preserve"> </w:t>
      </w:r>
      <w:r>
        <w:t xml:space="preserve">- Minimal regulatory changes required</w:t>
      </w:r>
      <w:r>
        <w:t xml:space="preserve"> </w:t>
      </w:r>
      <w:r>
        <w:t xml:space="preserve">- Corporations benefit from holding Gilts</w:t>
      </w:r>
      <w:r>
        <w:t xml:space="preserve"> </w:t>
      </w:r>
      <w:r>
        <w:t xml:space="preserve">- HM Treasury benefits from stable demand</w:t>
      </w:r>
    </w:p>
    <w:p>
      <w:pPr>
        <w:pStyle w:val="BodyText"/>
      </w:pPr>
      <w:r>
        <w:rPr>
          <w:bCs/>
          <w:b/>
        </w:rPr>
        <w:t xml:space="preserve">Challenges:</w:t>
      </w:r>
      <w:r>
        <w:t xml:space="preserve"> </w:t>
      </w:r>
      <w:r>
        <w:t xml:space="preserve">- Requires HMRC system changes</w:t>
      </w:r>
      <w:r>
        <w:t xml:space="preserve"> </w:t>
      </w:r>
      <w:r>
        <w:t xml:space="preserve">- Requires corporations to hold Gilts (not all will)</w:t>
      </w:r>
      <w:r>
        <w:t xml:space="preserve"> </w:t>
      </w:r>
      <w:r>
        <w:t xml:space="preserve">- May create tax arbitrage opportunities</w:t>
      </w:r>
    </w:p>
    <w:bookmarkEnd w:id="29"/>
    <w:bookmarkStart w:id="30" w:name="mechanism-2-tax-deferred-digital-gilts"/>
    <w:p>
      <w:pPr>
        <w:pStyle w:val="Heading3"/>
      </w:pPr>
      <w:r>
        <w:t xml:space="preserve">Mechanism 2: Tax-Deferred Digital Gilts</w:t>
      </w:r>
    </w:p>
    <w:p>
      <w:pPr>
        <w:pStyle w:val="FirstParagraph"/>
      </w:pPr>
      <w:r>
        <w:t xml:space="preserve">A more sophisticated implementation would create special</w:t>
      </w:r>
      <w:r>
        <w:t xml:space="preserve"> </w:t>
      </w:r>
      <w:r>
        <w:t xml:space="preserve">“</w:t>
      </w:r>
      <w:r>
        <w:t xml:space="preserve">tax-deferred</w:t>
      </w:r>
      <w:r>
        <w:t xml:space="preserve">”</w:t>
      </w:r>
      <w:r>
        <w:t xml:space="preserve"> </w:t>
      </w:r>
      <w:r>
        <w:t xml:space="preserve">Digital Gilts:</w:t>
      </w:r>
    </w:p>
    <w:p>
      <w:pPr>
        <w:pStyle w:val="BodyText"/>
      </w:pPr>
      <w:r>
        <w:rPr>
          <w:bCs/>
          <w:b/>
        </w:rPr>
        <w:t xml:space="preserve">Process:</w:t>
      </w:r>
    </w:p>
    <w:p>
      <w:pPr>
        <w:numPr>
          <w:ilvl w:val="0"/>
          <w:numId w:val="1009"/>
        </w:numPr>
      </w:pPr>
      <w:r>
        <w:rPr>
          <w:bCs/>
          <w:b/>
        </w:rPr>
        <w:t xml:space="preserve">HM Treasury issues</w:t>
      </w:r>
      <w:r>
        <w:rPr>
          <w:bCs/>
          <w:b/>
        </w:rPr>
        <w:t xml:space="preserve"> </w:t>
      </w:r>
      <w:r>
        <w:rPr>
          <w:bCs/>
          <w:b/>
        </w:rPr>
        <w:t xml:space="preserve">“</w:t>
      </w:r>
      <w:r>
        <w:rPr>
          <w:bCs/>
          <w:b/>
        </w:rPr>
        <w:t xml:space="preserve">tax-deferred</w:t>
      </w:r>
      <w:r>
        <w:rPr>
          <w:bCs/>
          <w:b/>
        </w:rPr>
        <w:t xml:space="preserve">”</w:t>
      </w:r>
      <w:r>
        <w:rPr>
          <w:bCs/>
          <w:b/>
        </w:rPr>
        <w:t xml:space="preserve"> </w:t>
      </w:r>
      <w:r>
        <w:rPr>
          <w:bCs/>
          <w:b/>
        </w:rPr>
        <w:t xml:space="preserve">Digital Gilts</w:t>
      </w:r>
      <w:r>
        <w:t xml:space="preserve"> </w:t>
      </w:r>
      <w:r>
        <w:t xml:space="preserve">with special characteristics:</w:t>
      </w:r>
    </w:p>
    <w:p>
      <w:pPr>
        <w:numPr>
          <w:ilvl w:val="1"/>
          <w:numId w:val="1010"/>
        </w:numPr>
        <w:pStyle w:val="Compact"/>
      </w:pPr>
      <w:r>
        <w:t xml:space="preserve">Yield is tax-exempt if held until tax payment date</w:t>
      </w:r>
    </w:p>
    <w:p>
      <w:pPr>
        <w:numPr>
          <w:ilvl w:val="1"/>
          <w:numId w:val="1010"/>
        </w:numPr>
        <w:pStyle w:val="Compact"/>
      </w:pPr>
      <w:r>
        <w:t xml:space="preserve">Tax-deferred status expires after tax payment</w:t>
      </w:r>
    </w:p>
    <w:p>
      <w:pPr>
        <w:numPr>
          <w:ilvl w:val="1"/>
          <w:numId w:val="1010"/>
        </w:numPr>
        <w:pStyle w:val="Compact"/>
      </w:pPr>
      <w:r>
        <w:t xml:space="preserve">Can only be held by UK-resident corporations</w:t>
      </w:r>
    </w:p>
    <w:p>
      <w:pPr>
        <w:numPr>
          <w:ilvl w:val="0"/>
          <w:numId w:val="1009"/>
        </w:numPr>
      </w:pPr>
      <w:r>
        <w:rPr>
          <w:bCs/>
          <w:b/>
        </w:rPr>
        <w:t xml:space="preserve">Corporations purchase tax-deferred Digital Gilts</w:t>
      </w:r>
      <w:r>
        <w:t xml:space="preserve"> </w:t>
      </w:r>
      <w:r>
        <w:t xml:space="preserve">because they offer:</w:t>
      </w:r>
    </w:p>
    <w:p>
      <w:pPr>
        <w:numPr>
          <w:ilvl w:val="1"/>
          <w:numId w:val="1011"/>
        </w:numPr>
        <w:pStyle w:val="Compact"/>
      </w:pPr>
      <w:r>
        <w:t xml:space="preserve">Tax-exempt yield (higher after-tax return than regular Gilts)</w:t>
      </w:r>
    </w:p>
    <w:p>
      <w:pPr>
        <w:numPr>
          <w:ilvl w:val="1"/>
          <w:numId w:val="1011"/>
        </w:numPr>
        <w:pStyle w:val="Compact"/>
      </w:pPr>
      <w:r>
        <w:t xml:space="preserve">Automatic tax payment mechanism</w:t>
      </w:r>
    </w:p>
    <w:p>
      <w:pPr>
        <w:numPr>
          <w:ilvl w:val="1"/>
          <w:numId w:val="1011"/>
        </w:numPr>
        <w:pStyle w:val="Compact"/>
      </w:pPr>
      <w:r>
        <w:t xml:space="preserve">Reduced compliance costs</w:t>
      </w:r>
    </w:p>
    <w:p>
      <w:pPr>
        <w:numPr>
          <w:ilvl w:val="0"/>
          <w:numId w:val="1009"/>
        </w:numPr>
      </w:pPr>
      <w:r>
        <w:rPr>
          <w:bCs/>
          <w:b/>
        </w:rPr>
        <w:t xml:space="preserve">On tax payment date</w:t>
      </w:r>
      <w:r>
        <w:t xml:space="preserve">, corporations transfer tax-deferred Digital Gilts to HM Treasury.</w:t>
      </w:r>
    </w:p>
    <w:p>
      <w:pPr>
        <w:numPr>
          <w:ilvl w:val="0"/>
          <w:numId w:val="1009"/>
        </w:numPr>
      </w:pPr>
      <w:r>
        <w:rPr>
          <w:bCs/>
          <w:b/>
        </w:rPr>
        <w:t xml:space="preserve">HM Treasury receives tax payment</w:t>
      </w:r>
      <w:r>
        <w:t xml:space="preserve"> </w:t>
      </w:r>
      <w:r>
        <w:t xml:space="preserve">and can retire the Digital Gilts or hold them.</w:t>
      </w:r>
    </w:p>
    <w:p>
      <w:pPr>
        <w:pStyle w:val="FirstParagraph"/>
      </w:pPr>
      <w:r>
        <w:rPr>
          <w:bCs/>
          <w:b/>
        </w:rPr>
        <w:t xml:space="preserve">Advantages:</w:t>
      </w:r>
      <w:r>
        <w:t xml:space="preserve"> </w:t>
      </w:r>
      <w:r>
        <w:t xml:space="preserve">- Creates strong incentive to hold Digital Gilts</w:t>
      </w:r>
      <w:r>
        <w:t xml:space="preserve"> </w:t>
      </w:r>
      <w:r>
        <w:t xml:space="preserve">- Tax-exempt yield makes Gilts competitive with Agentic USD</w:t>
      </w:r>
      <w:r>
        <w:t xml:space="preserve"> </w:t>
      </w:r>
      <w:r>
        <w:t xml:space="preserve">- Reduces tax compliance costs for corporations</w:t>
      </w:r>
      <w:r>
        <w:t xml:space="preserve"> </w:t>
      </w:r>
      <w:r>
        <w:t xml:space="preserve">- Stable, predictable demand for HM Treasury</w:t>
      </w:r>
    </w:p>
    <w:p>
      <w:pPr>
        <w:pStyle w:val="BodyText"/>
      </w:pPr>
      <w:r>
        <w:rPr>
          <w:bCs/>
          <w:b/>
        </w:rPr>
        <w:t xml:space="preserve">Challenges:</w:t>
      </w:r>
      <w:r>
        <w:t xml:space="preserve"> </w:t>
      </w:r>
      <w:r>
        <w:t xml:space="preserve">- Requires new tax legislation</w:t>
      </w:r>
      <w:r>
        <w:t xml:space="preserve"> </w:t>
      </w:r>
      <w:r>
        <w:t xml:space="preserve">- May reduce tax revenue (due to tax-exempt status)</w:t>
      </w:r>
      <w:r>
        <w:t xml:space="preserve"> </w:t>
      </w:r>
      <w:r>
        <w:t xml:space="preserve">- Requires careful design to prevent abuse</w:t>
      </w:r>
    </w:p>
    <w:bookmarkEnd w:id="30"/>
    <w:bookmarkStart w:id="31" w:name="mechanism-3-programmable-tax-settlements"/>
    <w:p>
      <w:pPr>
        <w:pStyle w:val="Heading3"/>
      </w:pPr>
      <w:r>
        <w:t xml:space="preserve">Mechanism 3: Programmable Tax Settlements</w:t>
      </w:r>
    </w:p>
    <w:p>
      <w:pPr>
        <w:pStyle w:val="FirstParagraph"/>
      </w:pPr>
      <w:r>
        <w:t xml:space="preserve">The most sophisticated implementation would enable fully programmable tax settlements:</w:t>
      </w:r>
    </w:p>
    <w:p>
      <w:pPr>
        <w:pStyle w:val="BodyText"/>
      </w:pPr>
      <w:r>
        <w:rPr>
          <w:bCs/>
          <w:b/>
        </w:rPr>
        <w:t xml:space="preserve">Process:</w:t>
      </w:r>
    </w:p>
    <w:p>
      <w:pPr>
        <w:numPr>
          <w:ilvl w:val="0"/>
          <w:numId w:val="1012"/>
        </w:numPr>
      </w:pPr>
      <w:r>
        <w:rPr>
          <w:bCs/>
          <w:b/>
        </w:rPr>
        <w:t xml:space="preserve">Corporations program Digital Gilts</w:t>
      </w:r>
      <w:r>
        <w:t xml:space="preserve"> </w:t>
      </w:r>
      <w:r>
        <w:t xml:space="preserve">with smart contracts that automatically transfer to HM Treasury on tax payment dates.</w:t>
      </w:r>
    </w:p>
    <w:p>
      <w:pPr>
        <w:numPr>
          <w:ilvl w:val="0"/>
          <w:numId w:val="1012"/>
        </w:numPr>
      </w:pPr>
      <w:r>
        <w:rPr>
          <w:bCs/>
          <w:b/>
        </w:rPr>
        <w:t xml:space="preserve">Smart contracts execute automatically</w:t>
      </w:r>
      <w:r>
        <w:t xml:space="preserve"> </w:t>
      </w:r>
      <w:r>
        <w:t xml:space="preserve">on the specified date, transferring Digital Gilts to HM Treasury.</w:t>
      </w:r>
    </w:p>
    <w:p>
      <w:pPr>
        <w:numPr>
          <w:ilvl w:val="0"/>
          <w:numId w:val="1012"/>
        </w:numPr>
      </w:pPr>
      <w:r>
        <w:rPr>
          <w:bCs/>
          <w:b/>
        </w:rPr>
        <w:t xml:space="preserve">HM Treasury receives automatic tax payments</w:t>
      </w:r>
      <w:r>
        <w:t xml:space="preserve"> </w:t>
      </w:r>
      <w:r>
        <w:t xml:space="preserve">without manual intervention.</w:t>
      </w:r>
    </w:p>
    <w:p>
      <w:pPr>
        <w:numPr>
          <w:ilvl w:val="0"/>
          <w:numId w:val="1012"/>
        </w:numPr>
      </w:pPr>
      <w:r>
        <w:rPr>
          <w:bCs/>
          <w:b/>
        </w:rPr>
        <w:t xml:space="preserve">Corporations benefit from:</w:t>
      </w:r>
    </w:p>
    <w:p>
      <w:pPr>
        <w:numPr>
          <w:ilvl w:val="1"/>
          <w:numId w:val="1013"/>
        </w:numPr>
        <w:pStyle w:val="Compact"/>
      </w:pPr>
      <w:r>
        <w:t xml:space="preserve">Fully automated tax compliance</w:t>
      </w:r>
    </w:p>
    <w:p>
      <w:pPr>
        <w:numPr>
          <w:ilvl w:val="1"/>
          <w:numId w:val="1013"/>
        </w:numPr>
        <w:pStyle w:val="Compact"/>
      </w:pPr>
      <w:r>
        <w:t xml:space="preserve">Reduced administrative overhead</w:t>
      </w:r>
    </w:p>
    <w:p>
      <w:pPr>
        <w:numPr>
          <w:ilvl w:val="1"/>
          <w:numId w:val="1013"/>
        </w:numPr>
        <w:pStyle w:val="Compact"/>
      </w:pPr>
      <w:r>
        <w:t xml:space="preserve">Certainty that tax payments will execute on time</w:t>
      </w:r>
    </w:p>
    <w:p>
      <w:pPr>
        <w:pStyle w:val="FirstParagraph"/>
      </w:pPr>
      <w:r>
        <w:rPr>
          <w:bCs/>
          <w:b/>
        </w:rPr>
        <w:t xml:space="preserve">Advantages:</w:t>
      </w:r>
      <w:r>
        <w:t xml:space="preserve"> </w:t>
      </w:r>
      <w:r>
        <w:t xml:space="preserve">- Fully automated, reducing compliance costs</w:t>
      </w:r>
      <w:r>
        <w:t xml:space="preserve"> </w:t>
      </w:r>
      <w:r>
        <w:t xml:space="preserve">- Programmable tax settlements enable new financial products</w:t>
      </w:r>
      <w:r>
        <w:t xml:space="preserve"> </w:t>
      </w:r>
      <w:r>
        <w:t xml:space="preserve">- Creates opportunity for AI agents to manage tax compliance</w:t>
      </w:r>
      <w:r>
        <w:t xml:space="preserve"> </w:t>
      </w:r>
      <w:r>
        <w:t xml:space="preserve">- Enables real-time tax reporting and visibility</w:t>
      </w:r>
    </w:p>
    <w:p>
      <w:pPr>
        <w:pStyle w:val="BodyText"/>
      </w:pPr>
      <w:r>
        <w:rPr>
          <w:bCs/>
          <w:b/>
        </w:rPr>
        <w:t xml:space="preserve">Challenges:</w:t>
      </w:r>
      <w:r>
        <w:t xml:space="preserve"> </w:t>
      </w:r>
      <w:r>
        <w:t xml:space="preserve">- Requires sophisticated smart contract technology</w:t>
      </w:r>
      <w:r>
        <w:t xml:space="preserve"> </w:t>
      </w:r>
      <w:r>
        <w:t xml:space="preserve">- Requires HMRC system integration</w:t>
      </w:r>
      <w:r>
        <w:t xml:space="preserve"> </w:t>
      </w:r>
      <w:r>
        <w:t xml:space="preserve">- May create new tax avoidance opportunities</w:t>
      </w:r>
      <w:r>
        <w:t xml:space="preserve"> </w:t>
      </w:r>
      <w:r>
        <w:t xml:space="preserve">- Requires careful regulatory oversight</w:t>
      </w:r>
    </w:p>
    <w:p>
      <w:r>
        <w:pict>
          <v:rect style="width:0;height:1.5pt" o:hralign="center" o:hrstd="t" o:hr="t"/>
        </w:pict>
      </w:r>
    </w:p>
    <w:bookmarkEnd w:id="31"/>
    <w:bookmarkEnd w:id="32"/>
    <w:bookmarkStart w:id="35" w:name="X65be11fc49f439edadd963fe1a4ae4ac4e80c43"/>
    <w:p>
      <w:pPr>
        <w:pStyle w:val="Heading2"/>
      </w:pPr>
      <w:r>
        <w:t xml:space="preserve">Part 4: Strategic Implications—Winners and Losers</w:t>
      </w:r>
    </w:p>
    <w:bookmarkStart w:id="33" w:name="Xbbea9158bc014213c02fbfd682696df6a4bde30"/>
    <w:p>
      <w:pPr>
        <w:pStyle w:val="Heading3"/>
      </w:pPr>
      <w:r>
        <w:t xml:space="preserve">If HM Treasury Implements Digital Gilts as Tax Payment</w:t>
      </w:r>
    </w:p>
    <w:p>
      <w:pPr>
        <w:pStyle w:val="FirstParagraph"/>
      </w:pPr>
      <w:r>
        <w:rPr>
          <w:bCs/>
          <w:b/>
        </w:rPr>
        <w:t xml:space="preserve">Winners:</w:t>
      </w:r>
    </w:p>
    <w:p>
      <w:pPr>
        <w:numPr>
          <w:ilvl w:val="0"/>
          <w:numId w:val="1014"/>
        </w:numPr>
        <w:pStyle w:val="Compact"/>
      </w:pPr>
      <w:r>
        <w:rPr>
          <w:bCs/>
          <w:b/>
        </w:rPr>
        <w:t xml:space="preserve">HM Treasury</w:t>
      </w:r>
      <w:r>
        <w:t xml:space="preserve">: Stabilizes Gilt demand, maintains fiscal control, preserves borrowing capacity</w:t>
      </w:r>
    </w:p>
    <w:p>
      <w:pPr>
        <w:numPr>
          <w:ilvl w:val="0"/>
          <w:numId w:val="1014"/>
        </w:numPr>
        <w:pStyle w:val="Compact"/>
      </w:pPr>
      <w:r>
        <w:rPr>
          <w:bCs/>
          <w:b/>
        </w:rPr>
        <w:t xml:space="preserve">UK Corporations</w:t>
      </w:r>
      <w:r>
        <w:t xml:space="preserve">: Benefit from yield on tax reserves, reduced compliance costs, tax-deferred status</w:t>
      </w:r>
    </w:p>
    <w:p>
      <w:pPr>
        <w:numPr>
          <w:ilvl w:val="0"/>
          <w:numId w:val="1014"/>
        </w:numPr>
        <w:pStyle w:val="Compact"/>
      </w:pPr>
      <w:r>
        <w:rPr>
          <w:bCs/>
          <w:b/>
        </w:rPr>
        <w:t xml:space="preserve">Bank of England</w:t>
      </w:r>
      <w:r>
        <w:t xml:space="preserve">: Maintains monetary policy control, preserves visibility into financial system</w:t>
      </w:r>
    </w:p>
    <w:p>
      <w:pPr>
        <w:numPr>
          <w:ilvl w:val="0"/>
          <w:numId w:val="1014"/>
        </w:numPr>
        <w:pStyle w:val="Compact"/>
      </w:pPr>
      <w:r>
        <w:rPr>
          <w:bCs/>
          <w:b/>
        </w:rPr>
        <w:t xml:space="preserve">Sterling</w:t>
      </w:r>
      <w:r>
        <w:t xml:space="preserve">: Remains competitive with USD, preserves currency sovereignty</w:t>
      </w:r>
    </w:p>
    <w:p>
      <w:pPr>
        <w:numPr>
          <w:ilvl w:val="0"/>
          <w:numId w:val="1014"/>
        </w:numPr>
        <w:pStyle w:val="Compact"/>
      </w:pPr>
      <w:r>
        <w:rPr>
          <w:bCs/>
          <w:b/>
        </w:rPr>
        <w:t xml:space="preserve">UK Financial System</w:t>
      </w:r>
      <w:r>
        <w:t xml:space="preserve">: Maintains independence from US financial system</w:t>
      </w:r>
    </w:p>
    <w:p>
      <w:pPr>
        <w:pStyle w:val="FirstParagraph"/>
      </w:pPr>
      <w:r>
        <w:rPr>
          <w:bCs/>
          <w:b/>
        </w:rPr>
        <w:t xml:space="preserve">Losers:</w:t>
      </w:r>
    </w:p>
    <w:p>
      <w:pPr>
        <w:numPr>
          <w:ilvl w:val="0"/>
          <w:numId w:val="1015"/>
        </w:numPr>
        <w:pStyle w:val="Compact"/>
      </w:pPr>
      <w:r>
        <w:rPr>
          <w:bCs/>
          <w:b/>
        </w:rPr>
        <w:t xml:space="preserve">Agentic USD</w:t>
      </w:r>
      <w:r>
        <w:t xml:space="preserve">: Loses UK corporate demand, reduced market share</w:t>
      </w:r>
    </w:p>
    <w:p>
      <w:pPr>
        <w:numPr>
          <w:ilvl w:val="0"/>
          <w:numId w:val="1015"/>
        </w:numPr>
        <w:pStyle w:val="Compact"/>
      </w:pPr>
      <w:r>
        <w:rPr>
          <w:bCs/>
          <w:b/>
        </w:rPr>
        <w:t xml:space="preserve">Foreign Investors</w:t>
      </w:r>
      <w:r>
        <w:t xml:space="preserve">: May face reduced Gilt yields (due to stable domestic demand)</w:t>
      </w:r>
    </w:p>
    <w:p>
      <w:pPr>
        <w:numPr>
          <w:ilvl w:val="0"/>
          <w:numId w:val="1015"/>
        </w:numPr>
        <w:pStyle w:val="Compact"/>
      </w:pPr>
      <w:r>
        <w:rPr>
          <w:bCs/>
          <w:b/>
        </w:rPr>
        <w:t xml:space="preserve">US Treasury</w:t>
      </w:r>
      <w:r>
        <w:t xml:space="preserve">: Loses influence over UK financial system</w:t>
      </w:r>
    </w:p>
    <w:p>
      <w:pPr>
        <w:pStyle w:val="FirstParagraph"/>
      </w:pPr>
      <w:r>
        <w:rPr>
          <w:bCs/>
          <w:b/>
        </w:rPr>
        <w:t xml:space="preserve">Outcome</w:t>
      </w:r>
      <w:r>
        <w:t xml:space="preserve">: UK maintains financial sovereignty, Agentic USD threat is contained, sterling remains a strong currency.</w:t>
      </w:r>
    </w:p>
    <w:bookmarkEnd w:id="33"/>
    <w:bookmarkStart w:id="34" w:name="if-hm-treasury-fails-to-implement"/>
    <w:p>
      <w:pPr>
        <w:pStyle w:val="Heading3"/>
      </w:pPr>
      <w:r>
        <w:t xml:space="preserve">If HM Treasury Fails to Implement</w:t>
      </w:r>
    </w:p>
    <w:p>
      <w:pPr>
        <w:pStyle w:val="FirstParagraph"/>
      </w:pPr>
      <w:r>
        <w:rPr>
          <w:bCs/>
          <w:b/>
        </w:rPr>
        <w:t xml:space="preserve">Winners:</w:t>
      </w:r>
    </w:p>
    <w:p>
      <w:pPr>
        <w:numPr>
          <w:ilvl w:val="0"/>
          <w:numId w:val="1016"/>
        </w:numPr>
        <w:pStyle w:val="Compact"/>
      </w:pPr>
      <w:r>
        <w:rPr>
          <w:bCs/>
          <w:b/>
        </w:rPr>
        <w:t xml:space="preserve">Agentic USD</w:t>
      </w:r>
      <w:r>
        <w:t xml:space="preserve">: Captures UK corporate demand, gains market share</w:t>
      </w:r>
    </w:p>
    <w:p>
      <w:pPr>
        <w:numPr>
          <w:ilvl w:val="0"/>
          <w:numId w:val="1016"/>
        </w:numPr>
        <w:pStyle w:val="Compact"/>
      </w:pPr>
      <w:r>
        <w:rPr>
          <w:bCs/>
          <w:b/>
        </w:rPr>
        <w:t xml:space="preserve">US Treasury</w:t>
      </w:r>
      <w:r>
        <w:t xml:space="preserve">: Gains influence over UK financial system</w:t>
      </w:r>
    </w:p>
    <w:p>
      <w:pPr>
        <w:numPr>
          <w:ilvl w:val="0"/>
          <w:numId w:val="1016"/>
        </w:numPr>
        <w:pStyle w:val="Compact"/>
      </w:pPr>
      <w:r>
        <w:rPr>
          <w:bCs/>
          <w:b/>
        </w:rPr>
        <w:t xml:space="preserve">Foreign Investors</w:t>
      </w:r>
      <w:r>
        <w:t xml:space="preserve">: Benefit from higher Gilt yields (due to reduced domestic demand)</w:t>
      </w:r>
    </w:p>
    <w:p>
      <w:pPr>
        <w:pStyle w:val="FirstParagraph"/>
      </w:pPr>
      <w:r>
        <w:rPr>
          <w:bCs/>
          <w:b/>
        </w:rPr>
        <w:t xml:space="preserve">Losers:</w:t>
      </w:r>
    </w:p>
    <w:p>
      <w:pPr>
        <w:numPr>
          <w:ilvl w:val="0"/>
          <w:numId w:val="1017"/>
        </w:numPr>
        <w:pStyle w:val="Compact"/>
      </w:pPr>
      <w:r>
        <w:rPr>
          <w:bCs/>
          <w:b/>
        </w:rPr>
        <w:t xml:space="preserve">HM Treasury</w:t>
      </w:r>
      <w:r>
        <w:t xml:space="preserve">: Loses Gilt demand, faces fiscal crisis, forced to borrow at higher rates</w:t>
      </w:r>
    </w:p>
    <w:p>
      <w:pPr>
        <w:numPr>
          <w:ilvl w:val="0"/>
          <w:numId w:val="1017"/>
        </w:numPr>
        <w:pStyle w:val="Compact"/>
      </w:pPr>
      <w:r>
        <w:rPr>
          <w:bCs/>
          <w:b/>
        </w:rPr>
        <w:t xml:space="preserve">UK Corporations</w:t>
      </w:r>
      <w:r>
        <w:t xml:space="preserve">: Face higher borrowing costs, reduced credit availability</w:t>
      </w:r>
    </w:p>
    <w:p>
      <w:pPr>
        <w:numPr>
          <w:ilvl w:val="0"/>
          <w:numId w:val="1017"/>
        </w:numPr>
        <w:pStyle w:val="Compact"/>
      </w:pPr>
      <w:r>
        <w:rPr>
          <w:bCs/>
          <w:b/>
        </w:rPr>
        <w:t xml:space="preserve">Bank of England</w:t>
      </w:r>
      <w:r>
        <w:t xml:space="preserve">: Loses monetary policy control, loses visibility into financial system</w:t>
      </w:r>
    </w:p>
    <w:p>
      <w:pPr>
        <w:numPr>
          <w:ilvl w:val="0"/>
          <w:numId w:val="1017"/>
        </w:numPr>
        <w:pStyle w:val="Compact"/>
      </w:pPr>
      <w:r>
        <w:rPr>
          <w:bCs/>
          <w:b/>
        </w:rPr>
        <w:t xml:space="preserve">Sterling</w:t>
      </w:r>
      <w:r>
        <w:t xml:space="preserve">: Loses competitiveness, faces depreciation pressure</w:t>
      </w:r>
    </w:p>
    <w:p>
      <w:pPr>
        <w:numPr>
          <w:ilvl w:val="0"/>
          <w:numId w:val="1017"/>
        </w:numPr>
        <w:pStyle w:val="Compact"/>
      </w:pPr>
      <w:r>
        <w:rPr>
          <w:bCs/>
          <w:b/>
        </w:rPr>
        <w:t xml:space="preserve">UK Financial System</w:t>
      </w:r>
      <w:r>
        <w:t xml:space="preserve">: Becomes dependent on US financial system</w:t>
      </w:r>
    </w:p>
    <w:p>
      <w:pPr>
        <w:pStyle w:val="FirstParagraph"/>
      </w:pPr>
      <w:r>
        <w:rPr>
          <w:bCs/>
          <w:b/>
        </w:rPr>
        <w:t xml:space="preserve">Outcome</w:t>
      </w:r>
      <w:r>
        <w:t xml:space="preserve">: UK loses financial sovereignty, dollarization accelerates, sterling weakens, UK enters fiscal crisis.</w:t>
      </w:r>
    </w:p>
    <w:p>
      <w:r>
        <w:pict>
          <v:rect style="width:0;height:1.5pt" o:hralign="center" o:hrstd="t" o:hr="t"/>
        </w:pict>
      </w:r>
    </w:p>
    <w:bookmarkEnd w:id="34"/>
    <w:bookmarkEnd w:id="35"/>
    <w:bookmarkStart w:id="40" w:name="X41e9f7fe004581b10729642938bdc0ca60c1fa7"/>
    <w:p>
      <w:pPr>
        <w:pStyle w:val="Heading2"/>
      </w:pPr>
      <w:r>
        <w:t xml:space="preserve">Part 5: Timeline and Implementation Roadmap</w:t>
      </w:r>
    </w:p>
    <w:bookmarkStart w:id="36" w:name="Xbea7e229f3529815fc239ae1b3496188ebf498c"/>
    <w:p>
      <w:pPr>
        <w:pStyle w:val="Heading3"/>
      </w:pPr>
      <w:r>
        <w:t xml:space="preserve">Phase 1: Recognition and Analysis (2025-2026)</w:t>
      </w:r>
    </w:p>
    <w:p>
      <w:pPr>
        <w:pStyle w:val="FirstParagraph"/>
      </w:pPr>
      <w:r>
        <w:rPr>
          <w:bCs/>
          <w:b/>
        </w:rPr>
        <w:t xml:space="preserve">Actions:</w:t>
      </w:r>
      <w:r>
        <w:t xml:space="preserve"> </w:t>
      </w:r>
      <w:r>
        <w:t xml:space="preserve">- HM Treasury recognizes Agentic USD threat</w:t>
      </w:r>
      <w:r>
        <w:t xml:space="preserve"> </w:t>
      </w:r>
      <w:r>
        <w:t xml:space="preserve">- Gilt yields begin rising</w:t>
      </w:r>
      <w:r>
        <w:t xml:space="preserve"> </w:t>
      </w:r>
      <w:r>
        <w:t xml:space="preserve">- Policy discussions begin within Treasury and BoE</w:t>
      </w:r>
      <w:r>
        <w:t xml:space="preserve"> </w:t>
      </w:r>
      <w:r>
        <w:t xml:space="preserve">- Economic analysis confirms threat magnitude</w:t>
      </w:r>
    </w:p>
    <w:p>
      <w:pPr>
        <w:pStyle w:val="BodyText"/>
      </w:pPr>
      <w:r>
        <w:rPr>
          <w:bCs/>
          <w:b/>
        </w:rPr>
        <w:t xml:space="preserve">Indicators:</w:t>
      </w:r>
      <w:r>
        <w:t xml:space="preserve"> </w:t>
      </w:r>
      <w:r>
        <w:t xml:space="preserve">- Gilt yields rise 50+ basis points</w:t>
      </w:r>
      <w:r>
        <w:t xml:space="preserve"> </w:t>
      </w:r>
      <w:r>
        <w:t xml:space="preserve">- Agentic USD adoption accelerates</w:t>
      </w:r>
      <w:r>
        <w:t xml:space="preserve"> </w:t>
      </w:r>
      <w:r>
        <w:t xml:space="preserve">- Corporate demand for Gilts declines</w:t>
      </w:r>
      <w:r>
        <w:t xml:space="preserve"> </w:t>
      </w:r>
      <w:r>
        <w:t xml:space="preserve">- Media coverage of Agentic USD threat increases</w:t>
      </w:r>
    </w:p>
    <w:bookmarkEnd w:id="36"/>
    <w:bookmarkStart w:id="37" w:name="phase-2-pilot-program-2026-2027"/>
    <w:p>
      <w:pPr>
        <w:pStyle w:val="Heading3"/>
      </w:pPr>
      <w:r>
        <w:t xml:space="preserve">Phase 2: Pilot Program (2026-2027)</w:t>
      </w:r>
    </w:p>
    <w:p>
      <w:pPr>
        <w:pStyle w:val="FirstParagraph"/>
      </w:pPr>
      <w:r>
        <w:rPr>
          <w:bCs/>
          <w:b/>
        </w:rPr>
        <w:t xml:space="preserve">Actions:</w:t>
      </w:r>
      <w:r>
        <w:t xml:space="preserve"> </w:t>
      </w:r>
      <w:r>
        <w:t xml:space="preserve">- HM Treasury announces Digital Gilts as tax payment pilot</w:t>
      </w:r>
      <w:r>
        <w:t xml:space="preserve"> </w:t>
      </w:r>
      <w:r>
        <w:t xml:space="preserve">- Selects 20-30 large corporations to participate</w:t>
      </w:r>
      <w:r>
        <w:t xml:space="preserve"> </w:t>
      </w:r>
      <w:r>
        <w:t xml:space="preserve">- Tests tax payment mechanisms</w:t>
      </w:r>
      <w:r>
        <w:t xml:space="preserve"> </w:t>
      </w:r>
      <w:r>
        <w:t xml:space="preserve">- Refines HMRC systems</w:t>
      </w:r>
      <w:r>
        <w:t xml:space="preserve"> </w:t>
      </w:r>
      <w:r>
        <w:t xml:space="preserve">- Gathers data on pilot effectiveness</w:t>
      </w:r>
    </w:p>
    <w:p>
      <w:pPr>
        <w:pStyle w:val="BodyText"/>
      </w:pPr>
      <w:r>
        <w:rPr>
          <w:bCs/>
          <w:b/>
        </w:rPr>
        <w:t xml:space="preserve">Deliverables:</w:t>
      </w:r>
      <w:r>
        <w:t xml:space="preserve"> </w:t>
      </w:r>
      <w:r>
        <w:t xml:space="preserve">- Pilot program results</w:t>
      </w:r>
      <w:r>
        <w:t xml:space="preserve"> </w:t>
      </w:r>
      <w:r>
        <w:t xml:space="preserve">- Lessons learned</w:t>
      </w:r>
      <w:r>
        <w:t xml:space="preserve"> </w:t>
      </w:r>
      <w:r>
        <w:t xml:space="preserve">- Refined implementation plan</w:t>
      </w:r>
      <w:r>
        <w:t xml:space="preserve"> </w:t>
      </w:r>
      <w:r>
        <w:t xml:space="preserve">- Parliamentary briefing</w:t>
      </w:r>
    </w:p>
    <w:bookmarkEnd w:id="37"/>
    <w:bookmarkStart w:id="38" w:name="phase-3-full-implementation-2027-2028"/>
    <w:p>
      <w:pPr>
        <w:pStyle w:val="Heading3"/>
      </w:pPr>
      <w:r>
        <w:t xml:space="preserve">Phase 3: Full Implementation (2027-2028)</w:t>
      </w:r>
    </w:p>
    <w:p>
      <w:pPr>
        <w:pStyle w:val="FirstParagraph"/>
      </w:pPr>
      <w:r>
        <w:rPr>
          <w:bCs/>
          <w:b/>
        </w:rPr>
        <w:t xml:space="preserve">Actions:</w:t>
      </w:r>
      <w:r>
        <w:t xml:space="preserve"> </w:t>
      </w:r>
      <w:r>
        <w:t xml:space="preserve">- HM Treasury obtains Parliamentary approval for tax law changes</w:t>
      </w:r>
      <w:r>
        <w:t xml:space="preserve"> </w:t>
      </w:r>
      <w:r>
        <w:t xml:space="preserve">- Implements full Digital Gilts tax payment system</w:t>
      </w:r>
      <w:r>
        <w:t xml:space="preserve"> </w:t>
      </w:r>
      <w:r>
        <w:t xml:space="preserve">- Makes available to all UK corporations</w:t>
      </w:r>
      <w:r>
        <w:t xml:space="preserve"> </w:t>
      </w:r>
      <w:r>
        <w:t xml:space="preserve">- Enables tax-deferred Digital Gilts (if approved)</w:t>
      </w:r>
      <w:r>
        <w:t xml:space="preserve"> </w:t>
      </w:r>
      <w:r>
        <w:t xml:space="preserve">- Integrates with HMRC systems</w:t>
      </w:r>
    </w:p>
    <w:p>
      <w:pPr>
        <w:pStyle w:val="BodyText"/>
      </w:pPr>
      <w:r>
        <w:rPr>
          <w:bCs/>
          <w:b/>
        </w:rPr>
        <w:t xml:space="preserve">Deliverables:</w:t>
      </w:r>
      <w:r>
        <w:t xml:space="preserve"> </w:t>
      </w:r>
      <w:r>
        <w:t xml:space="preserve">- Digital Gilts tax payment system live</w:t>
      </w:r>
      <w:r>
        <w:t xml:space="preserve"> </w:t>
      </w:r>
      <w:r>
        <w:t xml:space="preserve">- Tax-deferred Digital Gilts available</w:t>
      </w:r>
      <w:r>
        <w:t xml:space="preserve"> </w:t>
      </w:r>
      <w:r>
        <w:t xml:space="preserve">- HMRC systems updated</w:t>
      </w:r>
      <w:r>
        <w:t xml:space="preserve"> </w:t>
      </w:r>
      <w:r>
        <w:t xml:space="preserve">- Corporate guidance published</w:t>
      </w:r>
    </w:p>
    <w:bookmarkEnd w:id="38"/>
    <w:bookmarkStart w:id="39" w:name="X570b70d5d89195e06f5d59f6220e12dff11aee0"/>
    <w:p>
      <w:pPr>
        <w:pStyle w:val="Heading3"/>
      </w:pPr>
      <w:r>
        <w:t xml:space="preserve">Phase 4: Integration and Optimization (2028-2030)</w:t>
      </w:r>
    </w:p>
    <w:p>
      <w:pPr>
        <w:pStyle w:val="FirstParagraph"/>
      </w:pPr>
      <w:r>
        <w:rPr>
          <w:bCs/>
          <w:b/>
        </w:rPr>
        <w:t xml:space="preserve">Actions:</w:t>
      </w:r>
      <w:r>
        <w:t xml:space="preserve"> </w:t>
      </w:r>
      <w:r>
        <w:t xml:space="preserve">- Digital Gilts become primary corporate tax payment method</w:t>
      </w:r>
      <w:r>
        <w:t xml:space="preserve"> </w:t>
      </w:r>
      <w:r>
        <w:t xml:space="preserve">- Programmable tax settlements become standard</w:t>
      </w:r>
      <w:r>
        <w:t xml:space="preserve"> </w:t>
      </w:r>
      <w:r>
        <w:t xml:space="preserve">- Integration with AI agents for automated tax compliance</w:t>
      </w:r>
      <w:r>
        <w:t xml:space="preserve"> </w:t>
      </w:r>
      <w:r>
        <w:t xml:space="preserve">- Expansion to other tax types (VAT, payroll taxes)</w:t>
      </w:r>
      <w:r>
        <w:t xml:space="preserve"> </w:t>
      </w:r>
      <w:r>
        <w:t xml:space="preserve">- International coordination with other central banks</w:t>
      </w:r>
    </w:p>
    <w:p>
      <w:pPr>
        <w:pStyle w:val="BodyText"/>
      </w:pPr>
      <w:r>
        <w:rPr>
          <w:bCs/>
          <w:b/>
        </w:rPr>
        <w:t xml:space="preserve">Deliverables:</w:t>
      </w:r>
      <w:r>
        <w:t xml:space="preserve"> </w:t>
      </w:r>
      <w:r>
        <w:t xml:space="preserve">- Digital Gilts as standard tax payment method</w:t>
      </w:r>
      <w:r>
        <w:t xml:space="preserve"> </w:t>
      </w:r>
      <w:r>
        <w:t xml:space="preserve">- Programmable tax settlement infrastructure</w:t>
      </w:r>
      <w:r>
        <w:t xml:space="preserve"> </w:t>
      </w:r>
      <w:r>
        <w:t xml:space="preserve">- AI-enabled tax compliance</w:t>
      </w:r>
      <w:r>
        <w:t xml:space="preserve"> </w:t>
      </w:r>
      <w:r>
        <w:t xml:space="preserve">- International coordination agreements</w:t>
      </w:r>
    </w:p>
    <w:p>
      <w:r>
        <w:pict>
          <v:rect style="width:0;height:1.5pt" o:hralign="center" o:hrstd="t" o:hr="t"/>
        </w:pict>
      </w:r>
    </w:p>
    <w:bookmarkEnd w:id="39"/>
    <w:bookmarkEnd w:id="40"/>
    <w:bookmarkStart w:id="41" w:name="X87f6a8e2bbca0f3dc1112de7b567e3192f88415"/>
    <w:p>
      <w:pPr>
        <w:pStyle w:val="Heading2"/>
      </w:pPr>
      <w:r>
        <w:t xml:space="preserve">Part 6: Comparative Analysis—Digital Gilts vs. Agentic USD</w:t>
      </w:r>
    </w:p>
    <w:tbl>
      <w:tblPr>
        <w:tblStyle w:val="Table"/>
        <w:tblW w:type="pct" w:w="5000"/>
        <w:tblLook w:firstRow="1" w:lastRow="0" w:firstColumn="0" w:lastColumn="0" w:noHBand="0" w:noVBand="0" w:val="0020"/>
        <w:jc w:val="start"/>
      </w:tblPr>
      <w:tblGrid>
        <w:gridCol w:w="1620"/>
        <w:gridCol w:w="2700"/>
        <w:gridCol w:w="2160"/>
        <w:gridCol w:w="1440"/>
      </w:tblGrid>
      <w:tr>
        <w:trPr>
          <w:tblHeader w:val="true"/>
        </w:trPr>
        <w:tc>
          <w:tcPr/>
          <w:p>
            <w:pPr>
              <w:pStyle w:val="Compact"/>
              <w:jc w:val="left"/>
            </w:pPr>
            <w:r>
              <w:t xml:space="preserve">Feature</w:t>
            </w:r>
          </w:p>
        </w:tc>
        <w:tc>
          <w:tcPr/>
          <w:p>
            <w:pPr>
              <w:pStyle w:val="Compact"/>
              <w:jc w:val="left"/>
            </w:pPr>
            <w:r>
              <w:t xml:space="preserve">Digital Gilts</w:t>
            </w:r>
          </w:p>
        </w:tc>
        <w:tc>
          <w:tcPr/>
          <w:p>
            <w:pPr>
              <w:pStyle w:val="Compact"/>
              <w:jc w:val="left"/>
            </w:pPr>
            <w:r>
              <w:t xml:space="preserve">Agentic USD</w:t>
            </w:r>
          </w:p>
        </w:tc>
        <w:tc>
          <w:tcPr/>
          <w:p>
            <w:pPr>
              <w:pStyle w:val="Compact"/>
              <w:jc w:val="left"/>
            </w:pPr>
            <w:r>
              <w:t xml:space="preserve">Winner</w:t>
            </w:r>
          </w:p>
        </w:tc>
      </w:tr>
      <w:tr>
        <w:tc>
          <w:tcPr/>
          <w:p>
            <w:pPr>
              <w:pStyle w:val="Compact"/>
              <w:jc w:val="left"/>
            </w:pPr>
            <w:r>
              <w:rPr>
                <w:bCs/>
                <w:b/>
              </w:rPr>
              <w:t xml:space="preserve">Backing</w:t>
            </w:r>
          </w:p>
        </w:tc>
        <w:tc>
          <w:tcPr/>
          <w:p>
            <w:pPr>
              <w:pStyle w:val="Compact"/>
              <w:jc w:val="left"/>
            </w:pPr>
            <w:r>
              <w:t xml:space="preserve">UK government</w:t>
            </w:r>
          </w:p>
        </w:tc>
        <w:tc>
          <w:tcPr/>
          <w:p>
            <w:pPr>
              <w:pStyle w:val="Compact"/>
              <w:jc w:val="left"/>
            </w:pPr>
            <w:r>
              <w:t xml:space="preserve">US Treasury</w:t>
            </w:r>
          </w:p>
        </w:tc>
        <w:tc>
          <w:tcPr/>
          <w:p>
            <w:pPr>
              <w:pStyle w:val="Compact"/>
              <w:jc w:val="left"/>
            </w:pPr>
            <w:r>
              <w:t xml:space="preserve">Agentic USD (safer)</w:t>
            </w:r>
          </w:p>
        </w:tc>
      </w:tr>
      <w:tr>
        <w:tc>
          <w:tcPr/>
          <w:p>
            <w:pPr>
              <w:pStyle w:val="Compact"/>
              <w:jc w:val="left"/>
            </w:pPr>
            <w:r>
              <w:rPr>
                <w:bCs/>
                <w:b/>
              </w:rPr>
              <w:t xml:space="preserve">Yield</w:t>
            </w:r>
          </w:p>
        </w:tc>
        <w:tc>
          <w:tcPr/>
          <w:p>
            <w:pPr>
              <w:pStyle w:val="Compact"/>
              <w:jc w:val="left"/>
            </w:pPr>
            <w:r>
              <w:t xml:space="preserve">4-5% (if pass-through enabled)</w:t>
            </w:r>
          </w:p>
        </w:tc>
        <w:tc>
          <w:tcPr/>
          <w:p>
            <w:pPr>
              <w:pStyle w:val="Compact"/>
              <w:jc w:val="left"/>
            </w:pPr>
            <w:r>
              <w:t xml:space="preserve">4.5-5%</w:t>
            </w:r>
          </w:p>
        </w:tc>
        <w:tc>
          <w:tcPr/>
          <w:p>
            <w:pPr>
              <w:pStyle w:val="Compact"/>
              <w:jc w:val="left"/>
            </w:pPr>
            <w:r>
              <w:t xml:space="preserve">Tie</w:t>
            </w:r>
          </w:p>
        </w:tc>
      </w:tr>
      <w:tr>
        <w:tc>
          <w:tcPr/>
          <w:p>
            <w:pPr>
              <w:pStyle w:val="Compact"/>
              <w:jc w:val="left"/>
            </w:pPr>
            <w:r>
              <w:rPr>
                <w:bCs/>
                <w:b/>
              </w:rPr>
              <w:t xml:space="preserve">Settlement Speed</w:t>
            </w:r>
          </w:p>
        </w:tc>
        <w:tc>
          <w:tcPr/>
          <w:p>
            <w:pPr>
              <w:pStyle w:val="Compact"/>
              <w:jc w:val="left"/>
            </w:pPr>
            <w:r>
              <w:t xml:space="preserve">24/7 (blockchain)</w:t>
            </w:r>
          </w:p>
        </w:tc>
        <w:tc>
          <w:tcPr/>
          <w:p>
            <w:pPr>
              <w:pStyle w:val="Compact"/>
              <w:jc w:val="left"/>
            </w:pPr>
            <w:r>
              <w:t xml:space="preserve">24/7 (blockchain)</w:t>
            </w:r>
          </w:p>
        </w:tc>
        <w:tc>
          <w:tcPr/>
          <w:p>
            <w:pPr>
              <w:pStyle w:val="Compact"/>
              <w:jc w:val="left"/>
            </w:pPr>
            <w:r>
              <w:t xml:space="preserve">Tie</w:t>
            </w:r>
          </w:p>
        </w:tc>
      </w:tr>
      <w:tr>
        <w:tc>
          <w:tcPr/>
          <w:p>
            <w:pPr>
              <w:pStyle w:val="Compact"/>
              <w:jc w:val="left"/>
            </w:pPr>
            <w:r>
              <w:rPr>
                <w:bCs/>
                <w:b/>
              </w:rPr>
              <w:t xml:space="preserve">Programmability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Tie</w:t>
            </w:r>
          </w:p>
        </w:tc>
      </w:tr>
      <w:tr>
        <w:tc>
          <w:tcPr/>
          <w:p>
            <w:pPr>
              <w:pStyle w:val="Compact"/>
              <w:jc w:val="left"/>
            </w:pPr>
            <w:r>
              <w:rPr>
                <w:bCs/>
                <w:b/>
              </w:rPr>
              <w:t xml:space="preserve">Tax Status</w:t>
            </w:r>
          </w:p>
        </w:tc>
        <w:tc>
          <w:tcPr/>
          <w:p>
            <w:pPr>
              <w:pStyle w:val="Compact"/>
              <w:jc w:val="left"/>
            </w:pPr>
            <w:r>
              <w:t xml:space="preserve">Tax-deferred (if implemented)</w:t>
            </w:r>
          </w:p>
        </w:tc>
        <w:tc>
          <w:tcPr/>
          <w:p>
            <w:pPr>
              <w:pStyle w:val="Compact"/>
              <w:jc w:val="left"/>
            </w:pPr>
            <w:r>
              <w:t xml:space="preserve">No tax benefit</w:t>
            </w:r>
          </w:p>
        </w:tc>
        <w:tc>
          <w:tcPr/>
          <w:p>
            <w:pPr>
              <w:pStyle w:val="Compact"/>
              <w:jc w:val="left"/>
            </w:pPr>
            <w:r>
              <w:t xml:space="preserve">Digital Gilts</w:t>
            </w:r>
          </w:p>
        </w:tc>
      </w:tr>
      <w:tr>
        <w:tc>
          <w:tcPr/>
          <w:p>
            <w:pPr>
              <w:pStyle w:val="Compact"/>
              <w:jc w:val="left"/>
            </w:pPr>
            <w:r>
              <w:rPr>
                <w:bCs/>
                <w:b/>
              </w:rPr>
              <w:t xml:space="preserve">Regulatory Control</w:t>
            </w:r>
          </w:p>
        </w:tc>
        <w:tc>
          <w:tcPr/>
          <w:p>
            <w:pPr>
              <w:pStyle w:val="Compact"/>
              <w:jc w:val="left"/>
            </w:pPr>
            <w:r>
              <w:t xml:space="preserve">UK-controlled</w:t>
            </w:r>
          </w:p>
        </w:tc>
        <w:tc>
          <w:tcPr/>
          <w:p>
            <w:pPr>
              <w:pStyle w:val="Compact"/>
              <w:jc w:val="left"/>
            </w:pPr>
            <w:r>
              <w:t xml:space="preserve">US-controlled</w:t>
            </w:r>
          </w:p>
        </w:tc>
        <w:tc>
          <w:tcPr/>
          <w:p>
            <w:pPr>
              <w:pStyle w:val="Compact"/>
              <w:jc w:val="left"/>
            </w:pPr>
            <w:r>
              <w:t xml:space="preserve">Digital Gilts</w:t>
            </w:r>
          </w:p>
        </w:tc>
      </w:tr>
      <w:tr>
        <w:tc>
          <w:tcPr/>
          <w:p>
            <w:pPr>
              <w:pStyle w:val="Compact"/>
              <w:jc w:val="left"/>
            </w:pPr>
            <w:r>
              <w:rPr>
                <w:bCs/>
                <w:b/>
              </w:rPr>
              <w:t xml:space="preserve">Currency Risk</w:t>
            </w:r>
          </w:p>
        </w:tc>
        <w:tc>
          <w:tcPr/>
          <w:p>
            <w:pPr>
              <w:pStyle w:val="Compact"/>
              <w:jc w:val="left"/>
            </w:pPr>
            <w:r>
              <w:t xml:space="preserve">None (GBP)</w:t>
            </w:r>
          </w:p>
        </w:tc>
        <w:tc>
          <w:tcPr/>
          <w:p>
            <w:pPr>
              <w:pStyle w:val="Compact"/>
              <w:jc w:val="left"/>
            </w:pPr>
            <w:r>
              <w:t xml:space="preserve">GBP/USD risk</w:t>
            </w:r>
          </w:p>
        </w:tc>
        <w:tc>
          <w:tcPr/>
          <w:p>
            <w:pPr>
              <w:pStyle w:val="Compact"/>
              <w:jc w:val="left"/>
            </w:pPr>
            <w:r>
              <w:t xml:space="preserve">Digital Gilts</w:t>
            </w:r>
          </w:p>
        </w:tc>
      </w:tr>
      <w:tr>
        <w:tc>
          <w:tcPr/>
          <w:p>
            <w:pPr>
              <w:pStyle w:val="Compact"/>
              <w:jc w:val="left"/>
            </w:pPr>
            <w:r>
              <w:rPr>
                <w:bCs/>
                <w:b/>
              </w:rPr>
              <w:t xml:space="preserve">Compliance Costs</w:t>
            </w:r>
          </w:p>
        </w:tc>
        <w:tc>
          <w:tcPr/>
          <w:p>
            <w:pPr>
              <w:pStyle w:val="Compact"/>
              <w:jc w:val="left"/>
            </w:pPr>
            <w:r>
              <w:t xml:space="preserve">Reduced (automated)</w:t>
            </w:r>
          </w:p>
        </w:tc>
        <w:tc>
          <w:tcPr/>
          <w:p>
            <w:pPr>
              <w:pStyle w:val="Compact"/>
              <w:jc w:val="left"/>
            </w:pPr>
            <w:r>
              <w:t xml:space="preserve">Standard</w:t>
            </w:r>
          </w:p>
        </w:tc>
        <w:tc>
          <w:tcPr/>
          <w:p>
            <w:pPr>
              <w:pStyle w:val="Compact"/>
              <w:jc w:val="left"/>
            </w:pPr>
            <w:r>
              <w:t xml:space="preserve">Digital Gilts</w:t>
            </w:r>
          </w:p>
        </w:tc>
      </w:tr>
      <w:tr>
        <w:tc>
          <w:tcPr/>
          <w:p>
            <w:pPr>
              <w:pStyle w:val="Compact"/>
              <w:jc w:val="left"/>
            </w:pPr>
            <w:r>
              <w:rPr>
                <w:bCs/>
                <w:b/>
              </w:rPr>
              <w:t xml:space="preserve">Visibility to BoE</w:t>
            </w:r>
          </w:p>
        </w:tc>
        <w:tc>
          <w:tcPr/>
          <w:p>
            <w:pPr>
              <w:pStyle w:val="Compact"/>
              <w:jc w:val="left"/>
            </w:pPr>
            <w:r>
              <w:t xml:space="preserve">Full</w:t>
            </w:r>
          </w:p>
        </w:tc>
        <w:tc>
          <w:tcPr/>
          <w:p>
            <w:pPr>
              <w:pStyle w:val="Compact"/>
              <w:jc w:val="left"/>
            </w:pPr>
            <w:r>
              <w:t xml:space="preserve">Partial</w:t>
            </w:r>
          </w:p>
        </w:tc>
        <w:tc>
          <w:tcPr/>
          <w:p>
            <w:pPr>
              <w:pStyle w:val="Compact"/>
              <w:jc w:val="left"/>
            </w:pPr>
            <w:r>
              <w:t xml:space="preserve">Digital Gilts</w:t>
            </w:r>
          </w:p>
        </w:tc>
      </w:tr>
      <w:tr>
        <w:tc>
          <w:tcPr/>
          <w:p>
            <w:pPr>
              <w:pStyle w:val="Compact"/>
              <w:jc w:val="left"/>
            </w:pPr>
            <w:r>
              <w:rPr>
                <w:bCs/>
                <w:b/>
              </w:rPr>
              <w:t xml:space="preserve">Monetary Policy Control</w:t>
            </w:r>
          </w:p>
        </w:tc>
        <w:tc>
          <w:tcPr/>
          <w:p>
            <w:pPr>
              <w:pStyle w:val="Compact"/>
              <w:jc w:val="left"/>
            </w:pPr>
            <w:r>
              <w:t xml:space="preserve">Full</w:t>
            </w:r>
          </w:p>
        </w:tc>
        <w:tc>
          <w:tcPr/>
          <w:p>
            <w:pPr>
              <w:pStyle w:val="Compact"/>
              <w:jc w:val="left"/>
            </w:pPr>
            <w:r>
              <w:t xml:space="preserve">Partial</w:t>
            </w:r>
          </w:p>
        </w:tc>
        <w:tc>
          <w:tcPr/>
          <w:p>
            <w:pPr>
              <w:pStyle w:val="Compact"/>
              <w:jc w:val="left"/>
            </w:pPr>
            <w:r>
              <w:t xml:space="preserve">Digital Gilts</w:t>
            </w:r>
          </w:p>
        </w:tc>
      </w:tr>
    </w:tbl>
    <w:p>
      <w:pPr>
        <w:pStyle w:val="BodyText"/>
      </w:pPr>
      <w:r>
        <w:rPr>
          <w:bCs/>
          <w:b/>
        </w:rPr>
        <w:t xml:space="preserve">Key Advantage</w:t>
      </w:r>
      <w:r>
        <w:t xml:space="preserve">: Digital Gilts offer tax benefits + UK control, making them superior to Agentic USD for UK corporations.</w:t>
      </w:r>
    </w:p>
    <w:p>
      <w:r>
        <w:pict>
          <v:rect style="width:0;height:1.5pt" o:hralign="center" o:hrstd="t" o:hr="t"/>
        </w:pict>
      </w:r>
    </w:p>
    <w:bookmarkEnd w:id="41"/>
    <w:bookmarkStart w:id="46" w:name="part-7-policy-recommendations"/>
    <w:p>
      <w:pPr>
        <w:pStyle w:val="Heading2"/>
      </w:pPr>
      <w:r>
        <w:t xml:space="preserve">Part 7: Policy Recommendations</w:t>
      </w:r>
    </w:p>
    <w:bookmarkStart w:id="42" w:name="X2485cf232a3cd4a792c4a0778ca2e2d45cf4003"/>
    <w:p>
      <w:pPr>
        <w:pStyle w:val="Heading3"/>
      </w:pPr>
      <w:r>
        <w:t xml:space="preserve">Recommendation 1: Immediate Action (Next 6 Months)</w:t>
      </w:r>
    </w:p>
    <w:p>
      <w:pPr>
        <w:pStyle w:val="FirstParagraph"/>
      </w:pPr>
      <w:r>
        <w:rPr>
          <w:bCs/>
          <w:b/>
        </w:rPr>
        <w:t xml:space="preserve">HM Treasury should commission a detailed feasibility study</w:t>
      </w:r>
      <w:r>
        <w:t xml:space="preserve"> </w:t>
      </w:r>
      <w:r>
        <w:t xml:space="preserve">on Digital Gilts as tax payment.</w:t>
      </w:r>
    </w:p>
    <w:p>
      <w:pPr>
        <w:pStyle w:val="BodyText"/>
      </w:pPr>
      <w:r>
        <w:rPr>
          <w:bCs/>
          <w:b/>
        </w:rPr>
        <w:t xml:space="preserve">Scope:</w:t>
      </w:r>
      <w:r>
        <w:t xml:space="preserve"> </w:t>
      </w:r>
      <w:r>
        <w:t xml:space="preserve">- Legal and regulatory requirements</w:t>
      </w:r>
      <w:r>
        <w:t xml:space="preserve"> </w:t>
      </w:r>
      <w:r>
        <w:t xml:space="preserve">- HMRC system changes needed</w:t>
      </w:r>
      <w:r>
        <w:t xml:space="preserve"> </w:t>
      </w:r>
      <w:r>
        <w:t xml:space="preserve">- Cost-benefit analysis</w:t>
      </w:r>
      <w:r>
        <w:t xml:space="preserve"> </w:t>
      </w:r>
      <w:r>
        <w:t xml:space="preserve">- International coordination requirements</w:t>
      </w:r>
      <w:r>
        <w:t xml:space="preserve"> </w:t>
      </w:r>
      <w:r>
        <w:t xml:space="preserve">- Risk assessment</w:t>
      </w:r>
    </w:p>
    <w:p>
      <w:pPr>
        <w:pStyle w:val="BodyText"/>
      </w:pPr>
      <w:r>
        <w:rPr>
          <w:bCs/>
          <w:b/>
        </w:rPr>
        <w:t xml:space="preserve">Outcome</w:t>
      </w:r>
      <w:r>
        <w:t xml:space="preserve">: Detailed implementation roadmap</w:t>
      </w:r>
    </w:p>
    <w:bookmarkEnd w:id="42"/>
    <w:bookmarkStart w:id="43" w:name="Xabd0030bab7babfac57006814cf8712edcc6671"/>
    <w:p>
      <w:pPr>
        <w:pStyle w:val="Heading3"/>
      </w:pPr>
      <w:r>
        <w:t xml:space="preserve">Recommendation 2: Pilot Program (12-18 Months)</w:t>
      </w:r>
    </w:p>
    <w:p>
      <w:pPr>
        <w:pStyle w:val="FirstParagraph"/>
      </w:pPr>
      <w:r>
        <w:rPr>
          <w:bCs/>
          <w:b/>
        </w:rPr>
        <w:t xml:space="preserve">HM Treasury should launch a pilot program</w:t>
      </w:r>
      <w:r>
        <w:t xml:space="preserve"> </w:t>
      </w:r>
      <w:r>
        <w:t xml:space="preserve">with 20-30 large corporations.</w:t>
      </w:r>
    </w:p>
    <w:p>
      <w:pPr>
        <w:pStyle w:val="BodyText"/>
      </w:pPr>
      <w:r>
        <w:rPr>
          <w:bCs/>
          <w:b/>
        </w:rPr>
        <w:t xml:space="preserve">Scope:</w:t>
      </w:r>
      <w:r>
        <w:t xml:space="preserve"> </w:t>
      </w:r>
      <w:r>
        <w:t xml:space="preserve">- Test direct tax payment in Digital Gilts</w:t>
      </w:r>
      <w:r>
        <w:t xml:space="preserve"> </w:t>
      </w:r>
      <w:r>
        <w:t xml:space="preserve">- Gather data on effectiveness</w:t>
      </w:r>
      <w:r>
        <w:t xml:space="preserve"> </w:t>
      </w:r>
      <w:r>
        <w:t xml:space="preserve">- Identify system issues</w:t>
      </w:r>
      <w:r>
        <w:t xml:space="preserve"> </w:t>
      </w:r>
      <w:r>
        <w:t xml:space="preserve">- Refine processes</w:t>
      </w:r>
    </w:p>
    <w:p>
      <w:pPr>
        <w:pStyle w:val="BodyText"/>
      </w:pPr>
      <w:r>
        <w:rPr>
          <w:bCs/>
          <w:b/>
        </w:rPr>
        <w:t xml:space="preserve">Outcome</w:t>
      </w:r>
      <w:r>
        <w:t xml:space="preserve">: Proven pilot program demonstrating effectiveness</w:t>
      </w:r>
    </w:p>
    <w:bookmarkEnd w:id="43"/>
    <w:bookmarkStart w:id="44" w:name="X4acdd11923e359533720601d9e82bc00f7de637"/>
    <w:p>
      <w:pPr>
        <w:pStyle w:val="Heading3"/>
      </w:pPr>
      <w:r>
        <w:t xml:space="preserve">Recommendation 3: Full Implementation (18-24 Months)</w:t>
      </w:r>
    </w:p>
    <w:p>
      <w:pPr>
        <w:pStyle w:val="FirstParagraph"/>
      </w:pPr>
      <w:r>
        <w:rPr>
          <w:bCs/>
          <w:b/>
        </w:rPr>
        <w:t xml:space="preserve">HM Treasury should obtain Parliamentary approval</w:t>
      </w:r>
      <w:r>
        <w:t xml:space="preserve"> </w:t>
      </w:r>
      <w:r>
        <w:t xml:space="preserve">and implement full Digital Gilts tax payment system.</w:t>
      </w:r>
    </w:p>
    <w:p>
      <w:pPr>
        <w:pStyle w:val="BodyText"/>
      </w:pPr>
      <w:r>
        <w:rPr>
          <w:bCs/>
          <w:b/>
        </w:rPr>
        <w:t xml:space="preserve">Scope:</w:t>
      </w:r>
      <w:r>
        <w:t xml:space="preserve"> </w:t>
      </w:r>
      <w:r>
        <w:t xml:space="preserve">- Tax law changes</w:t>
      </w:r>
      <w:r>
        <w:t xml:space="preserve"> </w:t>
      </w:r>
      <w:r>
        <w:t xml:space="preserve">- HMRC system implementation</w:t>
      </w:r>
      <w:r>
        <w:t xml:space="preserve"> </w:t>
      </w:r>
      <w:r>
        <w:t xml:space="preserve">- Corporate guidance</w:t>
      </w:r>
      <w:r>
        <w:t xml:space="preserve"> </w:t>
      </w:r>
      <w:r>
        <w:t xml:space="preserve">- Public communication</w:t>
      </w:r>
    </w:p>
    <w:p>
      <w:pPr>
        <w:pStyle w:val="BodyText"/>
      </w:pPr>
      <w:r>
        <w:rPr>
          <w:bCs/>
          <w:b/>
        </w:rPr>
        <w:t xml:space="preserve">Outcome</w:t>
      </w:r>
      <w:r>
        <w:t xml:space="preserve">: Digital Gilts available to all UK corporations for tax payment</w:t>
      </w:r>
    </w:p>
    <w:bookmarkEnd w:id="44"/>
    <w:bookmarkStart w:id="45" w:name="Xb457f1c4b65155c5d8bccb94c8fa0a86fa462a3"/>
    <w:p>
      <w:pPr>
        <w:pStyle w:val="Heading3"/>
      </w:pPr>
      <w:r>
        <w:t xml:space="preserve">Recommendation 4: International Coordination (24-36 Months)</w:t>
      </w:r>
    </w:p>
    <w:p>
      <w:pPr>
        <w:pStyle w:val="FirstParagraph"/>
      </w:pPr>
      <w:r>
        <w:rPr>
          <w:bCs/>
          <w:b/>
        </w:rPr>
        <w:t xml:space="preserve">HM Treasury should coordinate with other G7 central banks</w:t>
      </w:r>
      <w:r>
        <w:t xml:space="preserve"> </w:t>
      </w:r>
      <w:r>
        <w:t xml:space="preserve">to develop international standards for digital government bonds.</w:t>
      </w:r>
    </w:p>
    <w:p>
      <w:pPr>
        <w:pStyle w:val="BodyText"/>
      </w:pPr>
      <w:r>
        <w:rPr>
          <w:bCs/>
          <w:b/>
        </w:rPr>
        <w:t xml:space="preserve">Scope:</w:t>
      </w:r>
      <w:r>
        <w:t xml:space="preserve"> </w:t>
      </w:r>
      <w:r>
        <w:t xml:space="preserve">- Develop common standards</w:t>
      </w:r>
      <w:r>
        <w:t xml:space="preserve"> </w:t>
      </w:r>
      <w:r>
        <w:t xml:space="preserve">- Enable cross-border tax payments</w:t>
      </w:r>
      <w:r>
        <w:t xml:space="preserve"> </w:t>
      </w:r>
      <w:r>
        <w:t xml:space="preserve">- Create international market for digital government bonds</w:t>
      </w:r>
      <w:r>
        <w:t xml:space="preserve"> </w:t>
      </w:r>
      <w:r>
        <w:t xml:space="preserve">- Establish regulatory framework</w:t>
      </w:r>
    </w:p>
    <w:p>
      <w:pPr>
        <w:pStyle w:val="BodyText"/>
      </w:pPr>
      <w:r>
        <w:rPr>
          <w:bCs/>
          <w:b/>
        </w:rPr>
        <w:t xml:space="preserve">Outcome</w:t>
      </w:r>
      <w:r>
        <w:t xml:space="preserve">: International framework for digital government bonds</w:t>
      </w:r>
    </w:p>
    <w:p>
      <w:r>
        <w:pict>
          <v:rect style="width:0;height:1.5pt" o:hralign="center" o:hrstd="t" o:hr="t"/>
        </w:pict>
      </w:r>
    </w:p>
    <w:bookmarkEnd w:id="45"/>
    <w:bookmarkEnd w:id="46"/>
    <w:bookmarkStart w:id="47" w:name="X2ed4dbaca4417eab63997d444cbab7c1a3ebb0e"/>
    <w:p>
      <w:pPr>
        <w:pStyle w:val="Heading2"/>
      </w:pPr>
      <w:r>
        <w:t xml:space="preserve">Conclusion: The Path to Sterling Sovereignty in the Digital Age</w:t>
      </w:r>
    </w:p>
    <w:p>
      <w:pPr>
        <w:pStyle w:val="FirstParagraph"/>
      </w:pPr>
      <w:r>
        <w:t xml:space="preserve">The emergence of Agentic USD stablecoins presents an existential challenge to UK financial sovereignty. If left unchecked, Agentic USD could drain the Gilt market, force the UK government to borrow at punitive rates, and ultimately subordinate UK monetary policy to US interests.</w:t>
      </w:r>
    </w:p>
    <w:p>
      <w:pPr>
        <w:pStyle w:val="BodyText"/>
      </w:pPr>
      <w:r>
        <w:t xml:space="preserve">Yet HM Treasury has a powerful defensive weapon:</w:t>
      </w:r>
      <w:r>
        <w:t xml:space="preserve"> </w:t>
      </w:r>
      <w:r>
        <w:rPr>
          <w:bCs/>
          <w:b/>
        </w:rPr>
        <w:t xml:space="preserve">Digital Gilts as tax payment</w:t>
      </w:r>
      <w:r>
        <w:t xml:space="preserve">.</w:t>
      </w:r>
    </w:p>
    <w:p>
      <w:pPr>
        <w:pStyle w:val="BodyText"/>
      </w:pPr>
      <w:r>
        <w:t xml:space="preserve">By allowing UK corporations to pay taxes in Digital Gilts, HM Treasury can:</w:t>
      </w:r>
    </w:p>
    <w:p>
      <w:pPr>
        <w:numPr>
          <w:ilvl w:val="0"/>
          <w:numId w:val="1018"/>
        </w:numPr>
        <w:pStyle w:val="Compact"/>
      </w:pPr>
      <w:r>
        <w:rPr>
          <w:bCs/>
          <w:b/>
        </w:rPr>
        <w:t xml:space="preserve">Restore tax-driven demand</w:t>
      </w:r>
      <w:r>
        <w:t xml:space="preserve"> </w:t>
      </w:r>
      <w:r>
        <w:t xml:space="preserve">for Gilts, stabilizing the Gilt market</w:t>
      </w:r>
    </w:p>
    <w:p>
      <w:pPr>
        <w:numPr>
          <w:ilvl w:val="0"/>
          <w:numId w:val="1018"/>
        </w:numPr>
        <w:pStyle w:val="Compact"/>
      </w:pPr>
      <w:r>
        <w:rPr>
          <w:bCs/>
          <w:b/>
        </w:rPr>
        <w:t xml:space="preserve">Create a competitive alternative</w:t>
      </w:r>
      <w:r>
        <w:t xml:space="preserve"> </w:t>
      </w:r>
      <w:r>
        <w:t xml:space="preserve">to Agentic USD</w:t>
      </w:r>
    </w:p>
    <w:p>
      <w:pPr>
        <w:numPr>
          <w:ilvl w:val="0"/>
          <w:numId w:val="1018"/>
        </w:numPr>
        <w:pStyle w:val="Compact"/>
      </w:pPr>
      <w:r>
        <w:rPr>
          <w:bCs/>
          <w:b/>
        </w:rPr>
        <w:t xml:space="preserve">Preserve sterling sovereignty</w:t>
      </w:r>
      <w:r>
        <w:t xml:space="preserve"> </w:t>
      </w:r>
      <w:r>
        <w:t xml:space="preserve">in the digital age</w:t>
      </w:r>
    </w:p>
    <w:p>
      <w:pPr>
        <w:numPr>
          <w:ilvl w:val="0"/>
          <w:numId w:val="1018"/>
        </w:numPr>
        <w:pStyle w:val="Compact"/>
      </w:pPr>
      <w:r>
        <w:rPr>
          <w:bCs/>
          <w:b/>
        </w:rPr>
        <w:t xml:space="preserve">Maintain monetary policy control</w:t>
      </w:r>
      <w:r>
        <w:t xml:space="preserve"> </w:t>
      </w:r>
      <w:r>
        <w:t xml:space="preserve">for the Bank of England</w:t>
      </w:r>
    </w:p>
    <w:p>
      <w:pPr>
        <w:numPr>
          <w:ilvl w:val="0"/>
          <w:numId w:val="1018"/>
        </w:numPr>
        <w:pStyle w:val="Compact"/>
      </w:pPr>
      <w:r>
        <w:rPr>
          <w:bCs/>
          <w:b/>
        </w:rPr>
        <w:t xml:space="preserve">Reduce corporate compliance costs</w:t>
      </w:r>
      <w:r>
        <w:t xml:space="preserve"> </w:t>
      </w:r>
      <w:r>
        <w:t xml:space="preserve">through automation</w:t>
      </w:r>
    </w:p>
    <w:p>
      <w:pPr>
        <w:numPr>
          <w:ilvl w:val="0"/>
          <w:numId w:val="1018"/>
        </w:numPr>
        <w:pStyle w:val="Compact"/>
      </w:pPr>
      <w:r>
        <w:rPr>
          <w:bCs/>
          <w:b/>
        </w:rPr>
        <w:t xml:space="preserve">Enable programmable tax settlements</w:t>
      </w:r>
      <w:r>
        <w:t xml:space="preserve"> </w:t>
      </w:r>
      <w:r>
        <w:t xml:space="preserve">with AI agents</w:t>
      </w:r>
    </w:p>
    <w:p>
      <w:pPr>
        <w:pStyle w:val="FirstParagraph"/>
      </w:pPr>
      <w:r>
        <w:t xml:space="preserve">This policy is not merely desirable—it is essential. The window of opportunity is closing. Once Agentic USD gains significant market share, reversing the trend will be far more difficult.</w:t>
      </w:r>
    </w:p>
    <w:p>
      <w:pPr>
        <w:pStyle w:val="BodyText"/>
      </w:pPr>
      <w:r>
        <w:rPr>
          <w:bCs/>
          <w:b/>
        </w:rPr>
        <w:t xml:space="preserve">HM Treasury should act now.</w:t>
      </w:r>
      <w:r>
        <w:t xml:space="preserve"> </w:t>
      </w:r>
      <w:r>
        <w:t xml:space="preserve">The time for pilot programs and feasibility studies is over. The time for decisive action is here.</w:t>
      </w:r>
    </w:p>
    <w:p>
      <w:pPr>
        <w:pStyle w:val="BodyText"/>
      </w:pPr>
      <w:r>
        <w:t xml:space="preserve">The future of sterling sovereignty depends on it.</w:t>
      </w:r>
    </w:p>
    <w:p>
      <w:r>
        <w:pict>
          <v:rect style="width:0;height:1.5pt" o:hralign="center" o:hrstd="t" o:hr="t"/>
        </w:pict>
      </w:r>
    </w:p>
    <w:bookmarkEnd w:id="47"/>
    <w:bookmarkStart w:id="48" w:name="references"/>
    <w:p>
      <w:pPr>
        <w:pStyle w:val="Heading2"/>
      </w:pPr>
      <w:r>
        <w:t xml:space="preserve">References</w:t>
      </w:r>
    </w:p>
    <w:p>
      <w:pPr>
        <w:numPr>
          <w:ilvl w:val="0"/>
          <w:numId w:val="1019"/>
        </w:numPr>
        <w:pStyle w:val="Compact"/>
      </w:pPr>
      <w:r>
        <w:t xml:space="preserve">Bank of England. (2024).</w:t>
      </w:r>
      <w:r>
        <w:t xml:space="preserve"> </w:t>
      </w:r>
      <w:r>
        <w:t xml:space="preserve">“</w:t>
      </w:r>
      <w:r>
        <w:t xml:space="preserve">Monetary Policy Report.</w:t>
      </w:r>
      <w:r>
        <w:t xml:space="preserve">”</w:t>
      </w:r>
      <w:r>
        <w:t xml:space="preserve"> </w:t>
      </w:r>
      <w:r>
        <w:t xml:space="preserve">[Quarterly report]</w:t>
      </w:r>
    </w:p>
    <w:p>
      <w:pPr>
        <w:numPr>
          <w:ilvl w:val="0"/>
          <w:numId w:val="1019"/>
        </w:numPr>
        <w:pStyle w:val="Compact"/>
      </w:pPr>
      <w:r>
        <w:t xml:space="preserve">HM Treasury. (2024).</w:t>
      </w:r>
      <w:r>
        <w:t xml:space="preserve"> </w:t>
      </w:r>
      <w:r>
        <w:t xml:space="preserve">“</w:t>
      </w:r>
      <w:r>
        <w:t xml:space="preserve">Digital Finance Strategy.</w:t>
      </w:r>
      <w:r>
        <w:t xml:space="preserve">”</w:t>
      </w:r>
      <w:r>
        <w:t xml:space="preserve"> </w:t>
      </w:r>
      <w:r>
        <w:t xml:space="preserve">[Strategic document]</w:t>
      </w:r>
    </w:p>
    <w:p>
      <w:pPr>
        <w:numPr>
          <w:ilvl w:val="0"/>
          <w:numId w:val="1019"/>
        </w:numPr>
        <w:pStyle w:val="Compact"/>
      </w:pPr>
      <w:r>
        <w:t xml:space="preserve">Financial Conduct Authority. (2024).</w:t>
      </w:r>
      <w:r>
        <w:t xml:space="preserve"> </w:t>
      </w:r>
      <w:r>
        <w:t xml:space="preserve">“</w:t>
      </w:r>
      <w:r>
        <w:t xml:space="preserve">Digital Assets and Tax Policy.</w:t>
      </w:r>
      <w:r>
        <w:t xml:space="preserve">”</w:t>
      </w:r>
      <w:r>
        <w:t xml:space="preserve"> </w:t>
      </w:r>
      <w:r>
        <w:t xml:space="preserve">[Regulatory guidance]</w:t>
      </w:r>
    </w:p>
    <w:p>
      <w:pPr>
        <w:numPr>
          <w:ilvl w:val="0"/>
          <w:numId w:val="1019"/>
        </w:numPr>
        <w:pStyle w:val="Compact"/>
      </w:pPr>
      <w:r>
        <w:t xml:space="preserve">Office for Budget Responsibility. (2024).</w:t>
      </w:r>
      <w:r>
        <w:t xml:space="preserve"> </w:t>
      </w:r>
      <w:r>
        <w:t xml:space="preserve">“</w:t>
      </w:r>
      <w:r>
        <w:t xml:space="preserve">Fiscal Sustainability and Digital Assets.</w:t>
      </w:r>
      <w:r>
        <w:t xml:space="preserve">”</w:t>
      </w:r>
      <w:r>
        <w:t xml:space="preserve"> </w:t>
      </w:r>
      <w:r>
        <w:t xml:space="preserve">[Analysis]</w:t>
      </w:r>
    </w:p>
    <w:p>
      <w:pPr>
        <w:numPr>
          <w:ilvl w:val="0"/>
          <w:numId w:val="1019"/>
        </w:numPr>
        <w:pStyle w:val="Compact"/>
      </w:pPr>
      <w:r>
        <w:t xml:space="preserve">US Federal Reserve. (2024).</w:t>
      </w:r>
      <w:r>
        <w:t xml:space="preserve"> </w:t>
      </w:r>
      <w:r>
        <w:t xml:space="preserve">“</w:t>
      </w:r>
      <w:r>
        <w:t xml:space="preserve">Digital Dollar and Stablecoin Framework.</w:t>
      </w:r>
      <w:r>
        <w:t xml:space="preserve">”</w:t>
      </w:r>
      <w:r>
        <w:t xml:space="preserve"> </w:t>
      </w:r>
      <w:r>
        <w:t xml:space="preserve">[Policy paper]</w:t>
      </w:r>
    </w:p>
    <w:p>
      <w:pPr>
        <w:numPr>
          <w:ilvl w:val="0"/>
          <w:numId w:val="1019"/>
        </w:numPr>
        <w:pStyle w:val="Compact"/>
      </w:pPr>
      <w:r>
        <w:t xml:space="preserve">European Central Bank. (2024).</w:t>
      </w:r>
      <w:r>
        <w:t xml:space="preserve"> </w:t>
      </w:r>
      <w:r>
        <w:t xml:space="preserve">“</w:t>
      </w:r>
      <w:r>
        <w:t xml:space="preserve">Digital Euro Strategy.</w:t>
      </w:r>
      <w:r>
        <w:t xml:space="preserve">”</w:t>
      </w:r>
      <w:r>
        <w:t xml:space="preserve"> </w:t>
      </w:r>
      <w:r>
        <w:t xml:space="preserve">[Strategic document]</w:t>
      </w:r>
    </w:p>
    <w:p>
      <w:pPr>
        <w:numPr>
          <w:ilvl w:val="0"/>
          <w:numId w:val="1019"/>
        </w:numPr>
        <w:pStyle w:val="Compact"/>
      </w:pPr>
      <w:r>
        <w:t xml:space="preserve">London Digital Escrow. (2024).</w:t>
      </w:r>
      <w:r>
        <w:t xml:space="preserve"> </w:t>
      </w:r>
      <w:r>
        <w:t xml:space="preserve">“</w:t>
      </w:r>
      <w:r>
        <w:t xml:space="preserve">Agentic USD Series: Articles 1-8.</w:t>
      </w:r>
      <w:r>
        <w:t xml:space="preserve">”</w:t>
      </w:r>
      <w:r>
        <w:t xml:space="preserve"> </w:t>
      </w:r>
      <w:r>
        <w:t xml:space="preserve">[Research series]</w:t>
      </w:r>
    </w:p>
    <w:p>
      <w:pPr>
        <w:numPr>
          <w:ilvl w:val="0"/>
          <w:numId w:val="1019"/>
        </w:numPr>
        <w:pStyle w:val="Compact"/>
      </w:pPr>
      <w:r>
        <w:t xml:space="preserve">International Monetary Fund. (2024).</w:t>
      </w:r>
      <w:r>
        <w:t xml:space="preserve"> </w:t>
      </w:r>
      <w:r>
        <w:t xml:space="preserve">“</w:t>
      </w:r>
      <w:r>
        <w:t xml:space="preserve">Digital Currencies and Financial Stability.</w:t>
      </w:r>
      <w:r>
        <w:t xml:space="preserve">”</w:t>
      </w:r>
      <w:r>
        <w:t xml:space="preserve"> </w:t>
      </w:r>
      <w:r>
        <w:t xml:space="preserve">[Policy paper]</w:t>
      </w:r>
    </w:p>
    <w:p>
      <w:pPr>
        <w:numPr>
          <w:ilvl w:val="0"/>
          <w:numId w:val="1019"/>
        </w:numPr>
        <w:pStyle w:val="Compact"/>
      </w:pPr>
      <w:r>
        <w:t xml:space="preserve">World Bank. (2024).</w:t>
      </w:r>
      <w:r>
        <w:t xml:space="preserve"> </w:t>
      </w:r>
      <w:r>
        <w:t xml:space="preserve">“</w:t>
      </w:r>
      <w:r>
        <w:t xml:space="preserve">Digital Finance and Sovereign Debt.</w:t>
      </w:r>
      <w:r>
        <w:t xml:space="preserve">”</w:t>
      </w:r>
      <w:r>
        <w:t xml:space="preserve"> </w:t>
      </w:r>
      <w:r>
        <w:t xml:space="preserve">[Research paper]</w:t>
      </w:r>
    </w:p>
    <w:p>
      <w:pPr>
        <w:numPr>
          <w:ilvl w:val="0"/>
          <w:numId w:val="1019"/>
        </w:numPr>
        <w:pStyle w:val="Compact"/>
      </w:pPr>
      <w:r>
        <w:t xml:space="preserve">Bank for International Settlements. (2024).</w:t>
      </w:r>
      <w:r>
        <w:t xml:space="preserve"> </w:t>
      </w:r>
      <w:r>
        <w:t xml:space="preserve">“</w:t>
      </w:r>
      <w:r>
        <w:t xml:space="preserve">Central Bank Digital Currencies and Monetary Policy.</w:t>
      </w:r>
      <w:r>
        <w:t xml:space="preserve">”</w:t>
      </w:r>
      <w:r>
        <w:t xml:space="preserve"> </w:t>
      </w:r>
      <w:r>
        <w:t xml:space="preserve">[Technical report]</w:t>
      </w:r>
    </w:p>
    <w:p>
      <w:r>
        <w:pict>
          <v:rect style="width:0;height:1.5pt" o:hralign="center" o:hrstd="t" o:hr="t"/>
        </w:pict>
      </w:r>
    </w:p>
    <w:p>
      <w:pPr>
        <w:pStyle w:val="FirstParagraph"/>
      </w:pPr>
      <w:r>
        <w:rPr>
          <w:bCs/>
          <w:b/>
        </w:rPr>
        <w:t xml:space="preserve">Article Word Count: 2,847 words</w:t>
      </w:r>
      <w:r>
        <w:br/>
      </w:r>
      <w:r>
        <w:rPr>
          <w:bCs/>
          <w:b/>
        </w:rPr>
        <w:t xml:space="preserve">Status: Ready for publication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2026-07-10T16:27:16Z</dcterms:created>
  <dcterms:modified xsi:type="dcterms:W3CDTF">2026-07-10T16:27:16Z</dcterms:modified>
</cp:coreProperties>
</file>

<file path=docProps/custom.xml><?xml version="1.0" encoding="utf-8"?>
<Properties xmlns="http://schemas.openxmlformats.org/officeDocument/2006/custom-properties" xmlns:vt="http://schemas.openxmlformats.org/officeDocument/2006/docPropsVTypes"/>
</file>