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png" ContentType="image/png"/>
  <Override PartName="/word/media/rId47.png" ContentType="image/png"/>
  <Override PartName="/word/media/rId51.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INSTITUTO TECNOLÓGICO SUPERIOR DE CALKINÍ</w:t>
      </w:r>
    </w:p>
    <w:p>
      <w:pPr>
        <w:pStyle w:val="BodyText"/>
      </w:pPr>
      <w:r>
        <w:rPr>
          <w:b/>
          <w:bCs/>
        </w:rPr>
        <w:t xml:space="preserve">SUBDIRECCIÓN ACADÉMICA DE INVESTIGACIÓN E INNOVACIÓN</w:t>
      </w:r>
    </w:p>
    <w:p>
      <w:pPr>
        <w:pStyle w:val="BodyText"/>
      </w:pPr>
      <w:r>
        <w:rPr>
          <w:b/>
          <w:bCs/>
        </w:rPr>
        <w:t xml:space="preserve">MAESTRÍA EN INTELIGENCIA ARTIFICIAL</w:t>
      </w:r>
    </w:p>
    <w:p>
      <w:pPr>
        <w:pStyle w:val="BodyText"/>
      </w:pPr>
      <w:r>
        <w:rPr>
          <w:b/>
          <w:bCs/>
        </w:rPr>
        <w:t xml:space="preserve">KAABLAB: INNOVACIÓN PARA LA PROTECCIÓN DE LAS ABEJAS MAYAS MEDIANTE UN SISTEMA INTELIGENTE DE MONITOREO DE COLMENAS DE MELIPONA BEECHEII BASADO EN IoT E INTELIGENCIA ARTIFICIAL</w:t>
      </w:r>
    </w:p>
    <w:p>
      <w:pPr>
        <w:pStyle w:val="BodyText"/>
      </w:pPr>
      <w:r>
        <w:rPr>
          <w:b/>
          <w:bCs/>
        </w:rPr>
        <w:t xml:space="preserve">TESIS</w:t>
      </w:r>
    </w:p>
    <w:p>
      <w:pPr>
        <w:pStyle w:val="BodyText"/>
      </w:pPr>
      <w:r>
        <w:t xml:space="preserve">Que para obtener el título de:</w:t>
      </w:r>
    </w:p>
    <w:p>
      <w:pPr>
        <w:pStyle w:val="BodyText"/>
      </w:pPr>
      <w:r>
        <w:rPr>
          <w:b/>
          <w:bCs/>
        </w:rPr>
        <w:t xml:space="preserve">MAESTRO EN INTELIGENCIA ARTIFICIAL</w:t>
      </w:r>
    </w:p>
    <w:p>
      <w:pPr>
        <w:pStyle w:val="BodyText"/>
      </w:pPr>
      <w:r>
        <w:t xml:space="preserve">Presenta:</w:t>
      </w:r>
    </w:p>
    <w:p>
      <w:pPr>
        <w:pStyle w:val="BodyText"/>
      </w:pPr>
      <w:r>
        <w:rPr>
          <w:b/>
          <w:bCs/>
        </w:rPr>
        <w:t xml:space="preserve">DAVID ENRIQUE OCHOA DIAZ</w:t>
      </w:r>
    </w:p>
    <w:p>
      <w:pPr>
        <w:pStyle w:val="BodyText"/>
      </w:pPr>
      <w:r>
        <w:t xml:space="preserve">Comité tutorial:</w:t>
      </w:r>
    </w:p>
    <w:p>
      <w:pPr>
        <w:pStyle w:val="BodyText"/>
      </w:pPr>
      <w:r>
        <w:t xml:space="preserve">Director: Dra. Marlene Méndez Moreno</w:t>
      </w:r>
    </w:p>
    <w:p>
      <w:pPr>
        <w:pStyle w:val="BodyText"/>
      </w:pPr>
      <w:r>
        <w:t xml:space="preserve">Codirector: Dr. Rogelio Alfredo Flores Haas</w:t>
      </w:r>
    </w:p>
    <w:p>
      <w:pPr>
        <w:pStyle w:val="BodyText"/>
      </w:pPr>
      <w:r>
        <w:t xml:space="preserve">Asesor interno: Mtro. Daniel Bolivar Moreno</w:t>
      </w:r>
    </w:p>
    <w:p>
      <w:pPr>
        <w:pStyle w:val="BodyText"/>
      </w:pPr>
      <w:r>
        <w:t xml:space="preserve">Asesor externo: Dr. Henry Jesus Loeza Concha - Colegio de Posgraduado Campeche</w:t>
      </w:r>
    </w:p>
    <w:p>
      <w:pPr>
        <w:pStyle w:val="BodyText"/>
      </w:pPr>
      <w:r>
        <w:t xml:space="preserve">Calkiní, Campeche, México — 2026</w:t>
      </w:r>
    </w:p>
    <w:p>
      <w:r>
        <w:br w:type="page"/>
      </w:r>
    </w:p>
    <w:p>
      <w:pPr>
        <w:pStyle w:val="BodyText"/>
      </w:pPr>
      <w:r>
        <w:t xml:space="preserve">[Insertar escaneo oficial: Carta de liberación de tesis (CPI-FO-05-06)]</w:t>
      </w:r>
    </w:p>
    <w:p>
      <w:r>
        <w:br w:type="page"/>
      </w:r>
    </w:p>
    <w:p>
      <w:pPr>
        <w:pStyle w:val="BodyText"/>
      </w:pPr>
      <w:r>
        <w:t xml:space="preserve">[Insertar escaneo oficial: Oficio de autorización del comité tutorial/claustro doctoral]</w:t>
      </w:r>
    </w:p>
    <w:p>
      <w:r>
        <w:br w:type="page"/>
      </w:r>
    </w:p>
    <w:p>
      <w:pPr>
        <w:pStyle w:val="BodyText"/>
      </w:pPr>
      <w:r>
        <w:t xml:space="preserve">[Insertar escaneo oficial: Carta de reconocimiento del director(a) y codirector(a) de tesis]</w:t>
      </w:r>
    </w:p>
    <w:bookmarkStart w:id="9" w:name="declaración-de-propiedad-intelectual"/>
    <w:p>
      <w:pPr>
        <w:pStyle w:val="Heading1"/>
        <w:jc w:val="center"/>
      </w:pPr>
      <w:r>
        <w:t xml:space="preserve">DECLARACIÓN DE PROPIEDAD INTELECTUAL</w:t>
      </w:r>
    </w:p>
    <w:p>
      <w:pPr>
        <w:pStyle w:val="FirstParagraph"/>
      </w:pPr>
      <w:r>
        <w:t xml:space="preserve">Yo, David Enrique Ochoa Diaz, estudiante del programa de Maestría en Inteligencia Artificial del Instituto Tecnológico Superior de Calkiní en el Estado de Campeche (ITESCAM), del Tecnológico Nacional de México (TecNM), declaro que la tesis titulada “KAABLAB: INNOVACIÓN PARA LA PROTECCIÓN DE LAS ABEJAS MAYAS MEDIANTE UN SISTEMA INTELIGENTE DE MONITOREO DE COLMENAS DE</w:t>
      </w:r>
      <w:r>
        <w:t xml:space="preserve"> </w:t>
      </w:r>
      <w:r>
        <w:rPr>
          <w:i/>
          <w:iCs/>
        </w:rPr>
        <w:t xml:space="preserve">MELIPONA BEECHEII</w:t>
      </w:r>
      <w:r>
        <w:t xml:space="preserve"> </w:t>
      </w:r>
      <w:r>
        <w:t xml:space="preserve">BASADO EN IoT E INTELIGENCIA ARTIFICIAL” es una obra original, resultado de mi trabajo de investigación, desarrollada bajo la dirección de la Dra. Marlene Méndez Moreno.</w:t>
      </w:r>
    </w:p>
    <w:p>
      <w:pPr>
        <w:pStyle w:val="BodyText"/>
      </w:pPr>
      <w:r>
        <w:t xml:space="preserve">Declaro que:</w:t>
      </w:r>
    </w:p>
    <w:p>
      <w:pPr>
        <w:numPr>
          <w:ilvl w:val="0"/>
          <w:numId w:val="1001"/>
        </w:numPr>
      </w:pPr>
      <w:r>
        <w:t xml:space="preserve">Las fuentes, ideas, datos, figuras y resultados de terceros utilizados están debidamente citados y referenciados.</w:t>
      </w:r>
    </w:p>
    <w:p>
      <w:pPr>
        <w:numPr>
          <w:ilvl w:val="0"/>
          <w:numId w:val="1001"/>
        </w:numPr>
      </w:pPr>
      <w:r>
        <w:t xml:space="preserve">El trabajo no ha sido presentado total ni parcialmente para obtener otro grado académico en esta u otra institución.</w:t>
      </w:r>
    </w:p>
    <w:p>
      <w:pPr>
        <w:numPr>
          <w:ilvl w:val="0"/>
          <w:numId w:val="1001"/>
        </w:numPr>
      </w:pPr>
      <w:r>
        <w:t xml:space="preserve">Los datos experimentales, el código fuente y los resultados fueron generados por mí en el marco del proyecto KaabLab y son fieles a los obtenidos durante la investigación.</w:t>
      </w:r>
    </w:p>
    <w:p>
      <w:pPr>
        <w:numPr>
          <w:ilvl w:val="0"/>
          <w:numId w:val="1001"/>
        </w:numPr>
      </w:pPr>
      <w:r>
        <w:t xml:space="preserve">La protección de la propiedad intelectual (derechos de autor y propiedad industrial) se sujeta a la Ley de Ciencia y Tecnología, a la normativa aplicable vigente, a los Lineamientos para la Operación de los Estudios de Posgrado del TecNM (2023) y a las directrices de la Secretaría de Extensión y Vinculación del TecNM. Los trámites de propiedad industrial (patentes, modelos de utilidad, diseños industriales) corresponden al IMPI y los de derechos de autor, al INDAUTOR.</w:t>
      </w:r>
    </w:p>
    <w:p>
      <w:pPr>
        <w:numPr>
          <w:ilvl w:val="0"/>
          <w:numId w:val="1001"/>
        </w:numPr>
      </w:pPr>
      <w:r>
        <w:t xml:space="preserve">Los artículos, libros o memorias derivados de este trabajo se regirán por el apartado 6.1 de los Lineamientos: si los publica una editorial comercial, los derechos se ceden a ésta; si los publica el TecNM, la titularidad corresponde en su totalidad al TecNM.</w:t>
      </w:r>
    </w:p>
    <w:p>
      <w:pPr>
        <w:numPr>
          <w:ilvl w:val="0"/>
          <w:numId w:val="1001"/>
        </w:numPr>
      </w:pPr>
      <w:r>
        <w:t xml:space="preserve">Autorizo el depósito de la tesis en el repositorio institucional de acceso abierto, en los términos de la Ley Federal del Derecho de Autor, salvo que exista acuerdo de confidencialidad o proceso de registro de propiedad intelectual en curso. Condición de acceso:</w:t>
      </w:r>
    </w:p>
    <w:p>
      <w:pPr>
        <w:numPr>
          <w:ilvl w:val="0"/>
          <w:numId w:val="1000"/>
        </w:numPr>
      </w:pPr>
      <w:r>
        <w:t xml:space="preserve">☐ Sin restricción ☐ Restringido por confidencialidad o registro de propiedad intelectual</w:t>
      </w:r>
    </w:p>
    <w:p>
      <w:pPr>
        <w:numPr>
          <w:ilvl w:val="0"/>
          <w:numId w:val="1001"/>
        </w:numPr>
      </w:pPr>
      <w:r>
        <w:t xml:space="preserve">Asumo la responsabilidad por cualquier reclamación de terceros derivada de la violación de derechos de propiedad intelectual relacionada con este trabajo.</w:t>
      </w:r>
    </w:p>
    <w:p>
      <w:pPr>
        <w:pStyle w:val="FirstParagraph"/>
      </w:pPr>
      <w:r>
        <w:t xml:space="preserve">Calkiní, Campeche, a 16 de octubre de 2026</w:t>
      </w:r>
    </w:p>
    <w:p>
      <w:pPr>
        <w:pStyle w:val="BodyText"/>
      </w:pPr>
      <w:r>
        <w:t xml:space="preserve">David Enrique Ochoa Diaz</w:t>
      </w:r>
    </w:p>
    <w:p>
      <w:pPr>
        <w:pStyle w:val="BodyText"/>
      </w:pPr>
      <w:r>
        <w:t xml:space="preserve">10383</w:t>
      </w:r>
    </w:p>
    <w:bookmarkEnd w:id="9"/>
    <w:bookmarkStart w:id="10" w:name="carta-de-cesión-de-derechos"/>
    <w:p>
      <w:pPr>
        <w:pStyle w:val="Heading1"/>
        <w:jc w:val="center"/>
      </w:pPr>
      <w:r>
        <w:t xml:space="preserve">CARTA DE CESIÓN DE DERECHOS</w:t>
      </w:r>
    </w:p>
    <w:p>
      <w:pPr>
        <w:pStyle w:val="FirstParagraph"/>
      </w:pPr>
      <w:r>
        <w:t xml:space="preserve">Calkiní, Campeche, a 16 de octubre de 2026</w:t>
      </w:r>
    </w:p>
    <w:p>
      <w:pPr>
        <w:pStyle w:val="BodyText"/>
      </w:pPr>
      <w:r>
        <w:t xml:space="preserve">Tecnológico Nacional de México</w:t>
      </w:r>
    </w:p>
    <w:p>
      <w:pPr>
        <w:pStyle w:val="BodyText"/>
      </w:pPr>
      <w:r>
        <w:t xml:space="preserve">Instituto Tecnológico Superior de Calkiní en el Estado de Campeche (ITESCAM)</w:t>
      </w:r>
    </w:p>
    <w:p>
      <w:pPr>
        <w:pStyle w:val="BodyText"/>
      </w:pPr>
      <w:r>
        <w:t xml:space="preserve">División de Estudios de Posgrado e Investigación (DEPI)</w:t>
      </w:r>
    </w:p>
    <w:p>
      <w:pPr>
        <w:pStyle w:val="BodyText"/>
      </w:pPr>
      <w:r>
        <w:t xml:space="preserve">P R E S E N T E</w:t>
      </w:r>
    </w:p>
    <w:p>
      <w:pPr>
        <w:pStyle w:val="BodyText"/>
      </w:pPr>
      <w:r>
        <w:t xml:space="preserve">Yo, David Enrique Ochoa Diaz, con matrícula 10383, estudiante del programa de Maestría en Inteligencia Artificial, autor de la tesis titulada “KAABLAB: INNOVACIÓN PARA LA PROTECCIÓN DE LAS ABEJAS MAYAS MEDIANTE UN SISTEMA INTELIGENTE DE MONITOREO DE COLMENAS DE</w:t>
      </w:r>
      <w:r>
        <w:t xml:space="preserve"> </w:t>
      </w:r>
      <w:r>
        <w:rPr>
          <w:i/>
          <w:iCs/>
        </w:rPr>
        <w:t xml:space="preserve">MELIPONA BEECHEII</w:t>
      </w:r>
      <w:r>
        <w:t xml:space="preserve"> </w:t>
      </w:r>
      <w:r>
        <w:t xml:space="preserve">BASADO EN IoT E INTELIGENCIA ARTIFICIAL”, desarrollada bajo la dirección de la Dra. Marlene Méndez Moreno en el marco del proyecto KaabLab, con fundamento en los Lineamientos para la Operación de los Estudios de Posgrado del TecNM (2023), secciones 3.9 y 6, manifiesto lo siguiente:</w:t>
      </w:r>
    </w:p>
    <w:p>
      <w:pPr>
        <w:numPr>
          <w:ilvl w:val="0"/>
          <w:numId w:val="1002"/>
        </w:numPr>
      </w:pPr>
      <w:r>
        <w:t xml:space="preserve">Soy autor de la tesis y de los productos académicos derivados de ella, y cuento con la facultad de ceder los derechos que aquí se indican.</w:t>
      </w:r>
    </w:p>
    <w:p>
      <w:pPr>
        <w:numPr>
          <w:ilvl w:val="0"/>
          <w:numId w:val="1002"/>
        </w:numPr>
      </w:pPr>
      <w:r>
        <w:t xml:space="preserve">Cedo al Tecnológico Nacional de México los derechos patrimoniales de la tesis y de los productos académicos derivados susceptibles de protección (registro de software, patente, modelo de utilidad, diseño industrial u otro), para que el TecNM realice los trámites de protección ante el INDAUTOR o el IMPI, según corresponda.</w:t>
      </w:r>
    </w:p>
    <w:p>
      <w:pPr>
        <w:numPr>
          <w:ilvl w:val="0"/>
          <w:numId w:val="1002"/>
        </w:numPr>
      </w:pPr>
      <w:r>
        <w:t xml:space="preserve">Autorizo el depósito, la consulta y la difusión de la tesis en el Repositorio Institucional, en acceso abierto conforme a la Ley Federal del Derecho de Autor. Condición de acceso:</w:t>
      </w:r>
    </w:p>
    <w:p>
      <w:pPr>
        <w:numPr>
          <w:ilvl w:val="0"/>
          <w:numId w:val="1000"/>
        </w:numPr>
      </w:pPr>
      <w:r>
        <w:t xml:space="preserve">☐ Sin restricción ☐ Restringido por acuerdo de confidencialidad o proceso de registro de propiedad intelectual en curso</w:t>
      </w:r>
    </w:p>
    <w:p>
      <w:pPr>
        <w:numPr>
          <w:ilvl w:val="0"/>
          <w:numId w:val="1002"/>
        </w:numPr>
      </w:pPr>
      <w:r>
        <w:t xml:space="preserve">Los derechos morales de la obra permanecen conmigo. Se reconocerá mi autoría, junto con la de la directora de tesis y, en su caso, la de los miembros del Comité Tutorial según su contribución, en los productos académicos derivados.</w:t>
      </w:r>
    </w:p>
    <w:p>
      <w:pPr>
        <w:numPr>
          <w:ilvl w:val="0"/>
          <w:numId w:val="1002"/>
        </w:numPr>
      </w:pPr>
      <w:r>
        <w:t xml:space="preserve">Cualquier uso comercial de los productos generados requerirá un convenio entre el TecNM y las partes interesadas, revisado por la dirección correspondiente.</w:t>
      </w:r>
    </w:p>
    <w:p>
      <w:pPr>
        <w:numPr>
          <w:ilvl w:val="0"/>
          <w:numId w:val="1002"/>
        </w:numPr>
      </w:pPr>
      <w:r>
        <w:t xml:space="preserve">Los derechos de propiedad industrial de los productos derivados de proyectos financiados por empresas, organismos o instituciones externas se regirán por los convenios específicos firmados al respecto.</w:t>
      </w:r>
    </w:p>
    <w:p>
      <w:pPr>
        <w:numPr>
          <w:ilvl w:val="0"/>
          <w:numId w:val="1002"/>
        </w:numPr>
      </w:pPr>
      <w:r>
        <w:t xml:space="preserve">Esta cesión se firma de manera libre y voluntaria, y se incluirá en el archivo electrónico de la tesis.</w:t>
      </w:r>
    </w:p>
    <w:p>
      <w:pPr>
        <w:pStyle w:val="FirstParagraph"/>
      </w:pPr>
      <w:r>
        <w:t xml:space="preserve">ATENTAMENTE</w:t>
      </w:r>
    </w:p>
    <w:p>
      <w:pPr>
        <w:pStyle w:val="BodyText"/>
      </w:pPr>
      <w:r>
        <w:t xml:space="preserve">David Enrique Ochoa Diaz</w:t>
      </w:r>
    </w:p>
    <w:p>
      <w:pPr>
        <w:pStyle w:val="BodyText"/>
      </w:pPr>
      <w:r>
        <w:t xml:space="preserve">Firma autógrafa</w:t>
      </w:r>
    </w:p>
    <w:p>
      <w:pPr>
        <w:pStyle w:val="BodyText"/>
      </w:pPr>
      <w:r>
        <w:t xml:space="preserve">10383</w:t>
      </w:r>
    </w:p>
    <w:p>
      <w:r>
        <w:br w:type="page"/>
      </w:r>
    </w:p>
    <w:p>
      <w:pPr>
        <w:pStyle w:val="BodyText"/>
      </w:pPr>
      <w:r>
        <w:t xml:space="preserve">[Insertar escaneo oficial: Oficio de liberación de análisis anti-plagio]</w:t>
      </w:r>
    </w:p>
    <w:bookmarkEnd w:id="10"/>
    <w:bookmarkStart w:id="11" w:name="agradecimientos"/>
    <w:p>
      <w:pPr>
        <w:pStyle w:val="Heading1"/>
        <w:jc w:val="center"/>
      </w:pPr>
      <w:r>
        <w:t xml:space="preserve">AGRADECIMIENTOS</w:t>
      </w:r>
    </w:p>
    <w:p>
      <w:pPr>
        <w:pStyle w:val="FirstParagraph"/>
      </w:pPr>
      <w:r>
        <w:t xml:space="preserve">[Pendiente]</w:t>
      </w:r>
    </w:p>
    <w:bookmarkEnd w:id="11"/>
    <w:bookmarkStart w:id="12" w:name="índice"/>
    <w:p>
      <w:pPr>
        <w:sectPr>
          <w:footnotePr>
            <w:numRestart w:val="eachSect"/>
          </w:footnotePr>
          <w:pgSz w:h="15840" w:w="12240"/>
          <w:pgMar w:bottom="1418" w:footer="709" w:gutter="0" w:header="709" w:left="1418" w:right="1418" w:top="1418"/>
        </w:sectPr>
      </w:pPr>
    </w:p>
    <w:p>
      <w:pPr>
        <w:pStyle w:val="Heading1"/>
        <w:pageBreakBefore w:val="0"/>
        <w:jc w:val="center"/>
      </w:pPr>
      <w:r>
        <w:t xml:space="preserve">ÍNDICE</w:t>
      </w:r>
    </w:p>
    <w:p>
      <w:r>
        <w:fldChar w:fldCharType="begin" w:dirty="true"/>
      </w:r>
      <w:r>
        <w:instrText xml:space="preserve"> TOC \o "1-3" \h \z \u </w:instrText>
      </w:r>
      <w:r>
        <w:fldChar w:fldCharType="separate"/>
      </w:r>
      <w:r>
        <w:t>[Actualizar el índice en Word: clic derecho → Actualizar campo]</w:t>
      </w:r>
      <w:r>
        <w:fldChar w:fldCharType="end"/>
      </w:r>
    </w:p>
    <w:bookmarkEnd w:id="12"/>
    <w:bookmarkStart w:id="13" w:name="abreviaturas"/>
    <w:p>
      <w:pPr>
        <w:pStyle w:val="Heading1"/>
        <w:jc w:val="center"/>
      </w:pPr>
      <w:r>
        <w:t xml:space="preserve">ABREVIATURAS</w:t>
      </w:r>
    </w:p>
    <w:p>
      <w:pPr>
        <w:pStyle w:val="Compact"/>
        <w:numPr>
          <w:ilvl w:val="0"/>
          <w:numId w:val="1003"/>
        </w:numPr>
      </w:pPr>
      <w:r>
        <w:rPr>
          <w:b/>
          <w:bCs/>
        </w:rPr>
        <w:t xml:space="preserve">AUC-ROC</w:t>
      </w:r>
      <w:r>
        <w:t xml:space="preserve"> </w:t>
      </w:r>
      <w:r>
        <w:t xml:space="preserve">— Área Bajo la Curva ROC (</w:t>
      </w:r>
      <w:r>
        <w:rPr>
          <w:i/>
          <w:iCs/>
        </w:rPr>
        <w:t xml:space="preserve">Area Under the Curve – Receiver Operating Characteristic</w:t>
      </w:r>
      <w:r>
        <w:t xml:space="preserve">).</w:t>
      </w:r>
    </w:p>
    <w:p>
      <w:pPr>
        <w:pStyle w:val="Compact"/>
        <w:numPr>
          <w:ilvl w:val="0"/>
          <w:numId w:val="1003"/>
        </w:numPr>
      </w:pPr>
      <w:r>
        <w:rPr>
          <w:b/>
          <w:bCs/>
        </w:rPr>
        <w:t xml:space="preserve">CC BY 4.0</w:t>
      </w:r>
      <w:r>
        <w:t xml:space="preserve"> </w:t>
      </w:r>
      <w:r>
        <w:t xml:space="preserve">— Licencia Creative Commons Atribución 4.0 (publicación del dataset en Zenodo).</w:t>
      </w:r>
    </w:p>
    <w:p>
      <w:pPr>
        <w:pStyle w:val="Compact"/>
        <w:numPr>
          <w:ilvl w:val="0"/>
          <w:numId w:val="1003"/>
        </w:numPr>
      </w:pPr>
      <w:r>
        <w:rPr>
          <w:b/>
          <w:bCs/>
        </w:rPr>
        <w:t xml:space="preserve">CNN</w:t>
      </w:r>
      <w:r>
        <w:t xml:space="preserve"> </w:t>
      </w:r>
      <w:r>
        <w:t xml:space="preserve">— Red Neuronal Convolucional (</w:t>
      </w:r>
      <w:r>
        <w:rPr>
          <w:i/>
          <w:iCs/>
        </w:rPr>
        <w:t xml:space="preserve">Convolutional Neural Network</w:t>
      </w:r>
      <w:r>
        <w:t xml:space="preserve">).</w:t>
      </w:r>
    </w:p>
    <w:p>
      <w:pPr>
        <w:pStyle w:val="Compact"/>
        <w:numPr>
          <w:ilvl w:val="0"/>
          <w:numId w:val="1003"/>
        </w:numPr>
      </w:pPr>
      <w:r>
        <w:rPr>
          <w:b/>
          <w:bCs/>
        </w:rPr>
        <w:t xml:space="preserve">CV</w:t>
      </w:r>
      <w:r>
        <w:t xml:space="preserve"> </w:t>
      </w:r>
      <w:r>
        <w:t xml:space="preserve">— según el contexto: Coeficiente de Variación (cronograma, arquitectura sensorial) o Validación Cruzada (</w:t>
      </w:r>
      <w:r>
        <w:rPr>
          <w:i/>
          <w:iCs/>
        </w:rPr>
        <w:t xml:space="preserve">Cross-Validation</w:t>
      </w:r>
      <w:r>
        <w:t xml:space="preserve">, protocolo de evaluación de los modelos de IA).</w:t>
      </w:r>
    </w:p>
    <w:p>
      <w:pPr>
        <w:pStyle w:val="Compact"/>
        <w:numPr>
          <w:ilvl w:val="0"/>
          <w:numId w:val="1003"/>
        </w:numPr>
      </w:pPr>
      <w:r>
        <w:rPr>
          <w:b/>
          <w:bCs/>
        </w:rPr>
        <w:t xml:space="preserve">ESP32</w:t>
      </w:r>
      <w:r>
        <w:t xml:space="preserve"> </w:t>
      </w:r>
      <w:r>
        <w:t xml:space="preserve">— Microcontrolador Espressif ESP32 DevKit V1, nodo de borde (edge device) del sistema.</w:t>
      </w:r>
    </w:p>
    <w:p>
      <w:pPr>
        <w:pStyle w:val="Compact"/>
        <w:numPr>
          <w:ilvl w:val="0"/>
          <w:numId w:val="1003"/>
        </w:numPr>
      </w:pPr>
      <w:r>
        <w:rPr>
          <w:b/>
          <w:bCs/>
        </w:rPr>
        <w:t xml:space="preserve">F1</w:t>
      </w:r>
      <w:r>
        <w:t xml:space="preserve"> </w:t>
      </w:r>
      <w:r>
        <w:t xml:space="preserve">— F1-score, media armónica entre precisión y exhaustividad (</w:t>
      </w:r>
      <w:r>
        <w:rPr>
          <w:i/>
          <w:iCs/>
        </w:rPr>
        <w:t xml:space="preserve">recall</w:t>
      </w:r>
      <w:r>
        <w:t xml:space="preserve">).</w:t>
      </w:r>
    </w:p>
    <w:p>
      <w:pPr>
        <w:pStyle w:val="Compact"/>
        <w:numPr>
          <w:ilvl w:val="0"/>
          <w:numId w:val="1003"/>
        </w:numPr>
      </w:pPr>
      <w:r>
        <w:rPr>
          <w:b/>
          <w:bCs/>
        </w:rPr>
        <w:t xml:space="preserve">GPIO</w:t>
      </w:r>
      <w:r>
        <w:t xml:space="preserve"> </w:t>
      </w:r>
      <w:r>
        <w:t xml:space="preserve">— Entrada/Salida de Propósito General (</w:t>
      </w:r>
      <w:r>
        <w:rPr>
          <w:i/>
          <w:iCs/>
        </w:rPr>
        <w:t xml:space="preserve">General Purpose Input/Output</w:t>
      </w:r>
      <w:r>
        <w:t xml:space="preserve">).</w:t>
      </w:r>
    </w:p>
    <w:p>
      <w:pPr>
        <w:pStyle w:val="Compact"/>
        <w:numPr>
          <w:ilvl w:val="0"/>
          <w:numId w:val="1003"/>
        </w:numPr>
      </w:pPr>
      <w:r>
        <w:rPr>
          <w:b/>
          <w:bCs/>
        </w:rPr>
        <w:t xml:space="preserve">HA</w:t>
      </w:r>
      <w:r>
        <w:t xml:space="preserve"> </w:t>
      </w:r>
      <w:r>
        <w:t xml:space="preserve">— Humedad Absoluta.</w:t>
      </w:r>
    </w:p>
    <w:p>
      <w:pPr>
        <w:pStyle w:val="Compact"/>
        <w:numPr>
          <w:ilvl w:val="0"/>
          <w:numId w:val="1003"/>
        </w:numPr>
      </w:pPr>
      <w:r>
        <w:rPr>
          <w:b/>
          <w:bCs/>
        </w:rPr>
        <w:t xml:space="preserve">HR</w:t>
      </w:r>
      <w:r>
        <w:t xml:space="preserve"> </w:t>
      </w:r>
      <w:r>
        <w:t xml:space="preserve">— Humedad Relativa.</w:t>
      </w:r>
    </w:p>
    <w:p>
      <w:pPr>
        <w:pStyle w:val="Compact"/>
        <w:numPr>
          <w:ilvl w:val="0"/>
          <w:numId w:val="1003"/>
        </w:numPr>
      </w:pPr>
      <w:r>
        <w:rPr>
          <w:b/>
          <w:bCs/>
        </w:rPr>
        <w:t xml:space="preserve">I²C</w:t>
      </w:r>
      <w:r>
        <w:t xml:space="preserve"> </w:t>
      </w:r>
      <w:r>
        <w:t xml:space="preserve">— Circuito Inter-Integrado (</w:t>
      </w:r>
      <w:r>
        <w:rPr>
          <w:i/>
          <w:iCs/>
        </w:rPr>
        <w:t xml:space="preserve">Inter-Integrated Circuit</w:t>
      </w:r>
      <w:r>
        <w:t xml:space="preserve">), bus de comunicación del SHT31 y el MPU6050.</w:t>
      </w:r>
    </w:p>
    <w:p>
      <w:pPr>
        <w:pStyle w:val="Compact"/>
        <w:numPr>
          <w:ilvl w:val="0"/>
          <w:numId w:val="1003"/>
        </w:numPr>
      </w:pPr>
      <w:r>
        <w:rPr>
          <w:b/>
          <w:bCs/>
        </w:rPr>
        <w:t xml:space="preserve">I²S</w:t>
      </w:r>
      <w:r>
        <w:t xml:space="preserve"> </w:t>
      </w:r>
      <w:r>
        <w:t xml:space="preserve">— Sonido Inter-CI (</w:t>
      </w:r>
      <w:r>
        <w:rPr>
          <w:i/>
          <w:iCs/>
        </w:rPr>
        <w:t xml:space="preserve">Inter-IC Sound</w:t>
      </w:r>
      <w:r>
        <w:t xml:space="preserve">), bus de comunicación digital del INMP441.</w:t>
      </w:r>
    </w:p>
    <w:p>
      <w:pPr>
        <w:pStyle w:val="Compact"/>
        <w:numPr>
          <w:ilvl w:val="0"/>
          <w:numId w:val="1003"/>
        </w:numPr>
      </w:pPr>
      <w:r>
        <w:rPr>
          <w:b/>
          <w:bCs/>
        </w:rPr>
        <w:t xml:space="preserve">IA</w:t>
      </w:r>
      <w:r>
        <w:t xml:space="preserve"> </w:t>
      </w:r>
      <w:r>
        <w:t xml:space="preserve">— Inteligencia Artificial.</w:t>
      </w:r>
    </w:p>
    <w:p>
      <w:pPr>
        <w:pStyle w:val="Compact"/>
        <w:numPr>
          <w:ilvl w:val="0"/>
          <w:numId w:val="1003"/>
        </w:numPr>
      </w:pPr>
      <w:r>
        <w:rPr>
          <w:b/>
          <w:bCs/>
        </w:rPr>
        <w:t xml:space="preserve">IoT</w:t>
      </w:r>
      <w:r>
        <w:t xml:space="preserve"> </w:t>
      </w:r>
      <w:r>
        <w:t xml:space="preserve">— Internet de las Cosas (</w:t>
      </w:r>
      <w:r>
        <w:rPr>
          <w:i/>
          <w:iCs/>
        </w:rPr>
        <w:t xml:space="preserve">Internet of Things</w:t>
      </w:r>
      <w:r>
        <w:t xml:space="preserve">).</w:t>
      </w:r>
    </w:p>
    <w:p>
      <w:pPr>
        <w:pStyle w:val="Compact"/>
        <w:numPr>
          <w:ilvl w:val="0"/>
          <w:numId w:val="1003"/>
        </w:numPr>
      </w:pPr>
      <w:r>
        <w:rPr>
          <w:b/>
          <w:bCs/>
        </w:rPr>
        <w:t xml:space="preserve">IP65</w:t>
      </w:r>
      <w:r>
        <w:t xml:space="preserve"> </w:t>
      </w:r>
      <w:r>
        <w:t xml:space="preserve">— Grado de protección IEC 60529 (6 = hermético al polvo, 5 = protegido contra chorros de agua), caja de la electrónica de campo.</w:t>
      </w:r>
    </w:p>
    <w:p>
      <w:pPr>
        <w:pStyle w:val="Compact"/>
        <w:numPr>
          <w:ilvl w:val="0"/>
          <w:numId w:val="1003"/>
        </w:numPr>
      </w:pPr>
      <w:r>
        <w:rPr>
          <w:b/>
          <w:bCs/>
        </w:rPr>
        <w:t xml:space="preserve">JSON</w:t>
      </w:r>
      <w:r>
        <w:t xml:space="preserve"> </w:t>
      </w:r>
      <w:r>
        <w:t xml:space="preserve">— Notación de Objetos de JavaScript (</w:t>
      </w:r>
      <w:r>
        <w:rPr>
          <w:i/>
          <w:iCs/>
        </w:rPr>
        <w:t xml:space="preserve">JavaScript Object Notation</w:t>
      </w:r>
      <w:r>
        <w:t xml:space="preserve">), formato de los registros de alerta.</w:t>
      </w:r>
    </w:p>
    <w:p>
      <w:pPr>
        <w:pStyle w:val="Compact"/>
        <w:numPr>
          <w:ilvl w:val="0"/>
          <w:numId w:val="1003"/>
        </w:numPr>
      </w:pPr>
      <w:r>
        <w:rPr>
          <w:b/>
          <w:bCs/>
        </w:rPr>
        <w:t xml:space="preserve">KNN</w:t>
      </w:r>
      <w:r>
        <w:t xml:space="preserve"> </w:t>
      </w:r>
      <w:r>
        <w:t xml:space="preserve">— K Vecinos Más Cercanos (</w:t>
      </w:r>
      <w:r>
        <w:rPr>
          <w:i/>
          <w:iCs/>
        </w:rPr>
        <w:t xml:space="preserve">K-Nearest Neighbors</w:t>
      </w:r>
      <w:r>
        <w:t xml:space="preserve">).</w:t>
      </w:r>
    </w:p>
    <w:p>
      <w:pPr>
        <w:pStyle w:val="Compact"/>
        <w:numPr>
          <w:ilvl w:val="0"/>
          <w:numId w:val="1003"/>
        </w:numPr>
      </w:pPr>
      <w:r>
        <w:rPr>
          <w:b/>
          <w:bCs/>
        </w:rPr>
        <w:t xml:space="preserve">LED</w:t>
      </w:r>
      <w:r>
        <w:t xml:space="preserve"> </w:t>
      </w:r>
      <w:r>
        <w:t xml:space="preserve">— Diodo Emisor de Luz (</w:t>
      </w:r>
      <w:r>
        <w:rPr>
          <w:i/>
          <w:iCs/>
        </w:rPr>
        <w:t xml:space="preserve">Light-Emitting Diode</w:t>
      </w:r>
      <w:r>
        <w:t xml:space="preserve">).</w:t>
      </w:r>
    </w:p>
    <w:p>
      <w:pPr>
        <w:pStyle w:val="Compact"/>
        <w:numPr>
          <w:ilvl w:val="0"/>
          <w:numId w:val="1003"/>
        </w:numPr>
      </w:pPr>
      <w:r>
        <w:rPr>
          <w:b/>
          <w:bCs/>
        </w:rPr>
        <w:t xml:space="preserve">LiPo</w:t>
      </w:r>
      <w:r>
        <w:t xml:space="preserve"> </w:t>
      </w:r>
      <w:r>
        <w:t xml:space="preserve">— Batería de Polímero de Litio (</w:t>
      </w:r>
      <w:r>
        <w:rPr>
          <w:i/>
          <w:iCs/>
        </w:rPr>
        <w:t xml:space="preserve">Lithium Polymer</w:t>
      </w:r>
      <w:r>
        <w:t xml:space="preserve">).</w:t>
      </w:r>
    </w:p>
    <w:p>
      <w:pPr>
        <w:pStyle w:val="Compact"/>
        <w:numPr>
          <w:ilvl w:val="0"/>
          <w:numId w:val="1003"/>
        </w:numPr>
      </w:pPr>
      <w:r>
        <w:rPr>
          <w:b/>
          <w:bCs/>
        </w:rPr>
        <w:t xml:space="preserve">MEMS</w:t>
      </w:r>
      <w:r>
        <w:t xml:space="preserve"> </w:t>
      </w:r>
      <w:r>
        <w:t xml:space="preserve">— Sistema Micro-Electro-Mecánico (</w:t>
      </w:r>
      <w:r>
        <w:rPr>
          <w:i/>
          <w:iCs/>
        </w:rPr>
        <w:t xml:space="preserve">Micro-Electro-Mechanical System</w:t>
      </w:r>
      <w:r>
        <w:t xml:space="preserve">).</w:t>
      </w:r>
    </w:p>
    <w:p>
      <w:pPr>
        <w:pStyle w:val="Compact"/>
        <w:numPr>
          <w:ilvl w:val="0"/>
          <w:numId w:val="1003"/>
        </w:numPr>
      </w:pPr>
      <w:r>
        <w:rPr>
          <w:b/>
          <w:bCs/>
        </w:rPr>
        <w:t xml:space="preserve">MFCC</w:t>
      </w:r>
      <w:r>
        <w:t xml:space="preserve"> </w:t>
      </w:r>
      <w:r>
        <w:t xml:space="preserve">— Coeficientes Cepstrales en las Frecuencias de Mel (</w:t>
      </w:r>
      <w:r>
        <w:rPr>
          <w:i/>
          <w:iCs/>
        </w:rPr>
        <w:t xml:space="preserve">Mel-Frequency Cepstral Coefficients</w:t>
      </w:r>
      <w:r>
        <w:t xml:space="preserve">).</w:t>
      </w:r>
    </w:p>
    <w:p>
      <w:pPr>
        <w:pStyle w:val="Compact"/>
        <w:numPr>
          <w:ilvl w:val="0"/>
          <w:numId w:val="1003"/>
        </w:numPr>
      </w:pPr>
      <w:r>
        <w:rPr>
          <w:b/>
          <w:bCs/>
        </w:rPr>
        <w:t xml:space="preserve">pp</w:t>
      </w:r>
      <w:r>
        <w:t xml:space="preserve"> </w:t>
      </w:r>
      <w:r>
        <w:t xml:space="preserve">— Puntos porcentuales.</w:t>
      </w:r>
    </w:p>
    <w:p>
      <w:pPr>
        <w:pStyle w:val="Compact"/>
        <w:numPr>
          <w:ilvl w:val="0"/>
          <w:numId w:val="1003"/>
        </w:numPr>
      </w:pPr>
      <w:r>
        <w:rPr>
          <w:b/>
          <w:bCs/>
        </w:rPr>
        <w:t xml:space="preserve">RF</w:t>
      </w:r>
      <w:r>
        <w:t xml:space="preserve"> </w:t>
      </w:r>
      <w:r>
        <w:t xml:space="preserve">— Bosque Aleatorio (</w:t>
      </w:r>
      <w:r>
        <w:rPr>
          <w:i/>
          <w:iCs/>
        </w:rPr>
        <w:t xml:space="preserve">Random Forest</w:t>
      </w:r>
      <w:r>
        <w:t xml:space="preserve">).</w:t>
      </w:r>
    </w:p>
    <w:p>
      <w:pPr>
        <w:pStyle w:val="Compact"/>
        <w:numPr>
          <w:ilvl w:val="0"/>
          <w:numId w:val="1003"/>
        </w:numPr>
      </w:pPr>
      <w:r>
        <w:rPr>
          <w:b/>
          <w:bCs/>
        </w:rPr>
        <w:t xml:space="preserve">RMS</w:t>
      </w:r>
      <w:r>
        <w:t xml:space="preserve"> </w:t>
      </w:r>
      <w:r>
        <w:t xml:space="preserve">— Valor Eficaz (</w:t>
      </w:r>
      <w:r>
        <w:rPr>
          <w:i/>
          <w:iCs/>
        </w:rPr>
        <w:t xml:space="preserve">Root Mean Square</w:t>
      </w:r>
      <w:r>
        <w:t xml:space="preserve">).</w:t>
      </w:r>
    </w:p>
    <w:p>
      <w:pPr>
        <w:pStyle w:val="Compact"/>
        <w:numPr>
          <w:ilvl w:val="0"/>
          <w:numId w:val="1003"/>
        </w:numPr>
      </w:pPr>
      <w:r>
        <w:rPr>
          <w:b/>
          <w:bCs/>
        </w:rPr>
        <w:t xml:space="preserve">SMOTE</w:t>
      </w:r>
      <w:r>
        <w:t xml:space="preserve"> </w:t>
      </w:r>
      <w:r>
        <w:t xml:space="preserve">— Técnica de Sobremuestreo Sintético de la Clase Minoritaria (</w:t>
      </w:r>
      <w:r>
        <w:rPr>
          <w:i/>
          <w:iCs/>
        </w:rPr>
        <w:t xml:space="preserve">Synthetic Minority Oversampling Technique</w:t>
      </w:r>
      <w:r>
        <w:t xml:space="preserve">).</w:t>
      </w:r>
    </w:p>
    <w:p>
      <w:pPr>
        <w:pStyle w:val="Compact"/>
        <w:numPr>
          <w:ilvl w:val="0"/>
          <w:numId w:val="1003"/>
        </w:numPr>
      </w:pPr>
      <w:r>
        <w:rPr>
          <w:b/>
          <w:bCs/>
        </w:rPr>
        <w:t xml:space="preserve">SVM</w:t>
      </w:r>
      <w:r>
        <w:t xml:space="preserve"> </w:t>
      </w:r>
      <w:r>
        <w:t xml:space="preserve">— Máquina de Vectores de Soporte (</w:t>
      </w:r>
      <w:r>
        <w:rPr>
          <w:i/>
          <w:iCs/>
        </w:rPr>
        <w:t xml:space="preserve">Support Vector Machine</w:t>
      </w:r>
      <w:r>
        <w:t xml:space="preserve">).</w:t>
      </w:r>
    </w:p>
    <w:p>
      <w:pPr>
        <w:pStyle w:val="Compact"/>
        <w:numPr>
          <w:ilvl w:val="0"/>
          <w:numId w:val="1003"/>
        </w:numPr>
      </w:pPr>
      <w:r>
        <w:rPr>
          <w:b/>
          <w:bCs/>
        </w:rPr>
        <w:t xml:space="preserve">XGBoost</w:t>
      </w:r>
      <w:r>
        <w:t xml:space="preserve"> </w:t>
      </w:r>
      <w:r>
        <w:t xml:space="preserve">— Extreme Gradient Boosting.</w:t>
      </w:r>
    </w:p>
    <w:p>
      <w:pPr>
        <w:pStyle w:val="Compact"/>
        <w:numPr>
          <w:ilvl w:val="0"/>
          <w:numId w:val="1003"/>
        </w:numPr>
      </w:pPr>
      <w:r>
        <w:rPr>
          <w:b/>
          <w:bCs/>
        </w:rPr>
        <w:t xml:space="preserve">ZCR</w:t>
      </w:r>
      <w:r>
        <w:t xml:space="preserve"> </w:t>
      </w:r>
      <w:r>
        <w:t xml:space="preserve">— Tasa de Cruces por Cero (</w:t>
      </w:r>
      <w:r>
        <w:rPr>
          <w:i/>
          <w:iCs/>
        </w:rPr>
        <w:t xml:space="preserve">Zero-Crossing Rate</w:t>
      </w:r>
      <w:r>
        <w:t xml:space="preserve">).</w:t>
      </w:r>
    </w:p>
    <w:bookmarkEnd w:id="13"/>
    <w:bookmarkStart w:id="14" w:name="índice-de-figuras"/>
    <w:p>
      <w:pPr>
        <w:pStyle w:val="Heading1"/>
        <w:jc w:val="center"/>
      </w:pPr>
      <w:r>
        <w:t xml:space="preserve">ÍNDICE DE FIGURAS</w:t>
      </w:r>
    </w:p>
    <w:p>
      <w:pPr>
        <w:pStyle w:val="FirstParagraph"/>
      </w:pPr>
      <w:r>
        <w:t xml:space="preserve">Figura 2.1 Conexión de los sensores al nodo de borde ………. [pendiente]</w:t>
      </w:r>
    </w:p>
    <w:p>
      <w:pPr>
        <w:pStyle w:val="BodyText"/>
      </w:pPr>
      <w:r>
        <w:t xml:space="preserve">Figura 2.2 Disposición física de la instrumentación en la colmena ………. [pendiente]</w:t>
      </w:r>
    </w:p>
    <w:p>
      <w:pPr>
        <w:pStyle w:val="BodyText"/>
      </w:pPr>
      <w:r>
        <w:t xml:space="preserve">Figura 2.3 Flujo del dato desde la captura hasta el dataset ………. [pendiente]</w:t>
      </w:r>
    </w:p>
    <w:p>
      <w:pPr>
        <w:pStyle w:val="BodyText"/>
      </w:pPr>
      <w:r>
        <w:t xml:space="preserve">Figura 2.4 Pipeline de procesamiento y evaluación de IA ………. [pendiente]</w:t>
      </w:r>
    </w:p>
    <w:bookmarkEnd w:id="14"/>
    <w:bookmarkStart w:id="15" w:name="índice-de-tablas"/>
    <w:p>
      <w:pPr>
        <w:pStyle w:val="Heading1"/>
        <w:jc w:val="center"/>
      </w:pPr>
      <w:r>
        <w:t xml:space="preserve">ÍNDICE DE TABLAS</w:t>
      </w:r>
    </w:p>
    <w:p>
      <w:pPr>
        <w:pStyle w:val="FirstParagraph"/>
      </w:pPr>
      <w:r>
        <w:t xml:space="preserve">Tabla 1.1 Parámetros documentados vs. no documentados para</w:t>
      </w:r>
      <w:r>
        <w:t xml:space="preserve"> </w:t>
      </w:r>
      <w:r>
        <w:rPr>
          <w:i/>
          <w:iCs/>
        </w:rPr>
        <w:t xml:space="preserve">M. beecheii</w:t>
      </w:r>
      <w:r>
        <w:t xml:space="preserve"> </w:t>
      </w:r>
      <w:r>
        <w:t xml:space="preserve">………. [pendiente]</w:t>
      </w:r>
    </w:p>
    <w:p>
      <w:pPr>
        <w:pStyle w:val="BodyText"/>
      </w:pPr>
      <w:r>
        <w:t xml:space="preserve">Tabla 1.2 Registros previos de</w:t>
      </w:r>
      <w:r>
        <w:t xml:space="preserve"> </w:t>
      </w:r>
      <w:r>
        <w:rPr>
          <w:i/>
          <w:iCs/>
        </w:rPr>
        <w:t xml:space="preserve">M. beecheii</w:t>
      </w:r>
      <w:r>
        <w:t xml:space="preserve">: manuales vs. monitoreo continuo automatizado ………. [pendiente]</w:t>
      </w:r>
    </w:p>
    <w:p>
      <w:pPr>
        <w:pStyle w:val="BodyText"/>
      </w:pPr>
      <w:r>
        <w:t xml:space="preserve">Tabla 1.3 Cronograma de actividades con hitos de decisión y planes de contingencia ………. [pendiente]</w:t>
      </w:r>
    </w:p>
    <w:p>
      <w:pPr>
        <w:pStyle w:val="BodyText"/>
      </w:pPr>
      <w:r>
        <w:t xml:space="preserve">Tabla 1.4 Presupuesto del proyecto por nodo y total ………. [pendiente]</w:t>
      </w:r>
    </w:p>
    <w:p>
      <w:pPr>
        <w:pStyle w:val="BodyText"/>
      </w:pPr>
      <w:r>
        <w:t xml:space="preserve">Tabla 2.1 Diseño general de la investigación ………. [pendiente]</w:t>
      </w:r>
    </w:p>
    <w:p>
      <w:pPr>
        <w:pStyle w:val="BodyText"/>
      </w:pPr>
      <w:r>
        <w:t xml:space="preserve">Tabla 2.2 Arquitectura sensorial heterogénea: fabricante, principio físico, rango, rol y limitación por sensor ………. [pendiente]</w:t>
      </w:r>
    </w:p>
    <w:p>
      <w:pPr>
        <w:pStyle w:val="BodyText"/>
      </w:pPr>
      <w:r>
        <w:t xml:space="preserve">Tabla 2.3 Protocolos de comunicación y pines por sensor (ESP32 DevKit V1) ………. [pendiente]</w:t>
      </w:r>
    </w:p>
    <w:p>
      <w:pPr>
        <w:pStyle w:val="BodyText"/>
      </w:pPr>
      <w:r>
        <w:t xml:space="preserve">Tabla 2.4 Umbrales de referencia de temperatura y humedad para las alertas del sistema ………. [pendiente]</w:t>
      </w:r>
    </w:p>
    <w:p>
      <w:pPr>
        <w:pStyle w:val="BodyText"/>
      </w:pPr>
      <w:r>
        <w:t xml:space="preserve">Tabla 2.5 Métricas de evaluación con umbrales objetivo y benchmarks de referencia ………. [pendiente]</w:t>
      </w:r>
    </w:p>
    <w:p>
      <w:pPr>
        <w:pStyle w:val="BodyText"/>
      </w:pPr>
      <w:r>
        <w:t xml:space="preserve">Tabla 3.1 Análisis de transferibilidad del pipeline KAABLAB al dominio de</w:t>
      </w:r>
      <w:r>
        <w:t xml:space="preserve"> </w:t>
      </w:r>
      <w:r>
        <w:rPr>
          <w:i/>
          <w:iCs/>
        </w:rPr>
        <w:t xml:space="preserve">Melipona beecheii</w:t>
      </w:r>
      <w:r>
        <w:t xml:space="preserve"> </w:t>
      </w:r>
      <w:r>
        <w:t xml:space="preserve">………. [pendiente]</w:t>
      </w:r>
    </w:p>
    <w:bookmarkEnd w:id="15"/>
    <w:bookmarkStart w:id="16" w:name="resumen"/>
    <w:p>
      <w:pPr>
        <w:pStyle w:val="Heading1"/>
        <w:jc w:val="center"/>
      </w:pPr>
      <w:r>
        <w:t xml:space="preserve">RESUMEN</w:t>
      </w:r>
    </w:p>
    <w:p>
      <w:pPr>
        <w:pStyle w:val="FirstParagraph"/>
      </w:pPr>
      <w:r>
        <w:t xml:space="preserve">El proyecto KaabLab busca adaptar, reentrenar y validar en condiciones reales un sistema de monitoreo inteligente de colmenas de</w:t>
      </w:r>
      <w:r>
        <w:t xml:space="preserve"> </w:t>
      </w:r>
      <w:r>
        <w:rPr>
          <w:i/>
          <w:iCs/>
        </w:rPr>
        <w:t xml:space="preserve">Melipona beecheii</w:t>
      </w:r>
      <w:r>
        <w:t xml:space="preserve"> </w:t>
      </w:r>
      <w:r>
        <w:t xml:space="preserve">basado en el Internet de las Cosas (IoT) e Inteligencia Artificial (IA). El pipeline de referencia (Chin-Canché et al., 2026a, 2026b) fue validado sobre datos de</w:t>
      </w:r>
      <w:r>
        <w:t xml:space="preserve"> </w:t>
      </w:r>
      <w:r>
        <w:rPr>
          <w:i/>
          <w:iCs/>
        </w:rPr>
        <w:t xml:space="preserve">Apis mellifera</w:t>
      </w:r>
      <w:r>
        <w:t xml:space="preserve"> </w:t>
      </w:r>
      <w:r>
        <w:t xml:space="preserve">en California y no ha sido adaptado a esta especie ni al clima tropical de Campeche; su módulo de visión computacional para detección de</w:t>
      </w:r>
      <w:r>
        <w:t xml:space="preserve"> </w:t>
      </w:r>
      <w:r>
        <w:rPr>
          <w:i/>
          <w:iCs/>
        </w:rPr>
        <w:t xml:space="preserve">Varroa destructor</w:t>
      </w:r>
      <w:r>
        <w:t xml:space="preserve"> </w:t>
      </w:r>
      <w:r>
        <w:t xml:space="preserve">no es transferible, pues Varroa no parasita a</w:t>
      </w:r>
      <w:r>
        <w:t xml:space="preserve"> </w:t>
      </w:r>
      <w:r>
        <w:rPr>
          <w:i/>
          <w:iCs/>
        </w:rPr>
        <w:t xml:space="preserve">Melipona beecheii</w:t>
      </w:r>
      <w:r>
        <w:t xml:space="preserve">, y se excluye.</w:t>
      </w:r>
    </w:p>
    <w:p>
      <w:pPr>
        <w:pStyle w:val="BodyText"/>
      </w:pPr>
      <w:r>
        <w:t xml:space="preserve">El sistema integra un módulo de análisis bioacústico —basado en Coeficientes Cepstrales en Escala de Frecuencias Mel (MFCC), vibración estructural y variables ambientales— y un módulo de conteo infrarrojo de tráfico en la piquera como proxy del forrajeo. Como contribución de diseño original se incorpora una arquitectura sensorial heterogénea con rangos complementarios: dos sensores de temperatura y humedad (interno primario y externo secundario), un micrófono para nivel acústico y estado general de la colonia, un acelerómetro para vibración del nido y un sensor infrarrojo de doble haz para conteo direccional. Esta arquitectura elimina modos de falla comunes, cubre la alta humedad relativa (&gt;85% HR) donde el sensor externo se degrada, habilita el contraste diagnóstico interno-externo propio de una especie termoconformadora y captura las vibraciones estructurales mediante las cuales otros meliponinos expresan comportamiento defensivo (no documentado en</w:t>
      </w:r>
      <w:r>
        <w:t xml:space="preserve"> </w:t>
      </w:r>
      <w:r>
        <w:rPr>
          <w:i/>
          <w:iCs/>
        </w:rPr>
        <w:t xml:space="preserve">Melipona beecheii</w:t>
      </w:r>
      <w:r>
        <w:t xml:space="preserve">), no registrables directamente con un micrófono (vibración de sustrato).</w:t>
      </w:r>
    </w:p>
    <w:p>
      <w:pPr>
        <w:pStyle w:val="BodyText"/>
      </w:pPr>
      <w:r>
        <w:t xml:space="preserve">Esta tesis cierra tres brechas del trabajo previo: ausencia de datos propios de</w:t>
      </w:r>
      <w:r>
        <w:t xml:space="preserve"> </w:t>
      </w:r>
      <w:r>
        <w:rPr>
          <w:i/>
          <w:iCs/>
        </w:rPr>
        <w:t xml:space="preserve">Melipona beecheii</w:t>
      </w:r>
      <w:r>
        <w:t xml:space="preserve">, falta de regionalización al clima tropical y ausencia de preprocesamiento de señal documentado antes de la extracción de características. Construye el primer dataset multimodal documentado de la especie y caracteriza cinco brechas bibliográficas en sus parámetros de medición (sección 1.1.5).</w:t>
      </w:r>
    </w:p>
    <w:p>
      <w:pPr>
        <w:pStyle w:val="BodyText"/>
      </w:pPr>
      <w:r>
        <w:rPr>
          <w:b/>
          <w:bCs/>
        </w:rPr>
        <w:t xml:space="preserve">Palabras clave:</w:t>
      </w:r>
      <w:r>
        <w:t xml:space="preserve"> </w:t>
      </w:r>
      <w:r>
        <w:t xml:space="preserve">meliponicultura maya,</w:t>
      </w:r>
      <w:r>
        <w:t xml:space="preserve"> </w:t>
      </w:r>
      <w:r>
        <w:rPr>
          <w:i/>
          <w:iCs/>
        </w:rPr>
        <w:t xml:space="preserve">Melipona beecheii</w:t>
      </w:r>
      <w:r>
        <w:t xml:space="preserve">, monitoreo inteligente de colmenas, arquitectura sensorial heterogénea, redundancia sensorial, preprocesamiento de señal, fusión sensorial ponderada, bioacústica, vibración estructural, conteo infrarrojo de tráfico, IoT, XGBoost.</w:t>
      </w:r>
    </w:p>
    <w:bookmarkEnd w:id="16"/>
    <w:bookmarkStart w:id="17" w:name="abstract"/>
    <w:p>
      <w:pPr>
        <w:pStyle w:val="Heading1"/>
        <w:jc w:val="center"/>
      </w:pPr>
      <w:r>
        <w:t xml:space="preserve">ABSTRACT</w:t>
      </w:r>
    </w:p>
    <w:p>
      <w:pPr>
        <w:pStyle w:val="FirstParagraph"/>
      </w:pPr>
      <w:r>
        <w:rPr>
          <w:b/>
          <w:bCs/>
        </w:rPr>
        <w:t xml:space="preserve">DAVID ENRIQUE OCHOA DIAZ</w:t>
      </w:r>
    </w:p>
    <w:p>
      <w:pPr>
        <w:pStyle w:val="BodyText"/>
      </w:pPr>
      <w:r>
        <w:t xml:space="preserve">The KaabLab project aims to adapt, retrain, and validate under real conditions an intelligent hive monitoring system for</w:t>
      </w:r>
      <w:r>
        <w:t xml:space="preserve"> </w:t>
      </w:r>
      <w:r>
        <w:rPr>
          <w:i/>
          <w:iCs/>
        </w:rPr>
        <w:t xml:space="preserve">Melipona beecheii</w:t>
      </w:r>
      <w:r>
        <w:t xml:space="preserve"> </w:t>
      </w:r>
      <w:r>
        <w:t xml:space="preserve">based on the Internet of Things (IoT) and Artificial Intelligence (AI). The reference pipeline (Chin-Canché et al., 2026a, 2026b) was validated on</w:t>
      </w:r>
      <w:r>
        <w:t xml:space="preserve"> </w:t>
      </w:r>
      <w:r>
        <w:rPr>
          <w:i/>
          <w:iCs/>
        </w:rPr>
        <w:t xml:space="preserve">Apis mellifera</w:t>
      </w:r>
      <w:r>
        <w:t xml:space="preserve"> </w:t>
      </w:r>
      <w:r>
        <w:t xml:space="preserve">data from California and has not been adapted to this species or to the tropical climate of Campeche; its computer-vision module for</w:t>
      </w:r>
      <w:r>
        <w:t xml:space="preserve"> </w:t>
      </w:r>
      <w:r>
        <w:rPr>
          <w:i/>
          <w:iCs/>
        </w:rPr>
        <w:t xml:space="preserve">Varroa destructor</w:t>
      </w:r>
      <w:r>
        <w:t xml:space="preserve"> </w:t>
      </w:r>
      <w:r>
        <w:t xml:space="preserve">detection is not transferable, since Varroa does not parasitize</w:t>
      </w:r>
      <w:r>
        <w:t xml:space="preserve"> </w:t>
      </w:r>
      <w:r>
        <w:rPr>
          <w:i/>
          <w:iCs/>
        </w:rPr>
        <w:t xml:space="preserve">Melipona beecheii</w:t>
      </w:r>
      <w:r>
        <w:t xml:space="preserve">, and is excluded.</w:t>
      </w:r>
    </w:p>
    <w:p>
      <w:pPr>
        <w:pStyle w:val="BodyText"/>
      </w:pPr>
      <w:r>
        <w:t xml:space="preserve">The system integrates a bioacoustic analysis module —based on Mel-Frequency Cepstral Coefficients (MFCC), structural vibration, and environmental variables— and an infrared traffic-counting module at the hive entrance as a proxy for foraging. As an original design contribution, a heterogeneous sensor architecture with complementary ranges is incorporated: two temperature and humidity sensors (internal primary and external secondary), a microphone for acoustic level and overall colony status, an accelerometer for nest vibration, and a dual-beam infrared sensor for directional counting. This architecture eliminates common failure modes, covers the high relative humidity range (&gt;85% RH) where the external sensor degrades, enables the internal-external diagnostic contrast characteristic of a thermoconforming species, and captures the structural vibrations through which other stingless bees express defensive behavior (undocumented in</w:t>
      </w:r>
      <w:r>
        <w:t xml:space="preserve"> </w:t>
      </w:r>
      <w:r>
        <w:rPr>
          <w:i/>
          <w:iCs/>
        </w:rPr>
        <w:t xml:space="preserve">Melipona beecheii</w:t>
      </w:r>
      <w:r>
        <w:t xml:space="preserve">), which are not directly recordable with a microphone (substrate vibration).</w:t>
      </w:r>
    </w:p>
    <w:p>
      <w:pPr>
        <w:pStyle w:val="BodyText"/>
      </w:pPr>
      <w:r>
        <w:t xml:space="preserve">This thesis closes three gaps in previous work: the lack of data specific to</w:t>
      </w:r>
      <w:r>
        <w:t xml:space="preserve"> </w:t>
      </w:r>
      <w:r>
        <w:rPr>
          <w:i/>
          <w:iCs/>
        </w:rPr>
        <w:t xml:space="preserve">Melipona beecheii</w:t>
      </w:r>
      <w:r>
        <w:t xml:space="preserve">, the lack of regionalization to the tropical climate, and the absence of documented signal preprocessing prior to feature extraction. It also builds the first documented multimodal dataset for the species and characterizes five bibliographic gaps in its measurement parameters (section 1.1.5).</w:t>
      </w:r>
    </w:p>
    <w:p>
      <w:pPr>
        <w:pStyle w:val="BodyText"/>
      </w:pPr>
      <w:r>
        <w:rPr>
          <w:b/>
          <w:bCs/>
        </w:rPr>
        <w:t xml:space="preserve">Keywords:</w:t>
      </w:r>
      <w:r>
        <w:t xml:space="preserve"> </w:t>
      </w:r>
      <w:r>
        <w:t xml:space="preserve">Mayan stingless beekeeping,</w:t>
      </w:r>
      <w:r>
        <w:t xml:space="preserve"> </w:t>
      </w:r>
      <w:r>
        <w:rPr>
          <w:i/>
          <w:iCs/>
        </w:rPr>
        <w:t xml:space="preserve">Melipona beecheii</w:t>
      </w:r>
      <w:r>
        <w:t xml:space="preserve">, intelligent hive monitoring, heterogeneous sensor architecture, sensor redundancy, signal preprocessing, weighted sensor fusion, bioacoustics, structural vibration, infrared traffic counting, IoT, XGBoost.</w:t>
      </w:r>
    </w:p>
    <w:bookmarkEnd w:id="17"/>
    <w:bookmarkStart w:id="18" w:name="introducción"/>
    <w:p>
      <w:pPr>
        <w:sectPr>
          <w:footerReference r:id="rIdPiePagina" w:type="default"/>
          <w:footnotePr>
            <w:numRestart w:val="eachSect"/>
          </w:footnotePr>
          <w:pgSz w:h="15840" w:w="12240"/>
          <w:pgMar w:bottom="1418" w:footer="709" w:gutter="0" w:header="709" w:left="1418" w:right="1418" w:top="1418"/>
          <w:pgNumType w:fmt="lowerRoman" w:start="1"/>
        </w:sectPr>
      </w:pPr>
    </w:p>
    <w:p>
      <w:pPr>
        <w:pStyle w:val="Heading1"/>
        <w:pageBreakBefore w:val="0"/>
        <w:jc w:val="center"/>
      </w:pPr>
      <w:r>
        <w:t xml:space="preserve">INTRODUCCIÓN</w:t>
      </w:r>
    </w:p>
    <w:p>
      <w:pPr>
        <w:pStyle w:val="FirstParagraph"/>
      </w:pPr>
      <w:r>
        <w:t xml:space="preserve">La meliponicultura maya —el cultivo de</w:t>
      </w:r>
      <w:r>
        <w:t xml:space="preserve"> </w:t>
      </w:r>
      <w:r>
        <w:rPr>
          <w:i/>
          <w:iCs/>
        </w:rPr>
        <w:t xml:space="preserve">Melipona beecheii</w:t>
      </w:r>
      <w:r>
        <w:t xml:space="preserve"> </w:t>
      </w:r>
      <w:r>
        <w:t xml:space="preserve">Bennett, 1831, la abeja señora o xunan kab— es una práctica biocultural de más de dos milenios en la Península de Yucatán. Sus colonias enfrentan declive acelerado por pérdida de hábitat, agroquímicos y ausencia de herramientas tecnológicas adaptadas. El Laboratorio de Ambientes Inteligentes del ITESCAM publicó KAABLAB (Chin-Canché et al., 2026b), un sistema AIoT de monitoreo inteligente validado sobre datos de</w:t>
      </w:r>
      <w:r>
        <w:t xml:space="preserve"> </w:t>
      </w:r>
      <w:r>
        <w:rPr>
          <w:i/>
          <w:iCs/>
        </w:rPr>
        <w:t xml:space="preserve">Apis mellifera</w:t>
      </w:r>
      <w:r>
        <w:t xml:space="preserve">. Esta tesis constituye la etapa de adaptación del sistema a</w:t>
      </w:r>
      <w:r>
        <w:t xml:space="preserve"> </w:t>
      </w:r>
      <w:r>
        <w:rPr>
          <w:i/>
          <w:iCs/>
        </w:rPr>
        <w:t xml:space="preserve">M. beecheii</w:t>
      </w:r>
      <w:r>
        <w:t xml:space="preserve">, incorporando además tres mejoras metodológicas que el artículo de referencia no contempló: regionalización al clima tropical de Campeche, preprocesamiento formal de señal de sensores, y arquitectura sensorial heterogénea con rangos complementarios.</w:t>
      </w:r>
    </w:p>
    <w:bookmarkEnd w:id="18"/>
    <w:bookmarkStart w:id="36" w:name="Xa2b4bef17aa6478cf98c932b599a578ff742408"/>
    <w:p>
      <w:pPr>
        <w:pStyle w:val="Heading1"/>
      </w:pPr>
      <w:r>
        <w:t xml:space="preserve">CAPÍTULO I. ANTECEDENTES, PLANTEAMIENTO Y OBJETIVOS DE LA INVESTIGACIÓN</w:t>
      </w:r>
    </w:p>
    <w:bookmarkStart w:id="24" w:name="antecedentes"/>
    <w:p>
      <w:pPr>
        <w:pStyle w:val="Heading2"/>
      </w:pPr>
      <w:r>
        <w:t xml:space="preserve">1.1 Antecedentes</w:t>
      </w:r>
    </w:p>
    <w:p>
      <w:pPr>
        <w:pStyle w:val="FirstParagraph"/>
      </w:pPr>
      <w:r>
        <w:t xml:space="preserve">El trabajo de Chin-Canché et al. (2026a, 2026b) validó el pipeline KAABLAB sobre datos públicos de</w:t>
      </w:r>
      <w:r>
        <w:t xml:space="preserve"> </w:t>
      </w:r>
      <w:r>
        <w:rPr>
          <w:i/>
          <w:iCs/>
        </w:rPr>
        <w:t xml:space="preserve">Apis mellifera</w:t>
      </w:r>
      <w:r>
        <w:t xml:space="preserve"> </w:t>
      </w:r>
      <w:r>
        <w:t xml:space="preserve">en California. El módulo bioacústico alcanzó F1 ponderado = 0.933 (clasificación multiclase del estado de salud) y AUC-ROC = 0.9945 (detección de ausencia de reina). El módulo de visión alcanzó AUC-ROC = 0.969 con YOLOv8s. Los pipelines bee_audio_analysis y varroa_vision están disponibles en GitHub y Zenodo (Chin-Canché, 2026; https://doi.org/10.5281/zenodo.19685877).</w:t>
      </w:r>
    </w:p>
    <w:p>
      <w:pPr>
        <w:pStyle w:val="BodyText"/>
      </w:pPr>
      <w:r>
        <w:t xml:space="preserve">Es importante destacar que ambos módulos fueron evaluados exclusivamente sobre conjuntos de datos públicos recolectados por terceros —el BeeAudio Dataset de Anna Yang (Kaggle, 2022) y el VarroaDataset de Schurischuster y Kampel (Zenodo, 2020)—, sin instrumentación propia de colmenas ni validación en condiciones reales de campo. El artículo no recolectó ningún dato nuevo: su contribución es metodológica, no empírica. Esta distinción es la que justifica estructuralmente la presente tesis.</w:t>
      </w:r>
    </w:p>
    <w:bookmarkStart w:id="19" w:name="Xc33881afd20d4d9a8b42349f5bf1ea9b7393c80"/>
    <w:p>
      <w:pPr>
        <w:pStyle w:val="Heading3"/>
      </w:pPr>
      <w:r>
        <w:t xml:space="preserve">1.1.1 La meliponicultura maya y</w:t>
      </w:r>
      <w:r>
        <w:t xml:space="preserve"> </w:t>
      </w:r>
      <w:r>
        <w:rPr>
          <w:i/>
          <w:iCs/>
        </w:rPr>
        <w:t xml:space="preserve">Melipona beecheii</w:t>
      </w:r>
    </w:p>
    <w:p>
      <w:pPr>
        <w:pStyle w:val="FirstParagraph"/>
      </w:pPr>
      <w:r>
        <w:rPr>
          <w:i/>
          <w:iCs/>
        </w:rPr>
        <w:t xml:space="preserve">M. beecheii</w:t>
      </w:r>
      <w:r>
        <w:t xml:space="preserve"> </w:t>
      </w:r>
      <w:r>
        <w:t xml:space="preserve">es criada por comunidades mayas desde épocas prehispánicas. Su miel posee propiedades antioxidantes (Cauich Kumul et al., 2015) y antimicrobianas (Ramírez-Miranda et al., 2023) documentadas. La especie se encuentra en declive severo atribuido a deforestación, expansión agrícola y plaguicidas (Villanueva-Gutiérrez et al., 2013). Sus características biológicas difieren profundamente de</w:t>
      </w:r>
      <w:r>
        <w:t xml:space="preserve"> </w:t>
      </w:r>
      <w:r>
        <w:rPr>
          <w:i/>
          <w:iCs/>
        </w:rPr>
        <w:t xml:space="preserve">Apis mellifera</w:t>
      </w:r>
      <w:r>
        <w:t xml:space="preserve">: colonias de 300–2,000 individuos, piquera tipo tubo de cerumen de 5–15 mm, repertorio acústico propio de los meliponinos, y termoconformidad en rangos tropicales de 25.4-34.0°C, con media de 30.2°C (Moo-Valle et al., 2000).</w:t>
      </w:r>
    </w:p>
    <w:bookmarkEnd w:id="19"/>
    <w:bookmarkStart w:id="20" w:name="limitaciones-del-artículo-de-referencia"/>
    <w:p>
      <w:pPr>
        <w:pStyle w:val="Heading3"/>
      </w:pPr>
      <w:r>
        <w:t xml:space="preserve">1.1.2 Limitaciones del artículo de referencia</w:t>
      </w:r>
    </w:p>
    <w:p>
      <w:pPr>
        <w:pStyle w:val="FirstParagraph"/>
      </w:pPr>
      <w:r>
        <w:t xml:space="preserve">El artículo de referencia presenta tres limitaciones metodológicas que esta tesis identifica explícitamente y propone superar:</w:t>
      </w:r>
    </w:p>
    <w:p>
      <w:pPr>
        <w:numPr>
          <w:ilvl w:val="0"/>
          <w:numId w:val="1004"/>
        </w:numPr>
      </w:pPr>
      <w:r>
        <w:rPr>
          <w:b/>
          <w:bCs/>
        </w:rPr>
        <w:t xml:space="preserve">Ausencia de regionalización.</w:t>
      </w:r>
      <w:r>
        <w:t xml:space="preserve"> </w:t>
      </w:r>
      <w:r>
        <w:t xml:space="preserve">Los datos provienen de California, 2022, en clima mediterráneo. Las condiciones de Campeche —temperatura 28–40 °C, HR frecuentemente &gt;85% en temporada de lluvias, ciclos circadianos tropicales distintos— no están representadas. Los umbrales de decisión aprendidos por los modelos, los patrones circadianos documentados y las correlaciones entre variables ambientales y estado de salud no son directamente transferibles a</w:t>
      </w:r>
      <w:r>
        <w:t xml:space="preserve"> </w:t>
      </w:r>
      <w:r>
        <w:rPr>
          <w:i/>
          <w:iCs/>
        </w:rPr>
        <w:t xml:space="preserve">M. beecheii</w:t>
      </w:r>
      <w:r>
        <w:t xml:space="preserve"> </w:t>
      </w:r>
      <w:r>
        <w:t xml:space="preserve">en Yucatán.</w:t>
      </w:r>
    </w:p>
    <w:p>
      <w:pPr>
        <w:numPr>
          <w:ilvl w:val="0"/>
          <w:numId w:val="1004"/>
        </w:numPr>
      </w:pPr>
      <w:r>
        <w:rPr>
          <w:b/>
          <w:bCs/>
        </w:rPr>
        <w:t xml:space="preserve">Ausencia de preprocesamiento de señal documentado.</w:t>
      </w:r>
      <w:r>
        <w:t xml:space="preserve"> </w:t>
      </w:r>
      <w:r>
        <w:t xml:space="preserve">Las variables ambientales —temperatura, humedad, presión— se concatenan directamente al vector de características sin filtrado previo. Las características acústicas se extraen sin pre-énfasis ni eliminación de segmentos silenciosos. Librosa aplica implícitamente una ventana de Hamming y banco de filtros Mel, pero no constituyen un protocolo de acondicionamiento de señal explícito.</w:t>
      </w:r>
    </w:p>
    <w:p>
      <w:pPr>
        <w:numPr>
          <w:ilvl w:val="0"/>
          <w:numId w:val="1004"/>
        </w:numPr>
      </w:pPr>
      <w:r>
        <w:rPr>
          <w:b/>
          <w:bCs/>
        </w:rPr>
        <w:t xml:space="preserve">Arquitectura sensorial homogénea.</w:t>
      </w:r>
      <w:r>
        <w:t xml:space="preserve"> </w:t>
      </w:r>
      <w:r>
        <w:t xml:space="preserve">Un solo sensor por parámetro (un sensor básico de temperatura/humedad, un micrófono MEMS estándar para audio). No hay redundancia ni cobertura de los rangos donde cada sensor pierde precisión. El sensor de temperatura/humedad básico se satura por encima de ~85% HR, rango frecuente en Campeche. El micrófono MEMS estándar no capta la vibración de sustrato del nido (sí su componente de sonido aéreo) en el rango de 180–600 Hz (vuelo ~180 Hz, forrajeo ~300–600 Hz; un acelerómetro MEMS de contacto admite tasas de muestreo programables de hasta 4 kHz, es decir, un Nyquist efectivo muy superior a esta banda y sin necesidad de recorte) donde parte del comportamiento comunicativo de las meliponinas ocurre.</w:t>
      </w:r>
    </w:p>
    <w:bookmarkEnd w:id="20"/>
    <w:bookmarkStart w:id="21" w:name="X7578fb1d5678e46880da8ea0636a5c2bde6babd"/>
    <w:p>
      <w:pPr>
        <w:pStyle w:val="Heading3"/>
      </w:pPr>
      <w:r>
        <w:t xml:space="preserve">1.1.3 Hallazgos metodológicos clave del artículo de referencia</w:t>
      </w:r>
    </w:p>
    <w:p>
      <w:pPr>
        <w:pStyle w:val="FirstParagraph"/>
      </w:pPr>
      <w:r>
        <w:t xml:space="preserve">El análisis de importancia de características reveló que las variables no acústicas dominan: la variable frames concentró el 27.5% de la importancia relativa en XGBoost. La correlación negativa más fuerte con el estado de salud fue la humedad interna (ρ = −0.378) (Chin-Canché et al., 2026a). Esto confirma la importancia crítica de medir correctamente la humedad —y por tanto, la necesidad de una arquitectura sensorial robusta que no pierda precisión en los rangos de alta HR del clima tropical.</w:t>
      </w:r>
    </w:p>
    <w:bookmarkEnd w:id="21"/>
    <w:bookmarkStart w:id="22" w:name="X31b2ee8a806973c659506923a51e975c83c0183"/>
    <w:p>
      <w:pPr>
        <w:pStyle w:val="Heading3"/>
      </w:pPr>
      <w:r>
        <w:t xml:space="preserve">1.1.4 Amenazas bióticas en colmenas de</w:t>
      </w:r>
      <w:r>
        <w:t xml:space="preserve"> </w:t>
      </w:r>
      <w:r>
        <w:rPr>
          <w:i/>
          <w:iCs/>
        </w:rPr>
        <w:t xml:space="preserve">M. beecheii</w:t>
      </w:r>
    </w:p>
    <w:p>
      <w:pPr>
        <w:pStyle w:val="FirstParagraph"/>
      </w:pPr>
      <w:r>
        <w:t xml:space="preserve">Los principales agentes de intrusión documentados en meliponarios mayas de Campeche son la hormiga arriera (Eciton burchelli parvispinum,</w:t>
      </w:r>
      <w:r>
        <w:t xml:space="preserve"> </w:t>
      </w:r>
      <w:r>
        <w:t xml:space="preserve">“xuulá”</w:t>
      </w:r>
      <w:r>
        <w:t xml:space="preserve"> </w:t>
      </w:r>
      <w:r>
        <w:t xml:space="preserve">en maya) y la mosca parasitaria nenem (Pseudohypocera kerteszi, familia Phoridae), reportadas por el 47% y el 20% de los meliponicultores encuestados respectivamente, con mayor incidencia de la hormiga durante la temporada de lluvias (junio-septiembre) (Pat Fernández et al., 2018). Estos eventos pueden provocar el abandono del nido o la muerte de la colmena en períodos cortos.</w:t>
      </w:r>
    </w:p>
    <w:bookmarkEnd w:id="22"/>
    <w:bookmarkStart w:id="23" w:name="Xdf37bdd883baec8d85c8e1171e4d89ad66929b6"/>
    <w:p>
      <w:pPr>
        <w:pStyle w:val="Heading3"/>
      </w:pPr>
      <w:r>
        <w:t xml:space="preserve">1.1.5 Brechas bibliográficas en los cinco parámetros de medición</w:t>
      </w:r>
    </w:p>
    <w:p>
      <w:pPr>
        <w:pStyle w:val="FirstParagraph"/>
      </w:pPr>
      <w:r>
        <w:t xml:space="preserve">La adaptación del pipeline a</w:t>
      </w:r>
      <w:r>
        <w:t xml:space="preserve"> </w:t>
      </w:r>
      <w:r>
        <w:rPr>
          <w:i/>
          <w:iCs/>
        </w:rPr>
        <w:t xml:space="preserve">Melipona beecheii</w:t>
      </w:r>
      <w:r>
        <w:t xml:space="preserve"> </w:t>
      </w:r>
      <w:r>
        <w:t xml:space="preserve">no solo enfrenta una brecha de regionalización climática, sino una ausencia casi total de literatura específica de la especie en los cinco parámetros que el sistema mide. Esta sección documenta explícitamente esas brechas, distinguiendo en cada caso lo que existe para congéneres del género Melipona de lo que existe —o no existe— para</w:t>
      </w:r>
      <w:r>
        <w:t xml:space="preserve"> </w:t>
      </w:r>
      <w:r>
        <w:rPr>
          <w:i/>
          <w:iCs/>
        </w:rPr>
        <w:t xml:space="preserve">M. beecheii</w:t>
      </w:r>
      <w:r>
        <w:t xml:space="preserve">.</w:t>
      </w:r>
    </w:p>
    <w:p>
      <w:pPr>
        <w:pStyle w:val="BodyText"/>
      </w:pPr>
      <w:r>
        <w:rPr>
          <w:b/>
          <w:bCs/>
        </w:rPr>
        <w:t xml:space="preserve">(a) Frecuencia de sonido aéreo de</w:t>
      </w:r>
      <w:r>
        <w:rPr>
          <w:b/>
          <w:bCs/>
        </w:rPr>
        <w:t xml:space="preserve"> </w:t>
      </w:r>
      <w:r>
        <w:rPr>
          <w:b/>
          <w:bCs/>
          <w:i/>
          <w:iCs/>
        </w:rPr>
        <w:t xml:space="preserve">M. beecheii</w:t>
      </w:r>
      <w:r>
        <w:rPr>
          <w:b/>
          <w:bCs/>
        </w:rPr>
        <w:t xml:space="preserve">.</w:t>
      </w:r>
      <w:r>
        <w:t xml:space="preserve"> </w:t>
      </w:r>
      <w:r>
        <w:t xml:space="preserve">No existe caracterización publicada del sonido aéreo de</w:t>
      </w:r>
      <w:r>
        <w:t xml:space="preserve"> </w:t>
      </w:r>
      <w:r>
        <w:rPr>
          <w:i/>
          <w:iCs/>
        </w:rPr>
        <w:t xml:space="preserve">Melipona beecheii</w:t>
      </w:r>
      <w:r>
        <w:t xml:space="preserve">. Sí existe para congéneres: en</w:t>
      </w:r>
      <w:r>
        <w:t xml:space="preserve"> </w:t>
      </w:r>
      <w:r>
        <w:rPr>
          <w:i/>
          <w:iCs/>
        </w:rPr>
        <w:t xml:space="preserve">Melipona scutellaris</w:t>
      </w:r>
      <w:r>
        <w:t xml:space="preserve"> </w:t>
      </w:r>
      <w:r>
        <w:t xml:space="preserve">y</w:t>
      </w:r>
      <w:r>
        <w:t xml:space="preserve"> </w:t>
      </w:r>
      <w:r>
        <w:rPr>
          <w:i/>
          <w:iCs/>
        </w:rPr>
        <w:t xml:space="preserve">Melipona quadrifasciata</w:t>
      </w:r>
      <w:r>
        <w:t xml:space="preserve">, el sonido aéreo y la vibración de sustrato de las forrajeras comparten la misma frecuencia principal (350–520 Hz y 480–600 Hz, respectivamente; Hrncir et al., 2000), y el rango reportado para el género es de 300–600 Hz (Hrncir et al., 2006). Estos valores son de congéneres, no de</w:t>
      </w:r>
      <w:r>
        <w:t xml:space="preserve"> </w:t>
      </w:r>
      <w:r>
        <w:rPr>
          <w:i/>
          <w:iCs/>
        </w:rPr>
        <w:t xml:space="preserve">M. beecheii</w:t>
      </w:r>
      <w:r>
        <w:t xml:space="preserve">, y se usan solo como referencia orientativa para el diseño del sistema de captura. Tampoco existe evidencia de que</w:t>
      </w:r>
      <w:r>
        <w:t xml:space="preserve"> </w:t>
      </w:r>
      <w:r>
        <w:rPr>
          <w:i/>
          <w:iCs/>
        </w:rPr>
        <w:t xml:space="preserve">M. beecheii</w:t>
      </w:r>
      <w:r>
        <w:t xml:space="preserve"> </w:t>
      </w:r>
      <w:r>
        <w:t xml:space="preserve">emita una señal acústica aérea de alarma: a diferencia de otras meliponinas, no se ha detectado 2-heptanol (la feromona química de alarma típica del grupo) en las glándulas mandibulares de</w:t>
      </w:r>
      <w:r>
        <w:t xml:space="preserve"> </w:t>
      </w:r>
      <w:r>
        <w:rPr>
          <w:i/>
          <w:iCs/>
        </w:rPr>
        <w:t xml:space="preserve">M. beecheii</w:t>
      </w:r>
      <w:r>
        <w:t xml:space="preserve"> </w:t>
      </w:r>
      <w:r>
        <w:t xml:space="preserve">(Cruz-López et al., 2005, citado en Quezada-Euán, 2018, p. 113), lo que sugiere un mecanismo de defensa distinto y poco documentado. Esta ausencia de evidencia no implica ausencia del fenómeno, sino una laguna bibliográfica: el nivel acústico aéreo de la colmena no ha sido caracterizado en la especie. El precedente más cercano de uso de un micrófono MEMS en un meliponino es Suárez Carvajal (2025), realizado en</w:t>
      </w:r>
      <w:r>
        <w:t xml:space="preserve"> </w:t>
      </w:r>
      <w:r>
        <w:rPr>
          <w:i/>
          <w:iCs/>
        </w:rPr>
        <w:t xml:space="preserve">Melipona eburnea</w:t>
      </w:r>
      <w:r>
        <w:t xml:space="preserve"> </w:t>
      </w:r>
      <w:r>
        <w:t xml:space="preserve">(Colombia); se trata, por tanto, de un precedente de un congénere, no de la especie de esta tesis.</w:t>
      </w:r>
    </w:p>
    <w:p>
      <w:pPr>
        <w:pStyle w:val="BodyText"/>
      </w:pPr>
      <w:r>
        <w:rPr>
          <w:b/>
          <w:bCs/>
        </w:rPr>
        <w:t xml:space="preserve">(b) Comparación de temperatura interna vs. externa.</w:t>
      </w:r>
      <w:r>
        <w:t xml:space="preserve"> </w:t>
      </w:r>
      <w:r>
        <w:rPr>
          <w:i/>
          <w:iCs/>
        </w:rPr>
        <w:t xml:space="preserve">M. beecheii</w:t>
      </w:r>
      <w:r>
        <w:t xml:space="preserve"> </w:t>
      </w:r>
      <w:r>
        <w:t xml:space="preserve">es una especie termoconformadora, no termorreguladora activa: Moo-Valle et al. (2000), en cavidades naturales de Yucatán (citados en Quezada-Euán, 2018, p. 50), documentaron que la temperatura de la colonia fue más estable durante el día (9:00-20:00h) que durante la noche, cuando las obreras no generaron calor activamente para compensar el descenso ambiental, de modo que la temperatura interna nocturna siguió más de cerca la fluctuación externa. El mismo estudio reportó una temperatura media intranidal de 30.2°C, con un rango de 25.4-34.0°C (Moo-Valle et al., 2000, en Quezada-Euán, 2018, p. 49). Bajo exposición controlada a temperatura extrema, Macías-Macías et al. (2011, en Quezada-Euán, 2018, p. 52) documentaron 90% de mortalidad de pupas a 40°C y 100% de mortalidad de pupas a 5°C. Esto implica que la variable diagnósticamente relevante no es el valor absoluto de temperatura interna, sino el contraste entre la lectura interna y la externa. El gap identificado es la ausencia de un registro continuo en campo, en condiciones reales de Campeche, de este contraste interno-externo.</w:t>
      </w:r>
    </w:p>
    <w:p>
      <w:pPr>
        <w:pStyle w:val="BodyText"/>
      </w:pPr>
      <w:r>
        <w:rPr>
          <w:b/>
          <w:bCs/>
        </w:rPr>
        <w:t xml:space="preserve">(c) Humedad relativa intranidal.</w:t>
      </w:r>
      <w:r>
        <w:t xml:space="preserve"> </w:t>
      </w:r>
      <w:r>
        <w:t xml:space="preserve">No existe ningún estudio publicado sobre la dinámica del balance hídrico en abejas sin aguijón:</w:t>
      </w:r>
      <w:r>
        <w:t xml:space="preserve"> </w:t>
      </w:r>
      <w:r>
        <w:t xml:space="preserve">“the dynamics of water balance has not been studied in stingless bees”</w:t>
      </w:r>
      <w:r>
        <w:t xml:space="preserve"> </w:t>
      </w:r>
      <w:r>
        <w:t xml:space="preserve">(Roubik, 2006, citado en Quezada-Euán, 2018, p. 51), quien únicamente señala que la humedad relativa suele ser alta en zonas tropicales y que ocurre condensación de agua dentro de las colonias. El gap es total, no solo para</w:t>
      </w:r>
      <w:r>
        <w:t xml:space="preserve"> </w:t>
      </w:r>
      <w:r>
        <w:rPr>
          <w:i/>
          <w:iCs/>
        </w:rPr>
        <w:t xml:space="preserve">M. beecheii</w:t>
      </w:r>
      <w:r>
        <w:t xml:space="preserve"> </w:t>
      </w:r>
      <w:r>
        <w:t xml:space="preserve">sino para el conjunto de las meliponinas: ningún estudio ha caracterizado los rangos de humedad intranidal de ninguna especie del grupo.</w:t>
      </w:r>
    </w:p>
    <w:p>
      <w:pPr>
        <w:pStyle w:val="BodyText"/>
      </w:pPr>
      <w:r>
        <w:rPr>
          <w:b/>
          <w:bCs/>
        </w:rPr>
        <w:t xml:space="preserve">(d) Conteo de individuos por el opérculo.</w:t>
      </w:r>
      <w:r>
        <w:t xml:space="preserve"> </w:t>
      </w:r>
      <w:r>
        <w:t xml:space="preserve">No existe precedente publicado de un sensor infrarrojo aplicado específicamente a</w:t>
      </w:r>
      <w:r>
        <w:t xml:space="preserve"> </w:t>
      </w:r>
      <w:r>
        <w:rPr>
          <w:i/>
          <w:iCs/>
        </w:rPr>
        <w:t xml:space="preserve">M. beecheii</w:t>
      </w:r>
      <w:r>
        <w:t xml:space="preserve"> </w:t>
      </w:r>
      <w:r>
        <w:t xml:space="preserve">para el conteo de tráfico en la piquera. Para congéneres del género Melipona existe el precedente de Justino y Hartfelder (2024), quienes registraron actividad continua en el túnel de entrada de</w:t>
      </w:r>
      <w:r>
        <w:t xml:space="preserve"> </w:t>
      </w:r>
      <w:r>
        <w:rPr>
          <w:i/>
          <w:iCs/>
        </w:rPr>
        <w:t xml:space="preserve">M. quadrifasciata</w:t>
      </w:r>
      <w:r>
        <w:t xml:space="preserve"> </w:t>
      </w:r>
      <w:r>
        <w:t xml:space="preserve">con un detector IR simple, sin diferenciar direccionalidad (entrada vs. salida). El gap total que llena esta tesis es específicamente el conteo automatizado</w:t>
      </w:r>
      <w:r>
        <w:t xml:space="preserve"> </w:t>
      </w:r>
      <w:r>
        <w:rPr>
          <w:b/>
          <w:bCs/>
        </w:rPr>
        <w:t xml:space="preserve">direccional</w:t>
      </w:r>
      <w:r>
        <w:t xml:space="preserve"> </w:t>
      </w:r>
      <w:r>
        <w:t xml:space="preserve">(bidireccional, con doble haz) en meliponinas nativas de la región — no reportado ni para</w:t>
      </w:r>
      <w:r>
        <w:t xml:space="preserve"> </w:t>
      </w:r>
      <w:r>
        <w:rPr>
          <w:i/>
          <w:iCs/>
        </w:rPr>
        <w:t xml:space="preserve">M. beecheii</w:t>
      </w:r>
      <w:r>
        <w:t xml:space="preserve"> </w:t>
      </w:r>
      <w:r>
        <w:t xml:space="preserve">ni para ningún congénere.</w:t>
      </w:r>
    </w:p>
    <w:p>
      <w:pPr>
        <w:pStyle w:val="BodyText"/>
      </w:pPr>
      <w:r>
        <w:rPr>
          <w:b/>
          <w:bCs/>
        </w:rPr>
        <w:t xml:space="preserve">(e) Vibración estructural del nido.</w:t>
      </w:r>
      <w:r>
        <w:t xml:space="preserve"> </w:t>
      </w:r>
      <w:r>
        <w:t xml:space="preserve">La vibración de sustrato —transmitida por la estructura del nido, no por el aire— está documentada para congéneres del género Melipona: componentes de vuelo en ~180 Hz (Hrncir et al., 2008) y de reclutamiento de forrajeo con frecuencia fundamental de 300-600Hz, con armónicos que se extienden hasta el orden de los kHz (Hrncir et al., 2000, 2006, citado en Quezada-Euán, 2018, sección 5.6). No existe registro publicado con acelerómetro del comportamiento vibracional del nido de</w:t>
      </w:r>
      <w:r>
        <w:t xml:space="preserve"> </w:t>
      </w:r>
      <w:r>
        <w:rPr>
          <w:i/>
          <w:iCs/>
        </w:rPr>
        <w:t xml:space="preserve">M. beecheii</w:t>
      </w:r>
      <w:r>
        <w:t xml:space="preserve"> </w:t>
      </w:r>
      <w:r>
        <w:t xml:space="preserve">específicamente. Las referencias disponibles son de otros meliponinos: dos Santos et al. (2025), en un estudio exploratorio sobre</w:t>
      </w:r>
      <w:r>
        <w:t xml:space="preserve"> </w:t>
      </w:r>
      <w:r>
        <w:rPr>
          <w:i/>
          <w:iCs/>
        </w:rPr>
        <w:t xml:space="preserve">Scaptotrigona</w:t>
      </w:r>
      <w:r>
        <w:t xml:space="preserve"> </w:t>
      </w:r>
      <w:r>
        <w:t xml:space="preserve">aff.</w:t>
      </w:r>
      <w:r>
        <w:t xml:space="preserve"> </w:t>
      </w:r>
      <w:r>
        <w:rPr>
          <w:i/>
          <w:iCs/>
        </w:rPr>
        <w:t xml:space="preserve">depilis</w:t>
      </w:r>
      <w:r>
        <w:t xml:space="preserve"> </w:t>
      </w:r>
      <w:r>
        <w:t xml:space="preserve">con sensor piezoeléctrico de contacto, y Hrncir et al. (2006, 2008), congéneres del género Melipona. El gap es total para la especie.</w:t>
      </w:r>
    </w:p>
    <w:p>
      <w:pPr>
        <w:pStyle w:val="BodyText"/>
      </w:pPr>
      <w:r>
        <w:t xml:space="preserve">Estas cinco brechas son la justificación empírica directa de que el dataset multimodal construido en esta tesis —audio aéreo, vibración estructural, conteo IR de tráfico y variables ambientales de</w:t>
      </w:r>
      <w:r>
        <w:t xml:space="preserve"> </w:t>
      </w:r>
      <w:r>
        <w:rPr>
          <w:i/>
          <w:iCs/>
        </w:rPr>
        <w:t xml:space="preserve">M. beecheii</w:t>
      </w:r>
      <w:r>
        <w:t xml:space="preserve">— constituye una contribución original y no una simple repetición metodológica del artículo de referencia. Cabe precisar el tipo de contribución de esta tesis: consistente con su título, la protección de</w:t>
      </w:r>
      <w:r>
        <w:t xml:space="preserve"> </w:t>
      </w:r>
      <w:r>
        <w:rPr>
          <w:i/>
          <w:iCs/>
        </w:rPr>
        <w:t xml:space="preserve">M. beecheii</w:t>
      </w:r>
      <w:r>
        <w:t xml:space="preserve"> </w:t>
      </w:r>
      <w:r>
        <w:t xml:space="preserve">que busca el sistema KaabLab deriva de la integración de tres elementos —arquitectura IoT, análisis mediante inteligencia artificial, y datos propios de la especie registrados de forma continua y automatizada por primera vez—. Esta protección no puede lograrse sin dicho registro continuo, el cual, como efecto necesario, genera nuevo conocimiento sobre la especie en los cinco parámetros documentados en esta sección. El aporte científico-técnico de la investigación reside en la integración IoT+IA+datos y en la arquitectura sensorial que la hace posible; el conocimiento biológico nuevo que resulta del registro continuo es una consecuencia necesaria de esa integración, no el objetivo de investigación en sí mismo. La caracterización biológica existente se usa como marco justificativo y fuente de umbrales de diseño, mientras que los datos originales que el sistema captura son el insumo que permite entrenar, validar y, en última instancia, proteger a la colonia.</w:t>
      </w:r>
    </w:p>
    <w:p>
      <w:pPr>
        <w:pStyle w:val="Leyenda"/>
      </w:pPr>
      <w:r>
        <w:rPr>
          <w:b/>
          <w:bCs/>
        </w:rPr>
        <w:t xml:space="preserve">Tabla 1.1</w:t>
      </w:r>
      <w:r>
        <w:t xml:space="preserve"> </w:t>
      </w:r>
      <w:r>
        <w:t xml:space="preserve">Parámetros documentados vs. no documentados para</w:t>
      </w:r>
      <w:r>
        <w:t xml:space="preserve"> </w:t>
      </w:r>
      <w:r>
        <w:rPr>
          <w:i/>
          <w:iCs/>
        </w:rPr>
        <w:t xml:space="preserve">M. beecheii</w:t>
      </w:r>
    </w:p>
    <w:tbl>
      <w:tblPr>
        <w:tblStyle w:val="Table"/>
        <w:tblW w:type="pct" w:w="5000"/>
        <w:tblLayout w:type="fixed"/>
        <w:tblLook w:firstRow="1" w:lastRow="0" w:firstColumn="0" w:lastColumn="0" w:noHBand="0" w:noVBand="0" w:val="0020"/>
      </w:tblPr>
      <w:tblGrid>
        <w:gridCol w:w="1006"/>
        <w:gridCol w:w="1947"/>
        <w:gridCol w:w="1947"/>
        <w:gridCol w:w="1071"/>
        <w:gridCol w:w="1947"/>
      </w:tblGrid>
      <w:tr>
        <w:trPr>
          <w:tblHeader w:val="on"/>
        </w:trPr>
        <w:tc>
          <w:tcPr/>
          <w:p>
            <w:pPr>
              <w:pStyle w:val="TextoTabla"/>
            </w:pPr>
            <w:r>
              <w:t xml:space="preserve">Parámetro</w:t>
            </w:r>
          </w:p>
        </w:tc>
        <w:tc>
          <w:tcPr/>
          <w:p>
            <w:pPr>
              <w:pStyle w:val="TextoTabla"/>
            </w:pPr>
            <w:r>
              <w:t xml:space="preserve">Valor/rango en</w:t>
            </w:r>
            <w:r>
              <w:t xml:space="preserve"> </w:t>
            </w:r>
            <w:r>
              <w:rPr>
                <w:i/>
                <w:iCs/>
              </w:rPr>
              <w:t xml:space="preserve">M. beecheii</w:t>
            </w:r>
          </w:p>
        </w:tc>
        <w:tc>
          <w:tcPr/>
          <w:p>
            <w:pPr>
              <w:pStyle w:val="TextoTabla"/>
            </w:pPr>
            <w:r>
              <w:t xml:space="preserve">Fuente (específica o congénere)</w:t>
            </w:r>
          </w:p>
        </w:tc>
        <w:tc>
          <w:tcPr/>
          <w:p>
            <w:pPr>
              <w:pStyle w:val="TextoTabla"/>
            </w:pPr>
            <w:r>
              <w:t xml:space="preserve">¿Existe registro para la especie?</w:t>
            </w:r>
          </w:p>
        </w:tc>
        <w:tc>
          <w:tcPr/>
          <w:p>
            <w:pPr>
              <w:pStyle w:val="TextoTabla"/>
            </w:pPr>
            <w:r>
              <w:t xml:space="preserve">Relevancia para la tesis</w:t>
            </w:r>
          </w:p>
        </w:tc>
      </w:tr>
      <w:tr>
        <w:tc>
          <w:tcPr/>
          <w:p>
            <w:pPr>
              <w:pStyle w:val="TextoTabla"/>
            </w:pPr>
            <w:r>
              <w:t xml:space="preserve">Sonido aéreo</w:t>
            </w:r>
          </w:p>
        </w:tc>
        <w:tc>
          <w:tcPr/>
          <w:p>
            <w:pPr>
              <w:pStyle w:val="TextoTabla"/>
            </w:pPr>
            <w:r>
              <w:t xml:space="preserve">Congéneres: 350–520 Hz (</w:t>
            </w:r>
            <w:r>
              <w:rPr>
                <w:i/>
                <w:iCs/>
              </w:rPr>
              <w:t xml:space="preserve">M. scutellaris</w:t>
            </w:r>
            <w:r>
              <w:t xml:space="preserve">) y 480–600 Hz (</w:t>
            </w:r>
            <w:r>
              <w:rPr>
                <w:i/>
                <w:iCs/>
              </w:rPr>
              <w:t xml:space="preserve">M. quadrifasciata</w:t>
            </w:r>
            <w:r>
              <w:t xml:space="preserve">), frecuencia principal de las pulsaciones de forrajeo; sin dato de</w:t>
            </w:r>
            <w:r>
              <w:t xml:space="preserve"> </w:t>
            </w:r>
            <w:r>
              <w:rPr>
                <w:i/>
                <w:iCs/>
              </w:rPr>
              <w:t xml:space="preserve">M. beecheii</w:t>
            </w:r>
          </w:p>
        </w:tc>
        <w:tc>
          <w:tcPr/>
          <w:p>
            <w:pPr>
              <w:pStyle w:val="TextoTabla"/>
            </w:pPr>
            <w:r>
              <w:t xml:space="preserve">Congénere (Hrncir et al., 2000, 2006)</w:t>
            </w:r>
          </w:p>
        </w:tc>
        <w:tc>
          <w:tcPr/>
          <w:p>
            <w:pPr>
              <w:pStyle w:val="TextoTabla"/>
            </w:pPr>
            <w:r>
              <w:t xml:space="preserve">No</w:t>
            </w:r>
          </w:p>
        </w:tc>
        <w:tc>
          <w:tcPr/>
          <w:p>
            <w:pPr>
              <w:pStyle w:val="TextoTabla"/>
            </w:pPr>
            <w:r>
              <w:t xml:space="preserve">Gap de especie, no de género; además, la ausencia de 2-heptanol en</w:t>
            </w:r>
            <w:r>
              <w:t xml:space="preserve"> </w:t>
            </w:r>
            <w:r>
              <w:rPr>
                <w:i/>
                <w:iCs/>
              </w:rPr>
              <w:t xml:space="preserve">M. beecheii</w:t>
            </w:r>
            <w:r>
              <w:t xml:space="preserve"> </w:t>
            </w:r>
            <w:r>
              <w:t xml:space="preserve">(Cruz-López et al., 2005) sugiere un mecanismo de defensa distinto, sin documentar</w:t>
            </w:r>
          </w:p>
        </w:tc>
      </w:tr>
      <w:tr>
        <w:tc>
          <w:tcPr/>
          <w:p>
            <w:pPr>
              <w:pStyle w:val="TextoTabla"/>
            </w:pPr>
            <w:r>
              <w:t xml:space="preserve">Temperatura interna</w:t>
            </w:r>
          </w:p>
        </w:tc>
        <w:tc>
          <w:tcPr/>
          <w:p>
            <w:pPr>
              <w:pStyle w:val="TextoTabla"/>
            </w:pPr>
            <w:r>
              <w:t xml:space="preserve">25.4–34.0°C, media 30.2°C; 90% mortalidad de pupas a 40°C, 100% a 5°C</w:t>
            </w:r>
          </w:p>
        </w:tc>
        <w:tc>
          <w:tcPr/>
          <w:p>
            <w:pPr>
              <w:pStyle w:val="TextoTabla"/>
            </w:pPr>
            <w:r>
              <w:t xml:space="preserve">Específica de</w:t>
            </w:r>
            <w:r>
              <w:t xml:space="preserve"> </w:t>
            </w:r>
            <w:r>
              <w:rPr>
                <w:i/>
                <w:iCs/>
              </w:rPr>
              <w:t xml:space="preserve">M. beecheii</w:t>
            </w:r>
            <w:r>
              <w:t xml:space="preserve"> </w:t>
            </w:r>
            <w:r>
              <w:t xml:space="preserve">(Moo-Valle et al., 2000; Macías-Macías et al., 2011)</w:t>
            </w:r>
          </w:p>
        </w:tc>
        <w:tc>
          <w:tcPr/>
          <w:p>
            <w:pPr>
              <w:pStyle w:val="TextoTabla"/>
            </w:pPr>
            <w:r>
              <w:t xml:space="preserve">Sí</w:t>
            </w:r>
          </w:p>
        </w:tc>
        <w:tc>
          <w:tcPr/>
          <w:p>
            <w:pPr>
              <w:pStyle w:val="TextoTabla"/>
            </w:pPr>
            <w:r>
              <w:t xml:space="preserve">Dato específico existe, pero nunca fue tomado mediante monitoreo continuo automatizado (ver Tabla 1.2)</w:t>
            </w:r>
          </w:p>
        </w:tc>
      </w:tr>
      <w:tr>
        <w:tc>
          <w:tcPr/>
          <w:p>
            <w:pPr>
              <w:pStyle w:val="TextoTabla"/>
            </w:pPr>
            <w:r>
              <w:t xml:space="preserve">Humedad relativa intranidal</w:t>
            </w:r>
          </w:p>
        </w:tc>
        <w:tc>
          <w:tcPr/>
          <w:p>
            <w:pPr>
              <w:pStyle w:val="TextoTabla"/>
            </w:pPr>
            <w:r>
              <w:t xml:space="preserve">Sin rango caracterizado</w:t>
            </w:r>
          </w:p>
        </w:tc>
        <w:tc>
          <w:tcPr/>
          <w:p>
            <w:pPr>
              <w:pStyle w:val="TextoTabla"/>
            </w:pPr>
            <w:r>
              <w:t xml:space="preserve">Ni siquiera hay dato de congéneres —</w:t>
            </w:r>
            <w:r>
              <w:t xml:space="preserve"> </w:t>
            </w:r>
            <w:r>
              <w:t xml:space="preserve">“the dynamics of water balance has not been studied in stingless bees”</w:t>
            </w:r>
            <w:r>
              <w:t xml:space="preserve"> </w:t>
            </w:r>
            <w:r>
              <w:t xml:space="preserve">(Roubik, 2006)</w:t>
            </w:r>
          </w:p>
        </w:tc>
        <w:tc>
          <w:tcPr/>
          <w:p>
            <w:pPr>
              <w:pStyle w:val="TextoTabla"/>
            </w:pPr>
            <w:r>
              <w:t xml:space="preserve">No</w:t>
            </w:r>
          </w:p>
        </w:tc>
        <w:tc>
          <w:tcPr/>
          <w:p>
            <w:pPr>
              <w:pStyle w:val="TextoTabla"/>
            </w:pPr>
            <w:r>
              <w:t xml:space="preserve">Gap total para todas las meliponinas, no solo</w:t>
            </w:r>
            <w:r>
              <w:t xml:space="preserve"> </w:t>
            </w:r>
            <w:r>
              <w:rPr>
                <w:i/>
                <w:iCs/>
              </w:rPr>
              <w:t xml:space="preserve">M. beecheii</w:t>
            </w:r>
          </w:p>
        </w:tc>
      </w:tr>
      <w:tr>
        <w:tc>
          <w:tcPr/>
          <w:p>
            <w:pPr>
              <w:pStyle w:val="TextoTabla"/>
            </w:pPr>
            <w:r>
              <w:t xml:space="preserve">Conteo de tráfico (IR, piquera)</w:t>
            </w:r>
          </w:p>
        </w:tc>
        <w:tc>
          <w:tcPr/>
          <w:p>
            <w:pPr>
              <w:pStyle w:val="TextoTabla"/>
            </w:pPr>
            <w:r>
              <w:t xml:space="preserve">Sin rango de referencia</w:t>
            </w:r>
          </w:p>
        </w:tc>
        <w:tc>
          <w:tcPr/>
          <w:p>
            <w:pPr>
              <w:pStyle w:val="TextoTabla"/>
            </w:pPr>
            <w:r>
              <w:t xml:space="preserve">Parcial en congénere: Justino y Hartfelder (2024) registraron actividad en</w:t>
            </w:r>
            <w:r>
              <w:t xml:space="preserve"> </w:t>
            </w:r>
            <w:r>
              <w:rPr>
                <w:i/>
                <w:iCs/>
              </w:rPr>
              <w:t xml:space="preserve">M. quadrifasciata</w:t>
            </w:r>
            <w:r>
              <w:t xml:space="preserve"> </w:t>
            </w:r>
            <w:r>
              <w:t xml:space="preserve">sin diferenciar dirección</w:t>
            </w:r>
          </w:p>
        </w:tc>
        <w:tc>
          <w:tcPr/>
          <w:p>
            <w:pPr>
              <w:pStyle w:val="TextoTabla"/>
            </w:pPr>
            <w:r>
              <w:t xml:space="preserve">No (para conteo direccional)</w:t>
            </w:r>
          </w:p>
        </w:tc>
        <w:tc>
          <w:tcPr/>
          <w:p>
            <w:pPr>
              <w:pStyle w:val="TextoTabla"/>
            </w:pPr>
            <w:r>
              <w:t xml:space="preserve">Gap específico: ningún precedente de conteo IR bidireccional en meliponinos</w:t>
            </w:r>
          </w:p>
        </w:tc>
      </w:tr>
      <w:tr>
        <w:tc>
          <w:tcPr/>
          <w:p>
            <w:pPr>
              <w:pStyle w:val="TextoTabla"/>
            </w:pPr>
            <w:r>
              <w:t xml:space="preserve">Vibración estructural</w:t>
            </w:r>
          </w:p>
        </w:tc>
        <w:tc>
          <w:tcPr/>
          <w:p>
            <w:pPr>
              <w:pStyle w:val="TextoTabla"/>
            </w:pPr>
            <w:r>
              <w:t xml:space="preserve">Componentes de vuelo ~180 Hz; forrajeo 300-600Hz fundamental</w:t>
            </w:r>
          </w:p>
        </w:tc>
        <w:tc>
          <w:tcPr/>
          <w:p>
            <w:pPr>
              <w:pStyle w:val="TextoTabla"/>
            </w:pPr>
            <w:r>
              <w:t xml:space="preserve">Congénere (vuelo: Hrncir et al., 2008; forrajeo: Hrncir et al., 2000, 2006); otro meliponino no congénere: dos Santos et al. (2025), en</w:t>
            </w:r>
            <w:r>
              <w:t xml:space="preserve"> </w:t>
            </w:r>
            <w:r>
              <w:rPr>
                <w:i/>
                <w:iCs/>
              </w:rPr>
              <w:t xml:space="preserve">Scaptotrigona</w:t>
            </w:r>
            <w:r>
              <w:t xml:space="preserve"> </w:t>
            </w:r>
            <w:r>
              <w:t xml:space="preserve">aff.</w:t>
            </w:r>
            <w:r>
              <w:t xml:space="preserve"> </w:t>
            </w:r>
            <w:r>
              <w:rPr>
                <w:i/>
                <w:iCs/>
              </w:rPr>
              <w:t xml:space="preserve">depilis</w:t>
            </w:r>
          </w:p>
        </w:tc>
        <w:tc>
          <w:tcPr/>
          <w:p>
            <w:pPr>
              <w:pStyle w:val="TextoTabla"/>
            </w:pPr>
            <w:r>
              <w:t xml:space="preserve">No</w:t>
            </w:r>
          </w:p>
        </w:tc>
        <w:tc>
          <w:tcPr/>
          <w:p>
            <w:pPr>
              <w:pStyle w:val="TextoTabla"/>
            </w:pPr>
            <w:r>
              <w:t xml:space="preserve">Gap total para la especie; sin precedente de acelerómetro en meliponinos</w:t>
            </w:r>
          </w:p>
        </w:tc>
      </w:tr>
    </w:tbl>
    <w:p>
      <w:pPr>
        <w:pStyle w:val="Leyenda"/>
      </w:pPr>
      <w:r>
        <w:rPr>
          <w:b/>
          <w:bCs/>
        </w:rPr>
        <w:t xml:space="preserve">Tabla 1.2</w:t>
      </w:r>
      <w:r>
        <w:t xml:space="preserve"> </w:t>
      </w:r>
      <w:r>
        <w:t xml:space="preserve">Registros previos de</w:t>
      </w:r>
      <w:r>
        <w:t xml:space="preserve"> </w:t>
      </w:r>
      <w:r>
        <w:rPr>
          <w:i/>
          <w:iCs/>
        </w:rPr>
        <w:t xml:space="preserve">M. beecheii</w:t>
      </w:r>
      <w:r>
        <w:t xml:space="preserve">: manuales vs. monitoreo continuo automatizado</w:t>
      </w:r>
    </w:p>
    <w:tbl>
      <w:tblPr>
        <w:tblStyle w:val="Table"/>
        <w:tblW w:type="pct" w:w="5000"/>
        <w:tblLayout w:type="fixed"/>
        <w:tblLook w:firstRow="1" w:lastRow="0" w:firstColumn="0" w:lastColumn="0" w:noHBand="0" w:noVBand="0" w:val="0020"/>
      </w:tblPr>
      <w:tblGrid>
        <w:gridCol w:w="1102"/>
        <w:gridCol w:w="1428"/>
        <w:gridCol w:w="1428"/>
        <w:gridCol w:w="2449"/>
        <w:gridCol w:w="1510"/>
      </w:tblGrid>
      <w:tr>
        <w:trPr>
          <w:tblHeader w:val="on"/>
        </w:trPr>
        <w:tc>
          <w:tcPr/>
          <w:p>
            <w:pPr>
              <w:pStyle w:val="TextoTabla"/>
            </w:pPr>
            <w:r>
              <w:t xml:space="preserve">Estudio</w:t>
            </w:r>
          </w:p>
        </w:tc>
        <w:tc>
          <w:tcPr/>
          <w:p>
            <w:pPr>
              <w:pStyle w:val="TextoTabla"/>
            </w:pPr>
            <w:r>
              <w:t xml:space="preserve">Tipo de registro</w:t>
            </w:r>
          </w:p>
        </w:tc>
        <w:tc>
          <w:tcPr/>
          <w:p>
            <w:pPr>
              <w:pStyle w:val="TextoTabla"/>
            </w:pPr>
            <w:r>
              <w:t xml:space="preserve">Parámetro</w:t>
            </w:r>
          </w:p>
        </w:tc>
        <w:tc>
          <w:tcPr/>
          <w:p>
            <w:pPr>
              <w:pStyle w:val="TextoTabla"/>
            </w:pPr>
            <w:r>
              <w:t xml:space="preserve">Duración/método</w:t>
            </w:r>
          </w:p>
        </w:tc>
        <w:tc>
          <w:tcPr/>
          <w:p>
            <w:pPr>
              <w:pStyle w:val="TextoTabla"/>
            </w:pPr>
            <w:r>
              <w:t xml:space="preserve">¿Continuo y automatizado?</w:t>
            </w:r>
          </w:p>
        </w:tc>
      </w:tr>
      <w:tr>
        <w:tc>
          <w:tcPr/>
          <w:p>
            <w:pPr>
              <w:pStyle w:val="TextoTabla"/>
            </w:pPr>
            <w:r>
              <w:t xml:space="preserve">Moo-Valle et al. (2000)</w:t>
            </w:r>
          </w:p>
        </w:tc>
        <w:tc>
          <w:tcPr/>
          <w:p>
            <w:pPr>
              <w:pStyle w:val="TextoTabla"/>
            </w:pPr>
            <w:r>
              <w:t xml:space="preserve">Estudio formal de campo</w:t>
            </w:r>
          </w:p>
        </w:tc>
        <w:tc>
          <w:tcPr/>
          <w:p>
            <w:pPr>
              <w:pStyle w:val="TextoTabla"/>
            </w:pPr>
            <w:r>
              <w:t xml:space="preserve">Temperatura intranidal</w:t>
            </w:r>
          </w:p>
        </w:tc>
        <w:tc>
          <w:tcPr/>
          <w:p>
            <w:pPr>
              <w:pStyle w:val="TextoTabla"/>
            </w:pPr>
            <w:r>
              <w:t xml:space="preserve">Cavidades naturales en Yucatán (el más riguroso encontrado para la especie); temperatura más estable de día (9:00-20:00h) que de noche</w:t>
            </w:r>
          </w:p>
        </w:tc>
        <w:tc>
          <w:tcPr/>
          <w:p>
            <w:pPr>
              <w:pStyle w:val="TextoTabla"/>
            </w:pPr>
            <w:r>
              <w:t xml:space="preserve">No — sondas manuales, periodo acotado</w:t>
            </w:r>
          </w:p>
        </w:tc>
      </w:tr>
      <w:tr>
        <w:tc>
          <w:tcPr/>
          <w:p>
            <w:pPr>
              <w:pStyle w:val="TextoTabla"/>
            </w:pPr>
            <w:r>
              <w:t xml:space="preserve">Macías-Macías et al. (2011)</w:t>
            </w:r>
          </w:p>
        </w:tc>
        <w:tc>
          <w:tcPr/>
          <w:p>
            <w:pPr>
              <w:pStyle w:val="TextoTabla"/>
            </w:pPr>
            <w:r>
              <w:t xml:space="preserve">Estudio formal de laboratorio</w:t>
            </w:r>
          </w:p>
        </w:tc>
        <w:tc>
          <w:tcPr/>
          <w:p>
            <w:pPr>
              <w:pStyle w:val="TextoTabla"/>
            </w:pPr>
            <w:r>
              <w:t xml:space="preserve">Mortalidad bajo temperatura extrema</w:t>
            </w:r>
          </w:p>
        </w:tc>
        <w:tc>
          <w:tcPr/>
          <w:p>
            <w:pPr>
              <w:pStyle w:val="TextoTabla"/>
            </w:pPr>
            <w:r>
              <w:t xml:space="preserve">Exposición controlada a 40°C y 5°C por 24h, comparando</w:t>
            </w:r>
            <w:r>
              <w:t xml:space="preserve"> </w:t>
            </w:r>
            <w:r>
              <w:rPr>
                <w:i/>
                <w:iCs/>
              </w:rPr>
              <w:t xml:space="preserve">M. beecheii</w:t>
            </w:r>
            <w:r>
              <w:t xml:space="preserve">,</w:t>
            </w:r>
            <w:r>
              <w:t xml:space="preserve"> </w:t>
            </w:r>
            <w:r>
              <w:rPr>
                <w:i/>
                <w:iCs/>
              </w:rPr>
              <w:t xml:space="preserve">M. colimana</w:t>
            </w:r>
            <w:r>
              <w:t xml:space="preserve"> </w:t>
            </w:r>
            <w:r>
              <w:t xml:space="preserve">y</w:t>
            </w:r>
            <w:r>
              <w:t xml:space="preserve"> </w:t>
            </w:r>
            <w:r>
              <w:rPr>
                <w:i/>
                <w:iCs/>
              </w:rPr>
              <w:t xml:space="preserve">Scaptotrigona hellwegeri</w:t>
            </w:r>
          </w:p>
        </w:tc>
        <w:tc>
          <w:tcPr/>
          <w:p>
            <w:pPr>
              <w:pStyle w:val="TextoTabla"/>
            </w:pPr>
            <w:r>
              <w:t xml:space="preserve">No — puntual</w:t>
            </w:r>
          </w:p>
        </w:tc>
      </w:tr>
      <w:tr>
        <w:tc>
          <w:tcPr/>
          <w:p>
            <w:pPr>
              <w:pStyle w:val="TextoTabla"/>
            </w:pPr>
            <w:r>
              <w:t xml:space="preserve">Quezada-Euán (2018)</w:t>
            </w:r>
          </w:p>
        </w:tc>
        <w:tc>
          <w:tcPr/>
          <w:p>
            <w:pPr>
              <w:pStyle w:val="TextoTabla"/>
            </w:pPr>
            <w:r>
              <w:t xml:space="preserve">Observación personal no sistemática</w:t>
            </w:r>
          </w:p>
        </w:tc>
        <w:tc>
          <w:tcPr/>
          <w:p>
            <w:pPr>
              <w:pStyle w:val="TextoTabla"/>
            </w:pPr>
            <w:r>
              <w:t xml:space="preserve">Comportamiento térmico/defensivo</w:t>
            </w:r>
          </w:p>
        </w:tc>
        <w:tc>
          <w:tcPr/>
          <w:p>
            <w:pPr>
              <w:pStyle w:val="TextoTabla"/>
            </w:pPr>
            <w:r>
              <w:t xml:space="preserve">“Pers. obs.”</w:t>
            </w:r>
            <w:r>
              <w:t xml:space="preserve">, sin protocolo formal</w:t>
            </w:r>
          </w:p>
        </w:tc>
        <w:tc>
          <w:tcPr/>
          <w:p>
            <w:pPr>
              <w:pStyle w:val="TextoTabla"/>
            </w:pPr>
            <w:r>
              <w:t xml:space="preserve">No</w:t>
            </w:r>
          </w:p>
        </w:tc>
      </w:tr>
      <w:tr>
        <w:tc>
          <w:tcPr/>
          <w:p>
            <w:pPr>
              <w:pStyle w:val="TextoTabla"/>
            </w:pPr>
            <w:r>
              <w:t xml:space="preserve">Medina-Medina et al. (2014)</w:t>
            </w:r>
          </w:p>
        </w:tc>
        <w:tc>
          <w:tcPr/>
          <w:p>
            <w:pPr>
              <w:pStyle w:val="TextoTabla"/>
            </w:pPr>
            <w:r>
              <w:t xml:space="preserve">Observación conductual sistemática</w:t>
            </w:r>
          </w:p>
        </w:tc>
        <w:tc>
          <w:tcPr/>
          <w:p>
            <w:pPr>
              <w:pStyle w:val="TextoTabla"/>
            </w:pPr>
            <w:r>
              <w:t xml:space="preserve">Manejo de desechos</w:t>
            </w:r>
          </w:p>
        </w:tc>
        <w:tc>
          <w:tcPr/>
          <w:p>
            <w:pPr>
              <w:pStyle w:val="TextoTabla"/>
            </w:pPr>
            <w:r>
              <w:t xml:space="preserve">Observación directa, no basada en sensores</w:t>
            </w:r>
          </w:p>
        </w:tc>
        <w:tc>
          <w:tcPr/>
          <w:p>
            <w:pPr>
              <w:pStyle w:val="TextoTabla"/>
            </w:pPr>
            <w:r>
              <w:t xml:space="preserve">No</w:t>
            </w:r>
          </w:p>
        </w:tc>
      </w:tr>
    </w:tbl>
    <w:p>
      <w:pPr>
        <w:pStyle w:val="BodyText"/>
      </w:pPr>
      <w:r>
        <w:t xml:space="preserve">Ninguno de los estudios revisados usó monitoreo continuo automatizado; todos fueron manuales, puntuales o de corta duración (días a semanas), sin uso de sensores IoT para registro continuo de meses. Este hallazgo es el argumento central del vacío bibliográfico de la sección 1.1.5.</w:t>
      </w:r>
    </w:p>
    <w:bookmarkEnd w:id="23"/>
    <w:bookmarkEnd w:id="24"/>
    <w:bookmarkStart w:id="25" w:name="planteamiento-del-problema"/>
    <w:p>
      <w:pPr>
        <w:pStyle w:val="Heading2"/>
      </w:pPr>
      <w:r>
        <w:t xml:space="preserve">1.2 Planteamiento del problema</w:t>
      </w:r>
    </w:p>
    <w:p>
      <w:pPr>
        <w:pStyle w:val="FirstParagraph"/>
      </w:pPr>
      <w:r>
        <w:t xml:space="preserve">El problema central es la inexistencia de un sistema de monitoreo inteligente regionalizado, con preprocesamiento de señal robusto y arquitectura sensorial heterogénea, adaptado y validado para colonias de</w:t>
      </w:r>
      <w:r>
        <w:t xml:space="preserve"> </w:t>
      </w:r>
      <w:r>
        <w:rPr>
          <w:i/>
          <w:iCs/>
        </w:rPr>
        <w:t xml:space="preserve">Melipona beecheii</w:t>
      </w:r>
      <w:r>
        <w:t xml:space="preserve"> </w:t>
      </w:r>
      <w:r>
        <w:t xml:space="preserve">en el contexto de la meliponicultura maya, a pesar de que las herramientas metodológicas para desarrollarlo existen y han sido validadas para</w:t>
      </w:r>
      <w:r>
        <w:t xml:space="preserve"> </w:t>
      </w:r>
      <w:r>
        <w:rPr>
          <w:i/>
          <w:iCs/>
        </w:rPr>
        <w:t xml:space="preserve">Apis mellifera</w:t>
      </w:r>
      <w:r>
        <w:t xml:space="preserve"> </w:t>
      </w:r>
      <w:r>
        <w:t xml:space="preserve">por el mismo equipo de investigación. La situación ideal —un sistema autónomo de bajo costo que detecte anomalías de salud e intrusiones en condiciones tropicales reales— contrasta con la situación observada, en la que solo existe un pipeline validado en otra especie, otro clima y sobre datos de terceros.</w:t>
      </w:r>
    </w:p>
    <w:bookmarkEnd w:id="25"/>
    <w:bookmarkStart w:id="26" w:name="pregunta-de-investigación"/>
    <w:p>
      <w:pPr>
        <w:pStyle w:val="Heading2"/>
      </w:pPr>
      <w:r>
        <w:t xml:space="preserve">1.3 Pregunta de investigación</w:t>
      </w:r>
    </w:p>
    <w:p>
      <w:pPr>
        <w:pStyle w:val="FirstParagraph"/>
      </w:pPr>
      <w:r>
        <w:t xml:space="preserve">¿Puede un sistema de monitoreo inteligente, adaptado a la abeja</w:t>
      </w:r>
      <w:r>
        <w:t xml:space="preserve"> </w:t>
      </w:r>
      <w:r>
        <w:rPr>
          <w:i/>
          <w:iCs/>
        </w:rPr>
        <w:t xml:space="preserve">Melipona beecheii</w:t>
      </w:r>
      <w:r>
        <w:t xml:space="preserve"> </w:t>
      </w:r>
      <w:r>
        <w:t xml:space="preserve">y a las condiciones del trópico húmedo de Campeche, detectar de forma automática y confiable las señales de problemas en la salud de la colmena, operando de manera autónoma en meliponarios mayas?</w:t>
      </w:r>
    </w:p>
    <w:bookmarkEnd w:id="26"/>
    <w:bookmarkStart w:id="27" w:name="hipótesis"/>
    <w:p>
      <w:pPr>
        <w:pStyle w:val="Heading2"/>
      </w:pPr>
      <w:r>
        <w:t xml:space="preserve">1.4 Hipótesis</w:t>
      </w:r>
    </w:p>
    <w:p>
      <w:pPr>
        <w:pStyle w:val="FirstParagraph"/>
      </w:pPr>
      <w:r>
        <w:rPr>
          <w:b/>
          <w:bCs/>
        </w:rPr>
        <w:t xml:space="preserve">H1 (hipótesis general).</w:t>
      </w:r>
      <w:r>
        <w:t xml:space="preserve"> </w:t>
      </w:r>
      <w:r>
        <w:t xml:space="preserve">El sistema KAABLAB, adaptado con datos propios de</w:t>
      </w:r>
      <w:r>
        <w:t xml:space="preserve"> </w:t>
      </w:r>
      <w:r>
        <w:rPr>
          <w:i/>
          <w:iCs/>
        </w:rPr>
        <w:t xml:space="preserve">M. beecheii</w:t>
      </w:r>
      <w:r>
        <w:t xml:space="preserve">, arquitectura sensorial heterogénea y preprocesamiento formal de señal, puede detectar anomalías en el estado de salud de la colonia con AUC-ROC ≥ 0.85 y F1 ≥ 0.80 en el módulo bioacústico, y operación autónoma ≥ 72 horas en meliponarios mayas.</w:t>
      </w:r>
    </w:p>
    <w:p>
      <w:pPr>
        <w:numPr>
          <w:ilvl w:val="0"/>
          <w:numId w:val="1005"/>
        </w:numPr>
      </w:pPr>
      <w:r>
        <w:rPr>
          <w:b/>
          <w:bCs/>
        </w:rPr>
        <w:t xml:space="preserve">H1a.</w:t>
      </w:r>
      <w:r>
        <w:t xml:space="preserve"> </w:t>
      </w:r>
      <w:r>
        <w:t xml:space="preserve">El sistema KAABLAB, adaptado con datos propios de</w:t>
      </w:r>
      <w:r>
        <w:t xml:space="preserve"> </w:t>
      </w:r>
      <w:r>
        <w:rPr>
          <w:i/>
          <w:iCs/>
        </w:rPr>
        <w:t xml:space="preserve">M. beecheii</w:t>
      </w:r>
      <w:r>
        <w:t xml:space="preserve">, una arquitectura sensorial heterogénea regionalizada al clima tropical de Campeche y un protocolo formal de preprocesamiento de señal, detecta de forma confiable las anomalías en la salud de la colmena, entendiendo</w:t>
      </w:r>
      <w:r>
        <w:t xml:space="preserve"> </w:t>
      </w:r>
      <w:r>
        <w:t xml:space="preserve">“confiable”</w:t>
      </w:r>
      <w:r>
        <w:t xml:space="preserve"> </w:t>
      </w:r>
      <w:r>
        <w:t xml:space="preserve">como: AUC-ROC ≥ 0.85 y F1 ≥ 0.80 en el módulo bioacústico, y operación autónoma ≥ 72 horas en meliponarios mayas.</w:t>
      </w:r>
    </w:p>
    <w:p>
      <w:pPr>
        <w:numPr>
          <w:ilvl w:val="0"/>
          <w:numId w:val="1005"/>
        </w:numPr>
      </w:pPr>
      <w:r>
        <w:rPr>
          <w:b/>
          <w:bCs/>
        </w:rPr>
        <w:t xml:space="preserve">H1b.</w:t>
      </w:r>
      <w:r>
        <w:t xml:space="preserve"> </w:t>
      </w:r>
      <w:r>
        <w:t xml:space="preserve">La integración de variables ambientales IoT procesadas con fusión sensorial ponderada por confianza (sensor interno y sensor externo de temperatura/humedad) mejora la clasificación del estado de salud en ≥ 5 pp de F1 respecto al módulo acústico solo.</w:t>
      </w:r>
    </w:p>
    <w:p>
      <w:pPr>
        <w:numPr>
          <w:ilvl w:val="0"/>
          <w:numId w:val="1005"/>
        </w:numPr>
      </w:pPr>
      <w:r>
        <w:rPr>
          <w:b/>
          <w:bCs/>
        </w:rPr>
        <w:t xml:space="preserve">H1c.</w:t>
      </w:r>
      <w:r>
        <w:t xml:space="preserve"> </w:t>
      </w:r>
      <w:r>
        <w:t xml:space="preserve">El dispositivo IoT opera de forma autónoma ≥ 72 horas con batería LiPo y/o panel solar en meliponarios mayas.</w:t>
      </w:r>
    </w:p>
    <w:p>
      <w:pPr>
        <w:numPr>
          <w:ilvl w:val="0"/>
          <w:numId w:val="1005"/>
        </w:numPr>
      </w:pPr>
      <w:r>
        <w:rPr>
          <w:b/>
          <w:bCs/>
        </w:rPr>
        <w:t xml:space="preserve">H1d.</w:t>
      </w:r>
      <w:r>
        <w:t xml:space="preserve"> </w:t>
      </w:r>
      <w:r>
        <w:t xml:space="preserve">Los meliponicultores perciben el sistema como útil, comprensible y apropiado con tasa de adopción ≥ 70%.</w:t>
      </w:r>
    </w:p>
    <w:p>
      <w:pPr>
        <w:numPr>
          <w:ilvl w:val="0"/>
          <w:numId w:val="1005"/>
        </w:numPr>
      </w:pPr>
      <w:r>
        <w:rPr>
          <w:b/>
          <w:bCs/>
        </w:rPr>
        <w:t xml:space="preserve">H1e.</w:t>
      </w:r>
      <w:r>
        <w:t xml:space="preserve"> </w:t>
      </w:r>
      <w:r>
        <w:t xml:space="preserve">La arquitectura sensorial heterogénea (sensores interno y externo de temperatura/humedad, sensor de sonido aéreo y sensor de vibración estructural) produce lecturas más fiables en condiciones de HR &gt;85% y temperatura ≥34°C que la arquitectura homogénea del artículo de referencia, medido por la reducción del coeficiente de variación de las lecturas y la tasa de detección de outliers.</w:t>
      </w:r>
    </w:p>
    <w:bookmarkEnd w:id="27"/>
    <w:bookmarkStart w:id="30" w:name="objetivos"/>
    <w:p>
      <w:pPr>
        <w:pStyle w:val="Heading2"/>
      </w:pPr>
      <w:r>
        <w:t xml:space="preserve">1.5 Objetivos</w:t>
      </w:r>
    </w:p>
    <w:bookmarkStart w:id="28" w:name="objetivo-general"/>
    <w:p>
      <w:pPr>
        <w:pStyle w:val="Heading3"/>
      </w:pPr>
      <w:r>
        <w:t xml:space="preserve">1.5.1 Objetivo general</w:t>
      </w:r>
    </w:p>
    <w:p>
      <w:pPr>
        <w:pStyle w:val="FirstParagraph"/>
      </w:pPr>
      <w:r>
        <w:t xml:space="preserve">Adaptar, reentrenar y validar en condiciones reales el sistema KAABLAB para colonias de</w:t>
      </w:r>
      <w:r>
        <w:t xml:space="preserve"> </w:t>
      </w:r>
      <w:r>
        <w:rPr>
          <w:i/>
          <w:iCs/>
        </w:rPr>
        <w:t xml:space="preserve">Melipona beecheii</w:t>
      </w:r>
      <w:r>
        <w:t xml:space="preserve"> </w:t>
      </w:r>
      <w:r>
        <w:t xml:space="preserve">en meliponarios mayas de Campeche, mediante la recolección de datos propios, una arquitectura sensorial heterogénea regionalizada al clima tropical, un protocolo formal de preprocesamiento de señal, y la evaluación del sistema en campo con participación activa de meliponicultores.</w:t>
      </w:r>
    </w:p>
    <w:bookmarkEnd w:id="28"/>
    <w:bookmarkStart w:id="29" w:name="objetivos-específicos"/>
    <w:p>
      <w:pPr>
        <w:pStyle w:val="Heading3"/>
      </w:pPr>
      <w:r>
        <w:t xml:space="preserve">1.5.2 Objetivos específicos</w:t>
      </w:r>
    </w:p>
    <w:p>
      <w:pPr>
        <w:numPr>
          <w:ilvl w:val="0"/>
          <w:numId w:val="1006"/>
        </w:numPr>
      </w:pPr>
      <w:r>
        <w:rPr>
          <w:b/>
          <w:bCs/>
        </w:rPr>
        <w:t xml:space="preserve">OE1.</w:t>
      </w:r>
      <w:r>
        <w:t xml:space="preserve"> </w:t>
      </w:r>
      <w:r>
        <w:t xml:space="preserve">Construir el primer dataset multimodal etiquetado de registros de audio aéreo, vibración estructural, conteo IR de tráfico en piquera y variables ambientales (temperatura, humedad, nivel acústico) de colmenas de</w:t>
      </w:r>
      <w:r>
        <w:t xml:space="preserve"> </w:t>
      </w:r>
      <w:r>
        <w:rPr>
          <w:i/>
          <w:iCs/>
        </w:rPr>
        <w:t xml:space="preserve">M. beecheii</w:t>
      </w:r>
      <w:r>
        <w:t xml:space="preserve">, clasificados por estado de salud.</w:t>
      </w:r>
    </w:p>
    <w:p>
      <w:pPr>
        <w:numPr>
          <w:ilvl w:val="0"/>
          <w:numId w:val="1006"/>
        </w:numPr>
      </w:pPr>
      <w:r>
        <w:rPr>
          <w:b/>
          <w:bCs/>
        </w:rPr>
        <w:t xml:space="preserve">OE2.</w:t>
      </w:r>
      <w:r>
        <w:t xml:space="preserve"> </w:t>
      </w:r>
      <w:r>
        <w:t xml:space="preserve">Diseñar e implementar la arquitectura sensorial heterogénea (sensor interno de alta precisión + sensor externo básico para temperatura/HR; sensor de sonido aéreo para nivel acústico y estado general de la colonia; sensor de vibración estructural para comportamiento defensivo; sensor IR doble haz para conteo de tráfico) y validar su superioridad respecto a la arquitectura homogénea del artículo de referencia en condiciones tropicales de Campeche.</w:t>
      </w:r>
    </w:p>
    <w:p>
      <w:pPr>
        <w:numPr>
          <w:ilvl w:val="0"/>
          <w:numId w:val="1006"/>
        </w:numPr>
      </w:pPr>
      <w:r>
        <w:rPr>
          <w:b/>
          <w:bCs/>
        </w:rPr>
        <w:t xml:space="preserve">OE3.</w:t>
      </w:r>
      <w:r>
        <w:t xml:space="preserve"> </w:t>
      </w:r>
      <w:r>
        <w:t xml:space="preserve">Implementar y validar el protocolo de preprocesamiento de señal: filtro de media móvil sobre variables ambientales, pre-énfasis sobre señal de audio, umbral de energía RMS para descarte de segmentos silenciosos, normalización Z-score y fusión sensorial ponderada por confianza.</w:t>
      </w:r>
    </w:p>
    <w:p>
      <w:pPr>
        <w:numPr>
          <w:ilvl w:val="0"/>
          <w:numId w:val="1006"/>
        </w:numPr>
      </w:pPr>
      <w:r>
        <w:rPr>
          <w:b/>
          <w:bCs/>
        </w:rPr>
        <w:t xml:space="preserve">OE4.</w:t>
      </w:r>
      <w:r>
        <w:t xml:space="preserve"> </w:t>
      </w:r>
      <w:r>
        <w:t xml:space="preserve">Adaptar y reentrenar el módulo bioacústico (XGBoost, Gradient Boosting, RF, SVM) sobre datos propios de</w:t>
      </w:r>
      <w:r>
        <w:t xml:space="preserve"> </w:t>
      </w:r>
      <w:r>
        <w:rPr>
          <w:i/>
          <w:iCs/>
        </w:rPr>
        <w:t xml:space="preserve">M. beecheii</w:t>
      </w:r>
      <w:r>
        <w:t xml:space="preserve">; objetivo: AUC-ROC ≥ 0.85 y F1 ≥ 0.80.</w:t>
      </w:r>
    </w:p>
    <w:p>
      <w:pPr>
        <w:numPr>
          <w:ilvl w:val="0"/>
          <w:numId w:val="1006"/>
        </w:numPr>
      </w:pPr>
      <w:r>
        <w:rPr>
          <w:b/>
          <w:bCs/>
        </w:rPr>
        <w:t xml:space="preserve">OE5.</w:t>
      </w:r>
      <w:r>
        <w:t xml:space="preserve"> </w:t>
      </w:r>
      <w:r>
        <w:t xml:space="preserve">Evaluar el sistema completo en campo y medir usabilidad y adopción con meliponicultores mayas.</w:t>
      </w:r>
    </w:p>
    <w:bookmarkEnd w:id="29"/>
    <w:bookmarkEnd w:id="30"/>
    <w:bookmarkStart w:id="32" w:name="justificación"/>
    <w:p>
      <w:pPr>
        <w:pStyle w:val="Heading2"/>
      </w:pPr>
      <w:r>
        <w:t xml:space="preserve">1.6 Justificación</w:t>
      </w:r>
    </w:p>
    <w:bookmarkStart w:id="31" w:name="X33082678b9d8ae3bdc971adf412aeeae40c38a5"/>
    <w:p>
      <w:pPr>
        <w:pStyle w:val="Heading3"/>
      </w:pPr>
      <w:r>
        <w:t xml:space="preserve">1.6.1 Conveniencia, relevancia social e implicaciones prácticas</w:t>
      </w:r>
    </w:p>
    <w:p>
      <w:pPr>
        <w:pStyle w:val="FirstParagraph"/>
      </w:pPr>
      <w:r>
        <w:t xml:space="preserve">La justificación descansa en cinco argumentos. Primero, por conveniencia y relevancia social,</w:t>
      </w:r>
      <w:r>
        <w:t xml:space="preserve"> </w:t>
      </w:r>
      <w:r>
        <w:rPr>
          <w:i/>
          <w:iCs/>
        </w:rPr>
        <w:t xml:space="preserve">M. beecheii</w:t>
      </w:r>
      <w:r>
        <w:t xml:space="preserve"> </w:t>
      </w:r>
      <w:r>
        <w:t xml:space="preserve">es un recurso biocultural en declive que requiere herramientas de monitoreo adaptadas a sus condiciones específicas. Segundo, el pipeline KAABLAB está validado para</w:t>
      </w:r>
      <w:r>
        <w:t xml:space="preserve"> </w:t>
      </w:r>
      <w:r>
        <w:rPr>
          <w:i/>
          <w:iCs/>
        </w:rPr>
        <w:t xml:space="preserve">Apis mellifera</w:t>
      </w:r>
      <w:r>
        <w:t xml:space="preserve"> </w:t>
      </w:r>
      <w:r>
        <w:t xml:space="preserve">con código disponible; su adaptación a</w:t>
      </w:r>
      <w:r>
        <w:t xml:space="preserve"> </w:t>
      </w:r>
      <w:r>
        <w:rPr>
          <w:i/>
          <w:iCs/>
        </w:rPr>
        <w:t xml:space="preserve">M. beecheii</w:t>
      </w:r>
      <w:r>
        <w:t xml:space="preserve"> </w:t>
      </w:r>
      <w:r>
        <w:t xml:space="preserve">es la etapa natural del proyecto. Tercero, no existe ningún dataset de señales de</w:t>
      </w:r>
      <w:r>
        <w:t xml:space="preserve"> </w:t>
      </w:r>
      <w:r>
        <w:rPr>
          <w:i/>
          <w:iCs/>
        </w:rPr>
        <w:t xml:space="preserve">M. beecheii</w:t>
      </w:r>
      <w:r>
        <w:t xml:space="preserve">; su construcción es una contribución científica original. Cuarto, en cuanto a implicaciones prácticas, las restricciones del contexto rural maya justifican específicamente la orientación hacia modelos ligeros y edge computing de bajo costo. Quinto —y como contribución de diseño original de esta tesis—, la naturaleza indirecta de los sensores electrónicos (que miden fenómenos físicos secundarios y los convierten mediante funciones de calibración con limitaciones conocidas) justifica una arquitectura sensorial heterogénea con rangos complementarios, inexistente en los sistemas de monitoreo de colmenas publicados hasta la fecha.</w:t>
      </w:r>
    </w:p>
    <w:bookmarkEnd w:id="31"/>
    <w:bookmarkEnd w:id="32"/>
    <w:bookmarkStart w:id="33" w:name="alcances-y-limitaciones"/>
    <w:p>
      <w:pPr>
        <w:pStyle w:val="Heading2"/>
      </w:pPr>
      <w:r>
        <w:t xml:space="preserve">1.7 Alcances y limitaciones</w:t>
      </w:r>
    </w:p>
    <w:p>
      <w:pPr>
        <w:pStyle w:val="FirstParagraph"/>
      </w:pPr>
      <w:r>
        <w:t xml:space="preserve">En línea con su título, esta tesis desarrolla un sistema de monitoreo inteligente cuya protección de</w:t>
      </w:r>
      <w:r>
        <w:t xml:space="preserve"> </w:t>
      </w:r>
      <w:r>
        <w:rPr>
          <w:i/>
          <w:iCs/>
        </w:rPr>
        <w:t xml:space="preserve">M. beecheii</w:t>
      </w:r>
      <w:r>
        <w:t xml:space="preserve"> </w:t>
      </w:r>
      <w:r>
        <w:t xml:space="preserve">deriva de la integración de arquitectura electrónica IoT, análisis de datos mediante inteligencia artificial, y datos propios de la especie capturados de forma continua por primera vez. Dicha protección no es posible sin ese registro continuo, que necesariamente genera nuevo conocimiento sobre la especie. El aporte de la investigación se concentra en la integración técnica que hace posible ese registro —no en el estudio biológico o entomológico de la especie como fin en sí mismo—; los datos biológicos recolectados en campo son tanto un insumo para entrenar y validar el sistema como un registro original que respalda las brechas bibliográficas documentadas en 1.1.5.</w:t>
      </w:r>
    </w:p>
    <w:p>
      <w:pPr>
        <w:pStyle w:val="BodyText"/>
      </w:pPr>
      <w:r>
        <w:t xml:space="preserve">El alcance de esta investigación se delimita a la especie</w:t>
      </w:r>
      <w:r>
        <w:t xml:space="preserve"> </w:t>
      </w:r>
      <w:r>
        <w:rPr>
          <w:i/>
          <w:iCs/>
        </w:rPr>
        <w:t xml:space="preserve">Melipona beecheii</w:t>
      </w:r>
      <w:r>
        <w:t xml:space="preserve"> </w:t>
      </w:r>
      <w:r>
        <w:t xml:space="preserve">y a meliponarios ubicados en el estado de Campeche, con al menos tres sitios instrumentados. El sistema se concibe en fase de adaptación y validación de campo, no de despliegue comercial masivo. El módulo bioacústico se orienta a la clasificación del estado de salud y la detección de ausencia de reina; el módulo de conteo de tráfico en la piquera, mediante sensor IR de doble haz, se orienta a la estimación de la actividad de forrajeo como proxy adicional de vitalidad de la colonia. La instrumentación es no invasiva: solo las sondas de los sensores penetran la cavidad de la colmena.</w:t>
      </w:r>
    </w:p>
    <w:p>
      <w:pPr>
        <w:pStyle w:val="BodyText"/>
      </w:pPr>
      <w:r>
        <w:t xml:space="preserve">Entre las limitaciones reconocidas se encuentran: el tamaño del dataset inicial (estimado en al menos 1,000 registros en el cuarto semestre), que condiciona la complejidad de los modelos y obliga a estrategias de aumento de datos; la dependencia del etiquetado por observación directa del meliponicultor, sujeto a disponibilidad y a la dificultad de observar ciertos estados; la cobertura de conectividad en sitios rurales, que condiciona el esquema de transmisión inalámbrica y obliga a un respaldo local de los datos; y el firmware del nodo, el muestreo de vibración a 1.5 kHz, la autonomía y la aplicación móvil están diseñados, pero aún no validados en banco ni en campo.</w:t>
      </w:r>
    </w:p>
    <w:bookmarkEnd w:id="33"/>
    <w:bookmarkStart w:id="34" w:name="estrategia-experimental"/>
    <w:p>
      <w:pPr>
        <w:pStyle w:val="Heading2"/>
      </w:pPr>
      <w:r>
        <w:t xml:space="preserve">1.8 Estrategia experimental</w:t>
      </w:r>
    </w:p>
    <w:p>
      <w:pPr>
        <w:pStyle w:val="FirstParagraph"/>
      </w:pPr>
      <w:r>
        <w:t xml:space="preserve">La estrategia experimental organiza el trabajo en cuatro fases macro, distintas del detalle metodológico del Capítulo II. La primera fase es de instrumentación: integración de la arquitectura sensorial heterogénea en las colmenas y validación comparativa de los sensores (sensor interno frente a sensor externo de temperatura/humedad) en condiciones tropicales reales. La segunda fase es de recolección y construcción del dataset multimodal etiquetado, junto con la implementación del protocolo de preprocesamiento. La tercera fase es de adaptación y reentrenamiento del modelo bioacústico sobre los datos propios. La cuarta fase es de despliegue y validación en campo, con la medición cuantitativa del desempeño y la evaluación cualitativa de usabilidad y adopción con los meliponicultores.</w:t>
      </w:r>
    </w:p>
    <w:bookmarkEnd w:id="34"/>
    <w:bookmarkStart w:id="35" w:name="X83514fb618ae587ef17c52a1d05599ba073e175"/>
    <w:p>
      <w:pPr>
        <w:pStyle w:val="Heading2"/>
      </w:pPr>
      <w:r>
        <w:t xml:space="preserve">1.9 Planeación: recursos, cronograma y presupuesto</w:t>
      </w:r>
    </w:p>
    <w:p>
      <w:pPr>
        <w:pStyle w:val="FirstParagraph"/>
      </w:pPr>
      <w:r>
        <w:t xml:space="preserve">El proyecto se ejecuta en cuatro semestres —propuesta de tesis (S1), desarrollo (S2), integración de hardware y revisión (S3) e implementación (S4)— y se encuentra en el tercero. Los recursos de cómputo en campo se basan en un edge device de bajo costo (ESP32 DevKit V1 que captura y almacena en microSD; el procesamiento y la inferencia se harán en una aplicación Android), alimentación autónoma mediante power bank, batería LiPo y panel solar, y una arquitectura sensorial heterogénea de cinco sensores (temperatura/humedad interno, temperatura/humedad externo, sonido aéreo, vibración estructural e IR doble haz). La Tabla 1.3 presenta el cronograma con hitos de decisión y planes de contingencia; la Tabla 1.4 detalla el presupuesto por nodo y para los tres meliponarios instrumentados.</w:t>
      </w:r>
    </w:p>
    <w:tbl>
      <w:tblPr>
        <w:tblStyle w:val="Table"/>
        <w:tblW w:type="pct" w:w="5000"/>
        <w:tblLayout w:type="fixed"/>
        <w:tblLook w:firstRow="1" w:lastRow="0" w:firstColumn="0" w:lastColumn="0" w:noHBand="0" w:noVBand="0" w:val="0020"/>
      </w:tblPr>
      <w:tblGrid>
        <w:gridCol w:w="218"/>
        <w:gridCol w:w="3277"/>
        <w:gridCol w:w="218"/>
        <w:gridCol w:w="218"/>
        <w:gridCol w:w="218"/>
        <w:gridCol w:w="218"/>
        <w:gridCol w:w="2075"/>
        <w:gridCol w:w="1474"/>
      </w:tblGrid>
      <w:tr>
        <w:trPr>
          <w:tblHeader w:val="on"/>
        </w:trPr>
        <w:tc>
          <w:tcPr/>
          <w:p>
            <w:pPr>
              <w:pStyle w:val="TextoTabla"/>
            </w:pPr>
            <w:r>
              <w:rPr>
                <w:b/>
                <w:bCs/>
              </w:rPr>
              <w:t xml:space="preserve">N°</w:t>
            </w:r>
          </w:p>
        </w:tc>
        <w:tc>
          <w:tcPr/>
          <w:p>
            <w:pPr>
              <w:pStyle w:val="TextoTabla"/>
            </w:pPr>
            <w:r>
              <w:rPr>
                <w:b/>
                <w:bCs/>
              </w:rPr>
              <w:t xml:space="preserve">Actividad</w:t>
            </w:r>
          </w:p>
        </w:tc>
        <w:tc>
          <w:tcPr/>
          <w:p>
            <w:pPr>
              <w:pStyle w:val="TextoTabla"/>
            </w:pPr>
            <w:r>
              <w:rPr>
                <w:b/>
                <w:bCs/>
              </w:rPr>
              <w:t xml:space="preserve">S1</w:t>
            </w:r>
          </w:p>
        </w:tc>
        <w:tc>
          <w:tcPr/>
          <w:p>
            <w:pPr>
              <w:pStyle w:val="TextoTabla"/>
            </w:pPr>
            <w:r>
              <w:rPr>
                <w:b/>
                <w:bCs/>
              </w:rPr>
              <w:t xml:space="preserve">S2</w:t>
            </w:r>
          </w:p>
        </w:tc>
        <w:tc>
          <w:tcPr/>
          <w:p>
            <w:pPr>
              <w:pStyle w:val="TextoTabla"/>
            </w:pPr>
            <w:r>
              <w:rPr>
                <w:b/>
                <w:bCs/>
              </w:rPr>
              <w:t xml:space="preserve">S3</w:t>
            </w:r>
          </w:p>
        </w:tc>
        <w:tc>
          <w:tcPr/>
          <w:p>
            <w:pPr>
              <w:pStyle w:val="TextoTabla"/>
            </w:pPr>
            <w:r>
              <w:rPr>
                <w:b/>
                <w:bCs/>
              </w:rPr>
              <w:t xml:space="preserve">S4</w:t>
            </w:r>
          </w:p>
        </w:tc>
        <w:tc>
          <w:tcPr/>
          <w:p>
            <w:pPr>
              <w:pStyle w:val="TextoTabla"/>
            </w:pPr>
            <w:r>
              <w:rPr>
                <w:b/>
                <w:bCs/>
              </w:rPr>
              <w:t xml:space="preserve">Hito / Entregable</w:t>
            </w:r>
          </w:p>
        </w:tc>
        <w:tc>
          <w:tcPr/>
          <w:p>
            <w:pPr>
              <w:pStyle w:val="TextoTabla"/>
            </w:pPr>
            <w:r>
              <w:rPr>
                <w:b/>
                <w:bCs/>
              </w:rPr>
              <w:t xml:space="preserve">Contingencia</w:t>
            </w:r>
          </w:p>
        </w:tc>
      </w:tr>
      <w:tr>
        <w:tc>
          <w:tcPr/>
          <w:p>
            <w:pPr>
              <w:pStyle w:val="TextoTabla"/>
            </w:pPr>
            <w:r>
              <w:t xml:space="preserve">1</w:t>
            </w:r>
          </w:p>
        </w:tc>
        <w:tc>
          <w:tcPr/>
          <w:p>
            <w:pPr>
              <w:pStyle w:val="TextoTabla"/>
            </w:pPr>
            <w:r>
              <w:t xml:space="preserve">Revisión sistemática y análisis del artículo de referencia</w:t>
            </w:r>
          </w:p>
        </w:tc>
        <w:tc>
          <w:tcPr/>
          <w:p>
            <w:pPr>
              <w:pStyle w:val="TextoTabla"/>
            </w:pPr>
            <w:r>
              <w:t xml:space="preserve">✓</w:t>
            </w:r>
          </w:p>
        </w:tc>
        <w:tc>
          <w:tcPr/>
          <w:p>
            <w:pPr>
              <w:pStyle w:val="TextoTabla"/>
            </w:pPr>
            <w:r>
              <w:t xml:space="preserve">✓</w:t>
            </w:r>
          </w:p>
        </w:tc>
        <w:tc>
          <w:tcPr/>
          <w:p>
            <w:pPr>
              <w:pStyle w:val="TextoTabla"/>
            </w:pPr>
          </w:p>
        </w:tc>
        <w:tc>
          <w:tcPr/>
          <w:p>
            <w:pPr>
              <w:pStyle w:val="TextoTabla"/>
            </w:pPr>
          </w:p>
        </w:tc>
        <w:tc>
          <w:tcPr/>
          <w:p>
            <w:pPr>
              <w:pStyle w:val="TextoTabla"/>
            </w:pPr>
            <w:r>
              <w:t xml:space="preserve">Marco teórico completo</w:t>
            </w:r>
          </w:p>
        </w:tc>
        <w:tc>
          <w:tcPr/>
          <w:p>
            <w:pPr>
              <w:pStyle w:val="TextoTabla"/>
            </w:pPr>
            <w:r>
              <w:t xml:space="preserve">N/A</w:t>
            </w:r>
          </w:p>
        </w:tc>
      </w:tr>
      <w:tr>
        <w:tc>
          <w:tcPr/>
          <w:p>
            <w:pPr>
              <w:pStyle w:val="TextoTabla"/>
            </w:pPr>
            <w:r>
              <w:t xml:space="preserve">2</w:t>
            </w:r>
          </w:p>
        </w:tc>
        <w:tc>
          <w:tcPr/>
          <w:p>
            <w:pPr>
              <w:pStyle w:val="TextoTabla"/>
            </w:pPr>
            <w:r>
              <w:t xml:space="preserve">Adquisición de hardware IoT</w:t>
            </w:r>
          </w:p>
        </w:tc>
        <w:tc>
          <w:tcPr/>
          <w:p>
            <w:pPr>
              <w:pStyle w:val="TextoTabla"/>
            </w:pPr>
          </w:p>
        </w:tc>
        <w:tc>
          <w:tcPr/>
          <w:p>
            <w:pPr>
              <w:pStyle w:val="TextoTabla"/>
            </w:pPr>
          </w:p>
        </w:tc>
        <w:tc>
          <w:tcPr/>
          <w:p>
            <w:pPr>
              <w:pStyle w:val="TextoTabla"/>
            </w:pPr>
            <w:r>
              <w:t xml:space="preserve">✓</w:t>
            </w:r>
          </w:p>
        </w:tc>
        <w:tc>
          <w:tcPr/>
          <w:p>
            <w:pPr>
              <w:pStyle w:val="TextoTabla"/>
            </w:pPr>
          </w:p>
        </w:tc>
        <w:tc>
          <w:tcPr/>
          <w:p>
            <w:pPr>
              <w:pStyle w:val="TextoTabla"/>
            </w:pPr>
            <w:r>
              <w:t xml:space="preserve">Hardware disponible</w:t>
            </w:r>
          </w:p>
        </w:tc>
        <w:tc>
          <w:tcPr/>
          <w:p>
            <w:pPr>
              <w:pStyle w:val="TextoTabla"/>
            </w:pPr>
            <w:r>
              <w:t xml:space="preserve">N/A</w:t>
            </w:r>
          </w:p>
        </w:tc>
      </w:tr>
      <w:tr>
        <w:tc>
          <w:tcPr/>
          <w:p>
            <w:pPr>
              <w:pStyle w:val="TextoTabla"/>
            </w:pPr>
            <w:r>
              <w:t xml:space="preserve">3</w:t>
            </w:r>
          </w:p>
        </w:tc>
        <w:tc>
          <w:tcPr/>
          <w:p>
            <w:pPr>
              <w:pStyle w:val="TextoTabla"/>
            </w:pPr>
            <w:r>
              <w:t xml:space="preserve">Coordinación con meliponarios mayas de Campeche</w:t>
            </w:r>
          </w:p>
        </w:tc>
        <w:tc>
          <w:tcPr/>
          <w:p>
            <w:pPr>
              <w:pStyle w:val="TextoTabla"/>
            </w:pPr>
          </w:p>
        </w:tc>
        <w:tc>
          <w:tcPr/>
          <w:p>
            <w:pPr>
              <w:pStyle w:val="TextoTabla"/>
            </w:pPr>
          </w:p>
        </w:tc>
        <w:tc>
          <w:tcPr/>
          <w:p>
            <w:pPr>
              <w:pStyle w:val="TextoTabla"/>
            </w:pPr>
            <w:r>
              <w:t xml:space="preserve">✓</w:t>
            </w:r>
          </w:p>
        </w:tc>
        <w:tc>
          <w:tcPr/>
          <w:p>
            <w:pPr>
              <w:pStyle w:val="TextoTabla"/>
            </w:pPr>
          </w:p>
        </w:tc>
        <w:tc>
          <w:tcPr/>
          <w:p>
            <w:pPr>
              <w:pStyle w:val="TextoTabla"/>
            </w:pPr>
            <w:r>
              <w:t xml:space="preserve">≥ 3 meliponarios confirmados</w:t>
            </w:r>
          </w:p>
        </w:tc>
        <w:tc>
          <w:tcPr/>
          <w:p>
            <w:pPr>
              <w:pStyle w:val="TextoTabla"/>
            </w:pPr>
            <w:r>
              <w:t xml:space="preserve">Ampliar a Yucatán</w:t>
            </w:r>
          </w:p>
        </w:tc>
      </w:tr>
      <w:tr>
        <w:tc>
          <w:tcPr/>
          <w:p>
            <w:pPr>
              <w:pStyle w:val="TextoTabla"/>
            </w:pPr>
            <w:r>
              <w:t xml:space="preserve">4</w:t>
            </w:r>
          </w:p>
        </w:tc>
        <w:tc>
          <w:tcPr/>
          <w:p>
            <w:pPr>
              <w:pStyle w:val="TextoTabla"/>
            </w:pPr>
            <w:r>
              <w:t xml:space="preserve">Instrumentación en campo y validación de la arquitectura sensorial</w:t>
            </w:r>
          </w:p>
        </w:tc>
        <w:tc>
          <w:tcPr/>
          <w:p>
            <w:pPr>
              <w:pStyle w:val="TextoTabla"/>
            </w:pPr>
          </w:p>
        </w:tc>
        <w:tc>
          <w:tcPr/>
          <w:p>
            <w:pPr>
              <w:pStyle w:val="TextoTabla"/>
            </w:pPr>
          </w:p>
        </w:tc>
        <w:tc>
          <w:tcPr/>
          <w:p>
            <w:pPr>
              <w:pStyle w:val="TextoTabla"/>
            </w:pPr>
          </w:p>
        </w:tc>
        <w:tc>
          <w:tcPr/>
          <w:p>
            <w:pPr>
              <w:pStyle w:val="TextoTabla"/>
            </w:pPr>
            <w:r>
              <w:t xml:space="preserve">✓</w:t>
            </w:r>
          </w:p>
        </w:tc>
        <w:tc>
          <w:tcPr/>
          <w:p>
            <w:pPr>
              <w:pStyle w:val="TextoTabla"/>
            </w:pPr>
            <w:r>
              <w:t xml:space="preserve">Comparativa sensor interno vs. externo</w:t>
            </w:r>
          </w:p>
        </w:tc>
        <w:tc>
          <w:tcPr/>
          <w:p>
            <w:pPr>
              <w:pStyle w:val="TextoTabla"/>
            </w:pPr>
            <w:r>
              <w:t xml:space="preserve">Reducir a 2 colmenas</w:t>
            </w:r>
          </w:p>
        </w:tc>
      </w:tr>
      <w:tr>
        <w:tc>
          <w:tcPr/>
          <w:p>
            <w:pPr>
              <w:pStyle w:val="TextoTabla"/>
            </w:pPr>
            <w:r>
              <w:t xml:space="preserve">5</w:t>
            </w:r>
          </w:p>
        </w:tc>
        <w:tc>
          <w:tcPr/>
          <w:p>
            <w:pPr>
              <w:pStyle w:val="TextoTabla"/>
            </w:pPr>
            <w:r>
              <w:t xml:space="preserve">Recolección de datos y construcción del dataset</w:t>
            </w:r>
          </w:p>
        </w:tc>
        <w:tc>
          <w:tcPr/>
          <w:p>
            <w:pPr>
              <w:pStyle w:val="TextoTabla"/>
            </w:pPr>
          </w:p>
        </w:tc>
        <w:tc>
          <w:tcPr/>
          <w:p>
            <w:pPr>
              <w:pStyle w:val="TextoTabla"/>
            </w:pPr>
          </w:p>
        </w:tc>
        <w:tc>
          <w:tcPr/>
          <w:p>
            <w:pPr>
              <w:pStyle w:val="TextoTabla"/>
            </w:pPr>
          </w:p>
        </w:tc>
        <w:tc>
          <w:tcPr/>
          <w:p>
            <w:pPr>
              <w:pStyle w:val="TextoTabla"/>
            </w:pPr>
            <w:r>
              <w:t xml:space="preserve">✓</w:t>
            </w:r>
          </w:p>
        </w:tc>
        <w:tc>
          <w:tcPr/>
          <w:p>
            <w:pPr>
              <w:pStyle w:val="TextoTabla"/>
            </w:pPr>
            <w:r>
              <w:t xml:space="preserve">Dataset v1</w:t>
            </w:r>
          </w:p>
        </w:tc>
        <w:tc>
          <w:tcPr/>
          <w:p>
            <w:pPr>
              <w:pStyle w:val="TextoTabla"/>
            </w:pPr>
            <w:r>
              <w:t xml:space="preserve">Aumento de datos</w:t>
            </w:r>
          </w:p>
        </w:tc>
      </w:tr>
      <w:tr>
        <w:tc>
          <w:tcPr/>
          <w:p>
            <w:pPr>
              <w:pStyle w:val="TextoTabla"/>
            </w:pPr>
            <w:r>
              <w:t xml:space="preserve">6</w:t>
            </w:r>
          </w:p>
        </w:tc>
        <w:tc>
          <w:tcPr/>
          <w:p>
            <w:pPr>
              <w:pStyle w:val="TextoTabla"/>
            </w:pPr>
            <w:r>
              <w:t xml:space="preserve">Implementación del protocolo de preprocesamiento</w:t>
            </w:r>
          </w:p>
        </w:tc>
        <w:tc>
          <w:tcPr/>
          <w:p>
            <w:pPr>
              <w:pStyle w:val="TextoTabla"/>
            </w:pPr>
          </w:p>
        </w:tc>
        <w:tc>
          <w:tcPr/>
          <w:p>
            <w:pPr>
              <w:pStyle w:val="TextoTabla"/>
            </w:pPr>
            <w:r>
              <w:t xml:space="preserve">✓</w:t>
            </w:r>
          </w:p>
        </w:tc>
        <w:tc>
          <w:tcPr/>
          <w:p>
            <w:pPr>
              <w:pStyle w:val="TextoTabla"/>
            </w:pPr>
            <w:r>
              <w:t xml:space="preserve">✓</w:t>
            </w:r>
          </w:p>
        </w:tc>
        <w:tc>
          <w:tcPr/>
          <w:p>
            <w:pPr>
              <w:pStyle w:val="TextoTabla"/>
            </w:pPr>
          </w:p>
        </w:tc>
        <w:tc>
          <w:tcPr/>
          <w:p>
            <w:pPr>
              <w:pStyle w:val="TextoTabla"/>
            </w:pPr>
            <w:r>
              <w:t xml:space="preserve">Reducción del CV de sensores</w:t>
            </w:r>
          </w:p>
        </w:tc>
        <w:tc>
          <w:tcPr/>
          <w:p>
            <w:pPr>
              <w:pStyle w:val="TextoTabla"/>
            </w:pPr>
            <w:r>
              <w:t xml:space="preserve">N/A</w:t>
            </w:r>
          </w:p>
        </w:tc>
      </w:tr>
      <w:tr>
        <w:tc>
          <w:tcPr/>
          <w:p>
            <w:pPr>
              <w:pStyle w:val="TextoTabla"/>
            </w:pPr>
            <w:r>
              <w:t xml:space="preserve">7</w:t>
            </w:r>
          </w:p>
        </w:tc>
        <w:tc>
          <w:tcPr/>
          <w:p>
            <w:pPr>
              <w:pStyle w:val="TextoTabla"/>
            </w:pPr>
            <w:r>
              <w:t xml:space="preserve">Caracterización bioacústica y de vibración</w:t>
            </w:r>
          </w:p>
        </w:tc>
        <w:tc>
          <w:tcPr/>
          <w:p>
            <w:pPr>
              <w:pStyle w:val="TextoTabla"/>
            </w:pPr>
          </w:p>
        </w:tc>
        <w:tc>
          <w:tcPr/>
          <w:p>
            <w:pPr>
              <w:pStyle w:val="TextoTabla"/>
            </w:pPr>
          </w:p>
        </w:tc>
        <w:tc>
          <w:tcPr/>
          <w:p>
            <w:pPr>
              <w:pStyle w:val="TextoTabla"/>
            </w:pPr>
          </w:p>
        </w:tc>
        <w:tc>
          <w:tcPr/>
          <w:p>
            <w:pPr>
              <w:pStyle w:val="TextoTabla"/>
            </w:pPr>
            <w:r>
              <w:t xml:space="preserve">✓</w:t>
            </w:r>
          </w:p>
        </w:tc>
        <w:tc>
          <w:tcPr/>
          <w:p>
            <w:pPr>
              <w:pStyle w:val="TextoTabla"/>
            </w:pPr>
            <w:r>
              <w:t xml:space="preserve">Informe de patrones</w:t>
            </w:r>
          </w:p>
        </w:tc>
        <w:tc>
          <w:tcPr/>
          <w:p>
            <w:pPr>
              <w:pStyle w:val="TextoTabla"/>
            </w:pPr>
            <w:r>
              <w:t xml:space="preserve">N/A</w:t>
            </w:r>
          </w:p>
        </w:tc>
      </w:tr>
      <w:tr>
        <w:tc>
          <w:tcPr/>
          <w:p>
            <w:pPr>
              <w:pStyle w:val="TextoTabla"/>
            </w:pPr>
            <w:r>
              <w:t xml:space="preserve">8</w:t>
            </w:r>
          </w:p>
        </w:tc>
        <w:tc>
          <w:tcPr/>
          <w:p>
            <w:pPr>
              <w:pStyle w:val="TextoTabla"/>
            </w:pPr>
            <w:r>
              <w:t xml:space="preserve">Módulo bioacústico — reentrenamiento y evaluación</w:t>
            </w:r>
          </w:p>
        </w:tc>
        <w:tc>
          <w:tcPr/>
          <w:p>
            <w:pPr>
              <w:pStyle w:val="TextoTabla"/>
            </w:pPr>
          </w:p>
        </w:tc>
        <w:tc>
          <w:tcPr/>
          <w:p>
            <w:pPr>
              <w:pStyle w:val="TextoTabla"/>
            </w:pPr>
          </w:p>
        </w:tc>
        <w:tc>
          <w:tcPr/>
          <w:p>
            <w:pPr>
              <w:pStyle w:val="TextoTabla"/>
            </w:pPr>
          </w:p>
        </w:tc>
        <w:tc>
          <w:tcPr/>
          <w:p>
            <w:pPr>
              <w:pStyle w:val="TextoTabla"/>
            </w:pPr>
            <w:r>
              <w:t xml:space="preserve">✓</w:t>
            </w:r>
          </w:p>
        </w:tc>
        <w:tc>
          <w:tcPr/>
          <w:p>
            <w:pPr>
              <w:pStyle w:val="TextoTabla"/>
            </w:pPr>
            <w:r>
              <w:t xml:space="preserve">F1 ≥ 0.75 mínimo</w:t>
            </w:r>
          </w:p>
        </w:tc>
        <w:tc>
          <w:tcPr/>
          <w:p>
            <w:pPr>
              <w:pStyle w:val="TextoTabla"/>
            </w:pPr>
            <w:r>
              <w:t xml:space="preserve">Reducir clases</w:t>
            </w:r>
          </w:p>
        </w:tc>
      </w:tr>
      <w:tr>
        <w:tc>
          <w:tcPr/>
          <w:p>
            <w:pPr>
              <w:pStyle w:val="TextoTabla"/>
            </w:pPr>
            <w:r>
              <w:t xml:space="preserve">9</w:t>
            </w:r>
          </w:p>
        </w:tc>
        <w:tc>
          <w:tcPr/>
          <w:p>
            <w:pPr>
              <w:pStyle w:val="TextoTabla"/>
            </w:pPr>
            <w:r>
              <w:t xml:space="preserve">Calibración y validación del sensor IR de conteo</w:t>
            </w:r>
          </w:p>
        </w:tc>
        <w:tc>
          <w:tcPr/>
          <w:p>
            <w:pPr>
              <w:pStyle w:val="TextoTabla"/>
            </w:pPr>
          </w:p>
        </w:tc>
        <w:tc>
          <w:tcPr/>
          <w:p>
            <w:pPr>
              <w:pStyle w:val="TextoTabla"/>
            </w:pPr>
          </w:p>
        </w:tc>
        <w:tc>
          <w:tcPr/>
          <w:p>
            <w:pPr>
              <w:pStyle w:val="TextoTabla"/>
            </w:pPr>
            <w:r>
              <w:t xml:space="preserve">✓</w:t>
            </w:r>
          </w:p>
        </w:tc>
        <w:tc>
          <w:tcPr/>
          <w:p>
            <w:pPr>
              <w:pStyle w:val="TextoTabla"/>
            </w:pPr>
            <w:r>
              <w:t xml:space="preserve">✓</w:t>
            </w:r>
          </w:p>
        </w:tc>
        <w:tc>
          <w:tcPr/>
          <w:p>
            <w:pPr>
              <w:pStyle w:val="TextoTabla"/>
            </w:pPr>
            <w:r>
              <w:t xml:space="preserve">Precisión de conteo definida</w:t>
            </w:r>
          </w:p>
        </w:tc>
        <w:tc>
          <w:tcPr/>
          <w:p>
            <w:pPr>
              <w:pStyle w:val="TextoTabla"/>
            </w:pPr>
            <w:r>
              <w:t xml:space="preserve">Ajustar separación de haces</w:t>
            </w:r>
          </w:p>
        </w:tc>
      </w:tr>
      <w:tr>
        <w:tc>
          <w:tcPr/>
          <w:p>
            <w:pPr>
              <w:pStyle w:val="TextoTabla"/>
            </w:pPr>
            <w:r>
              <w:t xml:space="preserve">10</w:t>
            </w:r>
          </w:p>
        </w:tc>
        <w:tc>
          <w:tcPr/>
          <w:p>
            <w:pPr>
              <w:pStyle w:val="TextoTabla"/>
            </w:pPr>
            <w:r>
              <w:t xml:space="preserve">Integración del dispositivo IoT de campo</w:t>
            </w:r>
          </w:p>
        </w:tc>
        <w:tc>
          <w:tcPr/>
          <w:p>
            <w:pPr>
              <w:pStyle w:val="TextoTabla"/>
            </w:pPr>
          </w:p>
        </w:tc>
        <w:tc>
          <w:tcPr/>
          <w:p>
            <w:pPr>
              <w:pStyle w:val="TextoTabla"/>
            </w:pPr>
          </w:p>
        </w:tc>
        <w:tc>
          <w:tcPr/>
          <w:p>
            <w:pPr>
              <w:pStyle w:val="TextoTabla"/>
            </w:pPr>
            <w:r>
              <w:t xml:space="preserve">✓</w:t>
            </w:r>
          </w:p>
        </w:tc>
        <w:tc>
          <w:tcPr/>
          <w:p>
            <w:pPr>
              <w:pStyle w:val="TextoTabla"/>
            </w:pPr>
          </w:p>
        </w:tc>
        <w:tc>
          <w:tcPr/>
          <w:p>
            <w:pPr>
              <w:pStyle w:val="TextoTabla"/>
            </w:pPr>
            <w:r>
              <w:t xml:space="preserve">Autonomía ≥ 72 h</w:t>
            </w:r>
          </w:p>
        </w:tc>
        <w:tc>
          <w:tcPr/>
          <w:p>
            <w:pPr>
              <w:pStyle w:val="TextoTabla"/>
            </w:pPr>
            <w:r>
              <w:t xml:space="preserve">Menos ventanas por ciclo</w:t>
            </w:r>
          </w:p>
        </w:tc>
      </w:tr>
      <w:tr>
        <w:tc>
          <w:tcPr/>
          <w:p>
            <w:pPr>
              <w:pStyle w:val="TextoTabla"/>
            </w:pPr>
            <w:r>
              <w:t xml:space="preserve">11</w:t>
            </w:r>
          </w:p>
        </w:tc>
        <w:tc>
          <w:tcPr/>
          <w:p>
            <w:pPr>
              <w:pStyle w:val="TextoTabla"/>
            </w:pPr>
            <w:r>
              <w:t xml:space="preserve">Despliegue y evaluación cuantitativa en campo</w:t>
            </w:r>
          </w:p>
        </w:tc>
        <w:tc>
          <w:tcPr/>
          <w:p>
            <w:pPr>
              <w:pStyle w:val="TextoTabla"/>
            </w:pPr>
          </w:p>
        </w:tc>
        <w:tc>
          <w:tcPr/>
          <w:p>
            <w:pPr>
              <w:pStyle w:val="TextoTabla"/>
            </w:pPr>
          </w:p>
        </w:tc>
        <w:tc>
          <w:tcPr/>
          <w:p>
            <w:pPr>
              <w:pStyle w:val="TextoTabla"/>
            </w:pPr>
          </w:p>
        </w:tc>
        <w:tc>
          <w:tcPr/>
          <w:p>
            <w:pPr>
              <w:pStyle w:val="TextoTabla"/>
            </w:pPr>
            <w:r>
              <w:t xml:space="preserve">✓</w:t>
            </w:r>
          </w:p>
        </w:tc>
        <w:tc>
          <w:tcPr/>
          <w:p>
            <w:pPr>
              <w:pStyle w:val="TextoTabla"/>
            </w:pPr>
            <w:r>
              <w:t xml:space="preserve">AUC-ROC en campo</w:t>
            </w:r>
          </w:p>
        </w:tc>
        <w:tc>
          <w:tcPr/>
          <w:p>
            <w:pPr>
              <w:pStyle w:val="TextoTabla"/>
            </w:pPr>
            <w:r>
              <w:t xml:space="preserve">N/A</w:t>
            </w:r>
          </w:p>
        </w:tc>
      </w:tr>
      <w:tr>
        <w:tc>
          <w:tcPr/>
          <w:p>
            <w:pPr>
              <w:pStyle w:val="TextoTabla"/>
            </w:pPr>
            <w:r>
              <w:t xml:space="preserve">12</w:t>
            </w:r>
          </w:p>
        </w:tc>
        <w:tc>
          <w:tcPr/>
          <w:p>
            <w:pPr>
              <w:pStyle w:val="TextoTabla"/>
            </w:pPr>
            <w:r>
              <w:t xml:space="preserve">Evaluación cualitativa con meliponicultores</w:t>
            </w:r>
          </w:p>
        </w:tc>
        <w:tc>
          <w:tcPr/>
          <w:p>
            <w:pPr>
              <w:pStyle w:val="TextoTabla"/>
            </w:pPr>
          </w:p>
        </w:tc>
        <w:tc>
          <w:tcPr/>
          <w:p>
            <w:pPr>
              <w:pStyle w:val="TextoTabla"/>
            </w:pPr>
          </w:p>
        </w:tc>
        <w:tc>
          <w:tcPr/>
          <w:p>
            <w:pPr>
              <w:pStyle w:val="TextoTabla"/>
            </w:pPr>
          </w:p>
        </w:tc>
        <w:tc>
          <w:tcPr/>
          <w:p>
            <w:pPr>
              <w:pStyle w:val="TextoTabla"/>
            </w:pPr>
            <w:r>
              <w:t xml:space="preserve">✓</w:t>
            </w:r>
          </w:p>
        </w:tc>
        <w:tc>
          <w:tcPr/>
          <w:p>
            <w:pPr>
              <w:pStyle w:val="TextoTabla"/>
            </w:pPr>
            <w:r>
              <w:t xml:space="preserve">Adopción ≥ 60% mínimo</w:t>
            </w:r>
          </w:p>
        </w:tc>
        <w:tc>
          <w:tcPr/>
          <w:p>
            <w:pPr>
              <w:pStyle w:val="TextoTabla"/>
            </w:pPr>
            <w:r>
              <w:t xml:space="preserve">Rediseño de interfaz</w:t>
            </w:r>
          </w:p>
        </w:tc>
      </w:tr>
      <w:tr>
        <w:tc>
          <w:tcPr/>
          <w:p>
            <w:pPr>
              <w:pStyle w:val="TextoTabla"/>
            </w:pPr>
            <w:r>
              <w:t xml:space="preserve">13</w:t>
            </w:r>
          </w:p>
        </w:tc>
        <w:tc>
          <w:tcPr/>
          <w:p>
            <w:pPr>
              <w:pStyle w:val="TextoTabla"/>
            </w:pPr>
            <w:r>
              <w:t xml:space="preserve">Redacción de tesis y artículos</w:t>
            </w:r>
          </w:p>
        </w:tc>
        <w:tc>
          <w:tcPr/>
          <w:p>
            <w:pPr>
              <w:pStyle w:val="TextoTabla"/>
            </w:pPr>
          </w:p>
        </w:tc>
        <w:tc>
          <w:tcPr/>
          <w:p>
            <w:pPr>
              <w:pStyle w:val="TextoTabla"/>
            </w:pPr>
            <w:r>
              <w:t xml:space="preserve">✓</w:t>
            </w:r>
          </w:p>
        </w:tc>
        <w:tc>
          <w:tcPr/>
          <w:p>
            <w:pPr>
              <w:pStyle w:val="TextoTabla"/>
            </w:pPr>
            <w:r>
              <w:t xml:space="preserve">✓</w:t>
            </w:r>
          </w:p>
        </w:tc>
        <w:tc>
          <w:tcPr/>
          <w:p>
            <w:pPr>
              <w:pStyle w:val="TextoTabla"/>
            </w:pPr>
            <w:r>
              <w:t xml:space="preserve">✓</w:t>
            </w:r>
          </w:p>
        </w:tc>
        <w:tc>
          <w:tcPr/>
          <w:p>
            <w:pPr>
              <w:pStyle w:val="TextoTabla"/>
            </w:pPr>
            <w:r>
              <w:t xml:space="preserve">Tesis + ≥ 1 artículo</w:t>
            </w:r>
          </w:p>
        </w:tc>
        <w:tc>
          <w:tcPr/>
          <w:p>
            <w:pPr>
              <w:pStyle w:val="TextoTabla"/>
            </w:pPr>
            <w:r>
              <w:t xml:space="preserve">N/A</w:t>
            </w:r>
          </w:p>
        </w:tc>
      </w:tr>
      <w:tr>
        <w:tc>
          <w:tcPr/>
          <w:p>
            <w:pPr>
              <w:pStyle w:val="TextoTabla"/>
            </w:pPr>
            <w:r>
              <w:t xml:space="preserve">14</w:t>
            </w:r>
          </w:p>
        </w:tc>
        <w:tc>
          <w:tcPr/>
          <w:p>
            <w:pPr>
              <w:pStyle w:val="TextoTabla"/>
            </w:pPr>
            <w:r>
              <w:t xml:space="preserve">Defensa de tesis</w:t>
            </w:r>
          </w:p>
        </w:tc>
        <w:tc>
          <w:tcPr/>
          <w:p>
            <w:pPr>
              <w:pStyle w:val="TextoTabla"/>
            </w:pPr>
          </w:p>
        </w:tc>
        <w:tc>
          <w:tcPr/>
          <w:p>
            <w:pPr>
              <w:pStyle w:val="TextoTabla"/>
            </w:pPr>
          </w:p>
        </w:tc>
        <w:tc>
          <w:tcPr/>
          <w:p>
            <w:pPr>
              <w:pStyle w:val="TextoTabla"/>
            </w:pPr>
          </w:p>
        </w:tc>
        <w:tc>
          <w:tcPr/>
          <w:p>
            <w:pPr>
              <w:pStyle w:val="TextoTabla"/>
            </w:pPr>
            <w:r>
              <w:t xml:space="preserve">✓</w:t>
            </w:r>
          </w:p>
        </w:tc>
        <w:tc>
          <w:tcPr/>
          <w:p>
            <w:pPr>
              <w:pStyle w:val="TextoTabla"/>
            </w:pPr>
            <w:r>
              <w:t xml:space="preserve">Tesis aprobada</w:t>
            </w:r>
          </w:p>
        </w:tc>
        <w:tc>
          <w:tcPr/>
          <w:p>
            <w:pPr>
              <w:pStyle w:val="TextoTabla"/>
            </w:pPr>
            <w:r>
              <w:t xml:space="preserve">N/A</w:t>
            </w:r>
          </w:p>
        </w:tc>
      </w:tr>
    </w:tbl>
    <w:p>
      <w:pPr>
        <w:pStyle w:val="Leyenda"/>
      </w:pPr>
      <w:r>
        <w:rPr>
          <w:b/>
          <w:bCs/>
        </w:rPr>
        <w:t xml:space="preserve">Tabla 1.3</w:t>
      </w:r>
      <w:r>
        <w:t xml:space="preserve"> </w:t>
      </w:r>
      <w:r>
        <w:t xml:space="preserve">Cronograma de actividades con hitos de decisión y planes de contingencia.</w:t>
      </w:r>
    </w:p>
    <w:p>
      <w:pPr>
        <w:pStyle w:val="BodyText"/>
      </w:pPr>
      <w:r>
        <w:t xml:space="preserve">El presupuesto se calcula por nodo (una colmena instrumentada) y se escala a tres meliponarios. El costo por nodo completo es de aproximadamente $2,577 MXN; el total del proyecto, incluyendo herramientas compartidas, asciende a cerca de $8,081 MXN (~$404 USD).</w:t>
      </w:r>
    </w:p>
    <w:tbl>
      <w:tblPr>
        <w:tblStyle w:val="Table"/>
        <w:tblW w:type="pct" w:w="5000"/>
        <w:tblLayout w:type="fixed"/>
        <w:tblLook w:firstRow="1" w:lastRow="0" w:firstColumn="0" w:lastColumn="0" w:noHBand="0" w:noVBand="0" w:val="0020"/>
      </w:tblPr>
      <w:tblGrid>
        <w:gridCol w:w="3128"/>
        <w:gridCol w:w="2248"/>
        <w:gridCol w:w="2542"/>
      </w:tblGrid>
      <w:tr>
        <w:trPr>
          <w:tblHeader w:val="on"/>
        </w:trPr>
        <w:tc>
          <w:tcPr/>
          <w:p>
            <w:pPr>
              <w:pStyle w:val="TextoTabla"/>
            </w:pPr>
            <w:r>
              <w:rPr>
                <w:b/>
                <w:bCs/>
              </w:rPr>
              <w:t xml:space="preserve">Categoría</w:t>
            </w:r>
          </w:p>
        </w:tc>
        <w:tc>
          <w:tcPr/>
          <w:p>
            <w:pPr>
              <w:pStyle w:val="TextoTabla"/>
            </w:pPr>
            <w:r>
              <w:rPr>
                <w:b/>
                <w:bCs/>
              </w:rPr>
              <w:t xml:space="preserve">Semestre 3 (MXN)</w:t>
            </w:r>
          </w:p>
        </w:tc>
        <w:tc>
          <w:tcPr/>
          <w:p>
            <w:pPr>
              <w:pStyle w:val="TextoTabla"/>
            </w:pPr>
            <w:r>
              <w:rPr>
                <w:b/>
                <w:bCs/>
              </w:rPr>
              <w:t xml:space="preserve">Semestre 4 adicional (MXN)</w:t>
            </w:r>
          </w:p>
        </w:tc>
      </w:tr>
      <w:tr>
        <w:tc>
          <w:tcPr/>
          <w:p>
            <w:pPr>
              <w:pStyle w:val="TextoTabla"/>
            </w:pPr>
            <w:r>
              <w:t xml:space="preserve">Edge device</w:t>
            </w:r>
          </w:p>
        </w:tc>
        <w:tc>
          <w:tcPr/>
          <w:p>
            <w:pPr>
              <w:pStyle w:val="TextoTabla"/>
            </w:pPr>
            <w:r>
              <w:t xml:space="preserve">$250</w:t>
            </w:r>
          </w:p>
        </w:tc>
        <w:tc>
          <w:tcPr/>
          <w:p>
            <w:pPr>
              <w:pStyle w:val="TextoTabla"/>
            </w:pPr>
            <w:r>
              <w:t xml:space="preserve">—</w:t>
            </w:r>
          </w:p>
        </w:tc>
      </w:tr>
      <w:tr>
        <w:tc>
          <w:tcPr/>
          <w:p>
            <w:pPr>
              <w:pStyle w:val="TextoTabla"/>
            </w:pPr>
            <w:r>
              <w:t xml:space="preserve">Sensores (5, incl. IR doble haz)</w:t>
            </w:r>
          </w:p>
        </w:tc>
        <w:tc>
          <w:tcPr/>
          <w:p>
            <w:pPr>
              <w:pStyle w:val="TextoTabla"/>
            </w:pPr>
            <w:r>
              <w:t xml:space="preserve">$407</w:t>
            </w:r>
          </w:p>
        </w:tc>
        <w:tc>
          <w:tcPr/>
          <w:p>
            <w:pPr>
              <w:pStyle w:val="TextoTabla"/>
            </w:pPr>
            <w:r>
              <w:t xml:space="preserve">—</w:t>
            </w:r>
          </w:p>
        </w:tc>
      </w:tr>
      <w:tr>
        <w:tc>
          <w:tcPr/>
          <w:p>
            <w:pPr>
              <w:pStyle w:val="TextoTabla"/>
            </w:pPr>
            <w:r>
              <w:t xml:space="preserve">Almacenamiento</w:t>
            </w:r>
          </w:p>
        </w:tc>
        <w:tc>
          <w:tcPr/>
          <w:p>
            <w:pPr>
              <w:pStyle w:val="TextoTabla"/>
            </w:pPr>
            <w:r>
              <w:t xml:space="preserve">$120</w:t>
            </w:r>
          </w:p>
        </w:tc>
        <w:tc>
          <w:tcPr/>
          <w:p>
            <w:pPr>
              <w:pStyle w:val="TextoTabla"/>
            </w:pPr>
            <w:r>
              <w:t xml:space="preserve">—</w:t>
            </w:r>
          </w:p>
        </w:tc>
      </w:tr>
      <w:tr>
        <w:tc>
          <w:tcPr/>
          <w:p>
            <w:pPr>
              <w:pStyle w:val="TextoTabla"/>
            </w:pPr>
            <w:r>
              <w:t xml:space="preserve">Reloj de tiempo real (DS3231)</w:t>
            </w:r>
          </w:p>
        </w:tc>
        <w:tc>
          <w:tcPr/>
          <w:p>
            <w:pPr>
              <w:pStyle w:val="TextoTabla"/>
            </w:pPr>
            <w:r>
              <w:t xml:space="preserve">$50</w:t>
            </w:r>
          </w:p>
        </w:tc>
        <w:tc>
          <w:tcPr/>
          <w:p>
            <w:pPr>
              <w:pStyle w:val="TextoTabla"/>
            </w:pPr>
            <w:r>
              <w:t xml:space="preserve">—</w:t>
            </w:r>
          </w:p>
        </w:tc>
      </w:tr>
      <w:tr>
        <w:tc>
          <w:tcPr/>
          <w:p>
            <w:pPr>
              <w:pStyle w:val="TextoTabla"/>
            </w:pPr>
            <w:r>
              <w:t xml:space="preserve">Alimentación</w:t>
            </w:r>
          </w:p>
        </w:tc>
        <w:tc>
          <w:tcPr/>
          <w:p>
            <w:pPr>
              <w:pStyle w:val="TextoTabla"/>
            </w:pPr>
            <w:r>
              <w:t xml:space="preserve">$650</w:t>
            </w:r>
          </w:p>
        </w:tc>
        <w:tc>
          <w:tcPr/>
          <w:p>
            <w:pPr>
              <w:pStyle w:val="TextoTabla"/>
            </w:pPr>
            <w:r>
              <w:t xml:space="preserve">$500 (LiPo + DC5521)</w:t>
            </w:r>
          </w:p>
        </w:tc>
      </w:tr>
      <w:tr>
        <w:tc>
          <w:tcPr/>
          <w:p>
            <w:pPr>
              <w:pStyle w:val="TextoTabla"/>
            </w:pPr>
            <w:r>
              <w:t xml:space="preserve">Prototipado</w:t>
            </w:r>
          </w:p>
        </w:tc>
        <w:tc>
          <w:tcPr/>
          <w:p>
            <w:pPr>
              <w:pStyle w:val="TextoTabla"/>
            </w:pPr>
            <w:r>
              <w:t xml:space="preserve">$220</w:t>
            </w:r>
          </w:p>
        </w:tc>
        <w:tc>
          <w:tcPr/>
          <w:p>
            <w:pPr>
              <w:pStyle w:val="TextoTabla"/>
            </w:pPr>
            <w:r>
              <w:t xml:space="preserve">—</w:t>
            </w:r>
          </w:p>
        </w:tc>
      </w:tr>
      <w:tr>
        <w:tc>
          <w:tcPr/>
          <w:p>
            <w:pPr>
              <w:pStyle w:val="TextoTabla"/>
            </w:pPr>
            <w:r>
              <w:t xml:space="preserve">Protección física</w:t>
            </w:r>
          </w:p>
        </w:tc>
        <w:tc>
          <w:tcPr/>
          <w:p>
            <w:pPr>
              <w:pStyle w:val="TextoTabla"/>
            </w:pPr>
            <w:r>
              <w:t xml:space="preserve">$380</w:t>
            </w:r>
          </w:p>
        </w:tc>
        <w:tc>
          <w:tcPr/>
          <w:p>
            <w:pPr>
              <w:pStyle w:val="TextoTabla"/>
            </w:pPr>
            <w:r>
              <w:t xml:space="preserve">—</w:t>
            </w:r>
          </w:p>
        </w:tc>
      </w:tr>
      <w:tr>
        <w:tc>
          <w:tcPr/>
          <w:p>
            <w:pPr>
              <w:pStyle w:val="TextoTabla"/>
            </w:pPr>
            <w:r>
              <w:t xml:space="preserve">Subtotal por nodo</w:t>
            </w:r>
          </w:p>
        </w:tc>
        <w:tc>
          <w:tcPr/>
          <w:p>
            <w:pPr>
              <w:pStyle w:val="TextoTabla"/>
            </w:pPr>
            <w:r>
              <w:t xml:space="preserve">$2,077</w:t>
            </w:r>
          </w:p>
        </w:tc>
        <w:tc>
          <w:tcPr/>
          <w:p>
            <w:pPr>
              <w:pStyle w:val="TextoTabla"/>
            </w:pPr>
            <w:r>
              <w:t xml:space="preserve">$500</w:t>
            </w:r>
          </w:p>
        </w:tc>
      </w:tr>
      <w:tr>
        <w:tc>
          <w:tcPr/>
          <w:p>
            <w:pPr>
              <w:pStyle w:val="TextoTabla"/>
            </w:pPr>
            <w:r>
              <w:t xml:space="preserve">Total por nodo completo</w:t>
            </w:r>
          </w:p>
        </w:tc>
        <w:tc>
          <w:tcPr/>
          <w:p>
            <w:pPr>
              <w:pStyle w:val="TextoTabla"/>
            </w:pPr>
            <w:r>
              <w:t xml:space="preserve">~$2,577 MXN (~$129 USD)</w:t>
            </w:r>
          </w:p>
        </w:tc>
        <w:tc>
          <w:tcPr/>
          <w:p>
            <w:pPr>
              <w:pStyle w:val="TextoTabla"/>
            </w:pPr>
          </w:p>
        </w:tc>
      </w:tr>
      <w:tr>
        <w:tc>
          <w:tcPr/>
          <w:p>
            <w:pPr>
              <w:pStyle w:val="TextoTabla"/>
            </w:pPr>
            <w:r>
              <w:t xml:space="preserve">Hardware × 3 nodos</w:t>
            </w:r>
          </w:p>
        </w:tc>
        <w:tc>
          <w:tcPr/>
          <w:p>
            <w:pPr>
              <w:pStyle w:val="TextoTabla"/>
            </w:pPr>
            <w:r>
              <w:t xml:space="preserve">$7,731</w:t>
            </w:r>
          </w:p>
        </w:tc>
        <w:tc>
          <w:tcPr/>
          <w:p>
            <w:pPr>
              <w:pStyle w:val="TextoTabla"/>
            </w:pPr>
            <w:r>
              <w:t xml:space="preserve">~$387 USD</w:t>
            </w:r>
          </w:p>
        </w:tc>
      </w:tr>
      <w:tr>
        <w:tc>
          <w:tcPr/>
          <w:p>
            <w:pPr>
              <w:pStyle w:val="TextoTabla"/>
            </w:pPr>
            <w:r>
              <w:t xml:space="preserve">Herramientas (compartidas)</w:t>
            </w:r>
          </w:p>
        </w:tc>
        <w:tc>
          <w:tcPr/>
          <w:p>
            <w:pPr>
              <w:pStyle w:val="TextoTabla"/>
            </w:pPr>
            <w:r>
              <w:t xml:space="preserve">$350</w:t>
            </w:r>
          </w:p>
        </w:tc>
        <w:tc>
          <w:tcPr/>
          <w:p>
            <w:pPr>
              <w:pStyle w:val="TextoTabla"/>
            </w:pPr>
            <w:r>
              <w:t xml:space="preserve">~$18 USD</w:t>
            </w:r>
          </w:p>
        </w:tc>
      </w:tr>
      <w:tr>
        <w:tc>
          <w:tcPr/>
          <w:p>
            <w:pPr>
              <w:pStyle w:val="TextoTabla"/>
            </w:pPr>
            <w:r>
              <w:t xml:space="preserve">Total del proyecto</w:t>
            </w:r>
          </w:p>
        </w:tc>
        <w:tc>
          <w:tcPr/>
          <w:p>
            <w:pPr>
              <w:pStyle w:val="TextoTabla"/>
            </w:pPr>
            <w:r>
              <w:t xml:space="preserve">~$8,081 MXN</w:t>
            </w:r>
          </w:p>
        </w:tc>
        <w:tc>
          <w:tcPr/>
          <w:p>
            <w:pPr>
              <w:pStyle w:val="TextoTabla"/>
            </w:pPr>
            <w:r>
              <w:t xml:space="preserve">~$404 USD</w:t>
            </w:r>
          </w:p>
        </w:tc>
      </w:tr>
    </w:tbl>
    <w:p>
      <w:pPr>
        <w:pStyle w:val="Leyenda"/>
      </w:pPr>
      <w:r>
        <w:rPr>
          <w:b/>
          <w:bCs/>
        </w:rPr>
        <w:t xml:space="preserve">Tabla 1.4</w:t>
      </w:r>
      <w:r>
        <w:t xml:space="preserve"> </w:t>
      </w:r>
      <w:r>
        <w:t xml:space="preserve">Presupuesto del proyecto por nodo y total.</w:t>
      </w:r>
    </w:p>
    <w:bookmarkEnd w:id="35"/>
    <w:bookmarkEnd w:id="36"/>
    <w:bookmarkStart w:id="78" w:name="capítulo-ii.-materiales-y-métodos"/>
    <w:p>
      <w:pPr>
        <w:pStyle w:val="Heading1"/>
      </w:pPr>
      <w:r>
        <w:t xml:space="preserve">CAPÍTULO II. MATERIALES Y MÉTODOS</w:t>
      </w:r>
    </w:p>
    <w:bookmarkStart w:id="37" w:name="enfoque-y-diseño-de-investigación"/>
    <w:p>
      <w:pPr>
        <w:pStyle w:val="Heading2"/>
      </w:pPr>
      <w:r>
        <w:t xml:space="preserve">2.1 Enfoque y diseño de investigación</w:t>
      </w:r>
    </w:p>
    <w:p>
      <w:pPr>
        <w:pStyle w:val="FirstParagraph"/>
      </w:pPr>
      <w:r>
        <w:t xml:space="preserve">La investigación adopta un enfoque mixto: cuantitativo en la evaluación del desempeño de los modelos de IA y de la arquitectura sensorial, y cualitativo en la evaluación de usabilidad. El diseño es experimental-aplicado, orientado al desarrollo y validación de un sistema tecnológico en condiciones reales.</w:t>
      </w:r>
    </w:p>
    <w:tbl>
      <w:tblPr>
        <w:tblStyle w:val="Table"/>
        <w:tblW w:type="pct" w:w="5000"/>
        <w:tblLayout w:type="fixed"/>
        <w:tblLook w:firstRow="1" w:lastRow="0" w:firstColumn="0" w:lastColumn="0" w:noHBand="0" w:noVBand="0" w:val="0020"/>
      </w:tblPr>
      <w:tblGrid>
        <w:gridCol w:w="1446"/>
        <w:gridCol w:w="2341"/>
        <w:gridCol w:w="4132"/>
      </w:tblGrid>
      <w:tr>
        <w:trPr>
          <w:tblHeader w:val="on"/>
        </w:trPr>
        <w:tc>
          <w:tcPr/>
          <w:p>
            <w:pPr>
              <w:pStyle w:val="TextoTabla"/>
            </w:pPr>
            <w:r>
              <w:rPr>
                <w:b/>
                <w:bCs/>
              </w:rPr>
              <w:t xml:space="preserve">Tipo</w:t>
            </w:r>
          </w:p>
        </w:tc>
        <w:tc>
          <w:tcPr/>
          <w:p>
            <w:pPr>
              <w:pStyle w:val="TextoTabla"/>
            </w:pPr>
            <w:r>
              <w:rPr>
                <w:b/>
                <w:bCs/>
              </w:rPr>
              <w:t xml:space="preserve">Enfoque</w:t>
            </w:r>
          </w:p>
        </w:tc>
        <w:tc>
          <w:tcPr/>
          <w:p>
            <w:pPr>
              <w:pStyle w:val="TextoTabla"/>
            </w:pPr>
            <w:r>
              <w:rPr>
                <w:b/>
                <w:bCs/>
              </w:rPr>
              <w:t xml:space="preserve">Diseño</w:t>
            </w:r>
          </w:p>
        </w:tc>
      </w:tr>
      <w:tr>
        <w:tc>
          <w:tcPr/>
          <w:p>
            <w:pPr>
              <w:pStyle w:val="TextoTabla"/>
            </w:pPr>
            <w:r>
              <w:t xml:space="preserve">Experimental-aplicado</w:t>
            </w:r>
          </w:p>
        </w:tc>
        <w:tc>
          <w:tcPr/>
          <w:p>
            <w:pPr>
              <w:pStyle w:val="TextoTabla"/>
            </w:pPr>
            <w:r>
              <w:t xml:space="preserve">Mixto (cuantitativo + cualitativo)</w:t>
            </w:r>
          </w:p>
        </w:tc>
        <w:tc>
          <w:tcPr/>
          <w:p>
            <w:pPr>
              <w:pStyle w:val="TextoTabla"/>
            </w:pPr>
            <w:r>
              <w:t xml:space="preserve">Experimental en módulos IA y sensores · No experimental en fase cualitativa</w:t>
            </w:r>
          </w:p>
        </w:tc>
      </w:tr>
    </w:tbl>
    <w:p>
      <w:pPr>
        <w:pStyle w:val="Leyenda"/>
      </w:pPr>
      <w:r>
        <w:rPr>
          <w:b/>
          <w:bCs/>
        </w:rPr>
        <w:t xml:space="preserve">Tabla 2.1</w:t>
      </w:r>
      <w:r>
        <w:t xml:space="preserve"> </w:t>
      </w:r>
      <w:r>
        <w:t xml:space="preserve">Diseño general de la investigación.</w:t>
      </w:r>
    </w:p>
    <w:bookmarkEnd w:id="37"/>
    <w:bookmarkStart w:id="42" w:name="Xebc1f973961e9b53b19028b1729d113efc7308f"/>
    <w:p>
      <w:pPr>
        <w:pStyle w:val="Heading2"/>
      </w:pPr>
      <w:r>
        <w:t xml:space="preserve">2.2 Arquitectura sensorial heterogénea con rangos complementarios</w:t>
      </w:r>
    </w:p>
    <w:p>
      <w:pPr>
        <w:pStyle w:val="FirstParagraph"/>
      </w:pPr>
      <w:r>
        <w:t xml:space="preserve">Una contribución de diseño original de esta tesis es la arquitectura sensorial heterogénea, que supera la arquitectura homogénea del artículo de referencia en tres dimensiones: fabricante distinto, principio físico distinto y rango de medición complementario. El principio que la fundamenta es que un sensor electrónico no mide directamente la magnitud física de interés, sino un fenómeno eléctrico secundario —variación de capacitancia, resistencia o voltaje— que convierte a la magnitud deseada mediante una función de calibración con limitaciones físicas conocidas (saturación, histéresis, deriva, sensibilidad al rango).</w:t>
      </w:r>
    </w:p>
    <w:tbl>
      <w:tblPr>
        <w:tblStyle w:val="Table"/>
        <w:tblW w:type="pct" w:w="5000"/>
        <w:tblLayout w:type="fixed"/>
        <w:tblLook w:firstRow="1" w:lastRow="0" w:firstColumn="0" w:lastColumn="0" w:noHBand="0" w:noVBand="0" w:val="0020"/>
      </w:tblPr>
      <w:tblGrid>
        <w:gridCol w:w="1005"/>
        <w:gridCol w:w="365"/>
        <w:gridCol w:w="1827"/>
        <w:gridCol w:w="1827"/>
        <w:gridCol w:w="1066"/>
        <w:gridCol w:w="1827"/>
      </w:tblGrid>
      <w:tr>
        <w:trPr>
          <w:tblHeader w:val="on"/>
        </w:trPr>
        <w:tc>
          <w:tcPr/>
          <w:p>
            <w:pPr>
              <w:pStyle w:val="TextoTabla"/>
            </w:pPr>
            <w:r>
              <w:rPr>
                <w:b/>
                <w:bCs/>
              </w:rPr>
              <w:t xml:space="preserve">Parámetro</w:t>
            </w:r>
          </w:p>
        </w:tc>
        <w:tc>
          <w:tcPr/>
          <w:p>
            <w:pPr>
              <w:pStyle w:val="TextoTabla"/>
            </w:pPr>
            <w:r>
              <w:rPr>
                <w:b/>
                <w:bCs/>
              </w:rPr>
              <w:t xml:space="preserve">Sensor</w:t>
            </w:r>
          </w:p>
        </w:tc>
        <w:tc>
          <w:tcPr/>
          <w:p>
            <w:pPr>
              <w:pStyle w:val="TextoTabla"/>
            </w:pPr>
            <w:r>
              <w:rPr>
                <w:b/>
                <w:bCs/>
              </w:rPr>
              <w:t xml:space="preserve">Principio físico</w:t>
            </w:r>
          </w:p>
        </w:tc>
        <w:tc>
          <w:tcPr/>
          <w:p>
            <w:pPr>
              <w:pStyle w:val="TextoTabla"/>
            </w:pPr>
            <w:r>
              <w:rPr>
                <w:b/>
                <w:bCs/>
              </w:rPr>
              <w:t xml:space="preserve">Rango óptimo</w:t>
            </w:r>
          </w:p>
        </w:tc>
        <w:tc>
          <w:tcPr/>
          <w:p>
            <w:pPr>
              <w:pStyle w:val="TextoTabla"/>
            </w:pPr>
            <w:r>
              <w:rPr>
                <w:b/>
                <w:bCs/>
              </w:rPr>
              <w:t xml:space="preserve">Rol</w:t>
            </w:r>
          </w:p>
        </w:tc>
        <w:tc>
          <w:tcPr/>
          <w:p>
            <w:pPr>
              <w:pStyle w:val="TextoTabla"/>
            </w:pPr>
            <w:r>
              <w:rPr>
                <w:b/>
                <w:bCs/>
              </w:rPr>
              <w:t xml:space="preserve">Limitación conocida</w:t>
            </w:r>
          </w:p>
        </w:tc>
      </w:tr>
      <w:tr>
        <w:tc>
          <w:tcPr/>
          <w:p>
            <w:pPr>
              <w:pStyle w:val="TextoTabla"/>
            </w:pPr>
            <w:r>
              <w:t xml:space="preserve">Temp + HR interna</w:t>
            </w:r>
          </w:p>
        </w:tc>
        <w:tc>
          <w:tcPr/>
          <w:p>
            <w:pPr>
              <w:pStyle w:val="TextoTabla"/>
            </w:pPr>
            <w:r>
              <w:t xml:space="preserve">SHT31</w:t>
            </w:r>
          </w:p>
        </w:tc>
        <w:tc>
          <w:tcPr/>
          <w:p>
            <w:pPr>
              <w:pStyle w:val="TextoTabla"/>
            </w:pPr>
            <w:r>
              <w:t xml:space="preserve">Capacitivo de película polimérica</w:t>
            </w:r>
          </w:p>
        </w:tc>
        <w:tc>
          <w:tcPr/>
          <w:p>
            <w:pPr>
              <w:pStyle w:val="TextoTabla"/>
            </w:pPr>
            <w:r>
              <w:t xml:space="preserve">0–100% HR · ±2% HR</w:t>
            </w:r>
          </w:p>
        </w:tc>
        <w:tc>
          <w:tcPr/>
          <w:p>
            <w:pPr>
              <w:pStyle w:val="TextoTabla"/>
            </w:pPr>
            <w:r>
              <w:t xml:space="preserve">Interno primario</w:t>
            </w:r>
          </w:p>
        </w:tc>
        <w:tc>
          <w:tcPr/>
          <w:p>
            <w:pPr>
              <w:pStyle w:val="TextoTabla"/>
            </w:pPr>
            <w:r>
              <w:t xml:space="preserve">Autocalibración &gt;80–85% HR · requiere I²C</w:t>
            </w:r>
          </w:p>
        </w:tc>
      </w:tr>
      <w:tr>
        <w:tc>
          <w:tcPr/>
          <w:p>
            <w:pPr>
              <w:pStyle w:val="TextoTabla"/>
            </w:pPr>
            <w:r>
              <w:t xml:space="preserve">Temp + HR externa</w:t>
            </w:r>
          </w:p>
        </w:tc>
        <w:tc>
          <w:tcPr/>
          <w:p>
            <w:pPr>
              <w:pStyle w:val="TextoTabla"/>
            </w:pPr>
            <w:r>
              <w:t xml:space="preserve">DHT22</w:t>
            </w:r>
          </w:p>
        </w:tc>
        <w:tc>
          <w:tcPr/>
          <w:p>
            <w:pPr>
              <w:pStyle w:val="TextoTabla"/>
            </w:pPr>
            <w:r>
              <w:t xml:space="preserve">Capacitivo higroscópico</w:t>
            </w:r>
          </w:p>
        </w:tc>
        <w:tc>
          <w:tcPr/>
          <w:p>
            <w:pPr>
              <w:pStyle w:val="TextoTabla"/>
            </w:pPr>
            <w:r>
              <w:t xml:space="preserve">0–80% HR · −40–80 °C</w:t>
            </w:r>
          </w:p>
        </w:tc>
        <w:tc>
          <w:tcPr/>
          <w:p>
            <w:pPr>
              <w:pStyle w:val="TextoTabla"/>
            </w:pPr>
            <w:r>
              <w:t xml:space="preserve">Externo secundario</w:t>
            </w:r>
          </w:p>
        </w:tc>
        <w:tc>
          <w:tcPr/>
          <w:p>
            <w:pPr>
              <w:pStyle w:val="TextoTabla"/>
            </w:pPr>
            <w:r>
              <w:t xml:space="preserve">Degrada sin recuperación a HR sostenida alta · histéresis</w:t>
            </w:r>
          </w:p>
        </w:tc>
      </w:tr>
      <w:tr>
        <w:tc>
          <w:tcPr/>
          <w:p>
            <w:pPr>
              <w:pStyle w:val="TextoTabla"/>
            </w:pPr>
            <w:r>
              <w:t xml:space="preserve">Nivel acústico / vitalidad</w:t>
            </w:r>
          </w:p>
        </w:tc>
        <w:tc>
          <w:tcPr/>
          <w:p>
            <w:pPr>
              <w:pStyle w:val="TextoTabla"/>
            </w:pPr>
            <w:r>
              <w:t xml:space="preserve">INMP441</w:t>
            </w:r>
          </w:p>
        </w:tc>
        <w:tc>
          <w:tcPr/>
          <w:p>
            <w:pPr>
              <w:pStyle w:val="TextoTabla"/>
            </w:pPr>
            <w:r>
              <w:t xml:space="preserve">MEMS capacitivo</w:t>
            </w:r>
          </w:p>
        </w:tc>
        <w:tc>
          <w:tcPr/>
          <w:p>
            <w:pPr>
              <w:pStyle w:val="TextoTabla"/>
            </w:pPr>
            <w:r>
              <w:t xml:space="preserve">60 Hz–15 kHz</w:t>
            </w:r>
          </w:p>
        </w:tc>
        <w:tc>
          <w:tcPr/>
          <w:p>
            <w:pPr>
              <w:pStyle w:val="TextoTabla"/>
            </w:pPr>
            <w:r>
              <w:t xml:space="preserve">Estado general de la colonia</w:t>
            </w:r>
          </w:p>
        </w:tc>
        <w:tc>
          <w:tcPr/>
          <w:p>
            <w:pPr>
              <w:pStyle w:val="TextoTabla"/>
            </w:pPr>
            <w:r>
              <w:t xml:space="preserve">Capta sonido aéreo; no capta vibración de sustrato</w:t>
            </w:r>
          </w:p>
        </w:tc>
      </w:tr>
      <w:tr>
        <w:tc>
          <w:tcPr/>
          <w:p>
            <w:pPr>
              <w:pStyle w:val="TextoTabla"/>
            </w:pPr>
            <w:r>
              <w:t xml:space="preserve">Vibración estructural / defensivo</w:t>
            </w:r>
          </w:p>
        </w:tc>
        <w:tc>
          <w:tcPr/>
          <w:p>
            <w:pPr>
              <w:pStyle w:val="TextoTabla"/>
            </w:pPr>
            <w:r>
              <w:t xml:space="preserve">MPU6500</w:t>
            </w:r>
          </w:p>
        </w:tc>
        <w:tc>
          <w:tcPr/>
          <w:p>
            <w:pPr>
              <w:pStyle w:val="TextoTabla"/>
            </w:pPr>
            <w:r>
              <w:t xml:space="preserve">Acelerómetro MEMS</w:t>
            </w:r>
          </w:p>
        </w:tc>
        <w:tc>
          <w:tcPr/>
          <w:p>
            <w:pPr>
              <w:pStyle w:val="TextoTabla"/>
            </w:pPr>
            <w:r>
              <w:t xml:space="preserve">180–600 Hz (vuelo ~180 + forrajeo 300–600; muestreo de diseño a 1.5 kHz, Nyquist 750 Hz, sin recorte)</w:t>
            </w:r>
          </w:p>
        </w:tc>
        <w:tc>
          <w:tcPr/>
          <w:p>
            <w:pPr>
              <w:pStyle w:val="TextoTabla"/>
            </w:pPr>
            <w:r>
              <w:t xml:space="preserve">Comportamiento defensivo (sustrato)</w:t>
            </w:r>
          </w:p>
        </w:tc>
        <w:tc>
          <w:tcPr/>
          <w:p>
            <w:pPr>
              <w:pStyle w:val="TextoTabla"/>
            </w:pPr>
            <w:r>
              <w:t xml:space="preserve">Requiere contacto con madera</w:t>
            </w:r>
          </w:p>
        </w:tc>
      </w:tr>
      <w:tr>
        <w:tc>
          <w:tcPr/>
          <w:p>
            <w:pPr>
              <w:pStyle w:val="TextoTabla"/>
            </w:pPr>
            <w:r>
              <w:t xml:space="preserve">Conteo de tráfico</w:t>
            </w:r>
          </w:p>
        </w:tc>
        <w:tc>
          <w:tcPr/>
          <w:p>
            <w:pPr>
              <w:pStyle w:val="TextoTabla"/>
            </w:pPr>
            <w:r>
              <w:t xml:space="preserve">IR doble haz</w:t>
            </w:r>
          </w:p>
        </w:tc>
        <w:tc>
          <w:tcPr/>
          <w:p>
            <w:pPr>
              <w:pStyle w:val="TextoTabla"/>
            </w:pPr>
            <w:r>
              <w:t xml:space="preserve">Módulo integrado FC-51/KY-033 (LED 940 nm + fototransistor + comparador LM393), 4 módulos / 2 pares</w:t>
            </w:r>
          </w:p>
        </w:tc>
        <w:tc>
          <w:tcPr/>
          <w:p>
            <w:pPr>
              <w:pStyle w:val="TextoTabla"/>
            </w:pPr>
            <w:r>
              <w:t xml:space="preserve">Direccional (entrada/salida)</w:t>
            </w:r>
          </w:p>
        </w:tc>
        <w:tc>
          <w:tcPr/>
          <w:p>
            <w:pPr>
              <w:pStyle w:val="TextoTabla"/>
            </w:pPr>
            <w:r>
              <w:t xml:space="preserve">Proxy de forrajeo y vitalidad</w:t>
            </w:r>
          </w:p>
        </w:tc>
        <w:tc>
          <w:tcPr/>
          <w:p>
            <w:pPr>
              <w:pStyle w:val="TextoTabla"/>
            </w:pPr>
            <w:r>
              <w:t xml:space="preserve">Sensible a luz solar directa sin filtro; distancia mínima de detección (20–300 mm) mayor al diámetro del tubo (~15 mm), pendiente de validar</w:t>
            </w:r>
          </w:p>
        </w:tc>
      </w:tr>
    </w:tbl>
    <w:p>
      <w:pPr>
        <w:pStyle w:val="Leyenda"/>
      </w:pPr>
      <w:r>
        <w:rPr>
          <w:b/>
          <w:bCs/>
        </w:rPr>
        <w:t xml:space="preserve">Tabla 2.2</w:t>
      </w:r>
      <w:r>
        <w:t xml:space="preserve"> </w:t>
      </w:r>
      <w:r>
        <w:t xml:space="preserve">Arquitectura sensorial heterogénea: fabricante, principio físico, rango, rol y limitación por sensor.</w:t>
      </w:r>
    </w:p>
    <w:bookmarkStart w:id="38" w:name="Xc1ae46d593c5a0ac15495f025df207884206324"/>
    <w:p>
      <w:pPr>
        <w:pStyle w:val="Heading3"/>
      </w:pPr>
      <w:r>
        <w:t xml:space="preserve">2.2.1 Fundamento físico de la humedad: SHT31 interno primario y DHT22 externo secundario</w:t>
      </w:r>
    </w:p>
    <w:p>
      <w:pPr>
        <w:pStyle w:val="FirstParagraph"/>
      </w:pPr>
      <w:r>
        <w:t xml:space="preserve">El SHT31 y el DHT22 son ambos sensores capacitivos de humedad, pero se asignan a ubicaciones y roles distintos en la colmena. El SHT31 se instala como sensor</w:t>
      </w:r>
      <w:r>
        <w:t xml:space="preserve"> </w:t>
      </w:r>
      <w:r>
        <w:rPr>
          <w:b/>
          <w:bCs/>
        </w:rPr>
        <w:t xml:space="preserve">interno primario</w:t>
      </w:r>
      <w:r>
        <w:t xml:space="preserve">: su sonda encapsulada mide el microclima directamente dentro de la cavidad del nido, con precisión declarada de ±2% HR en todo el rango 0–100%. El DHT22 se instala como sensor</w:t>
      </w:r>
      <w:r>
        <w:t xml:space="preserve"> </w:t>
      </w:r>
      <w:r>
        <w:rPr>
          <w:b/>
          <w:bCs/>
        </w:rPr>
        <w:t xml:space="preserve">externo secundario</w:t>
      </w:r>
      <w:r>
        <w:t xml:space="preserve">, expuesto a las condiciones ambientales fuera de la colmena, sin contacto con el microclima interno.</w:t>
      </w:r>
    </w:p>
    <w:p>
      <w:pPr>
        <w:pStyle w:val="BodyText"/>
      </w:pPr>
      <w:r>
        <w:t xml:space="preserve">Ambos sensores contienen internamente dos placas conductoras separadas por un material higroscópico que absorbe vapor de agua del aire; el circuito mide la capacitancia resultante y la convierte a porcentaje de HR mediante una tabla de calibración interna. Lo que cada sensor mide realmente es una diferencia de carga eléctrica entre dos placas, no humedad directamente, y ambos principios físicos comparten limitaciones de rango: por encima de aproximadamente 80–85% HR el SHT31 interno</w:t>
      </w:r>
      <w:r>
        <w:t xml:space="preserve"> </w:t>
      </w:r>
      <w:r>
        <w:rPr>
          <w:b/>
          <w:bCs/>
        </w:rPr>
        <w:t xml:space="preserve">se autocalibra</w:t>
      </w:r>
      <w:r>
        <w:t xml:space="preserve">, recuperando precisión tras el evento de saturación por el propio algoritmo de compensación del fabricante; el DHT22 externo, de tecnología menos sofisticada,</w:t>
      </w:r>
      <w:r>
        <w:t xml:space="preserve"> </w:t>
      </w:r>
      <w:r>
        <w:rPr>
          <w:b/>
          <w:bCs/>
        </w:rPr>
        <w:t xml:space="preserve">degrada sin recuperación</w:t>
      </w:r>
      <w:r>
        <w:t xml:space="preserve"> </w:t>
      </w:r>
      <w:r>
        <w:t xml:space="preserve">bajo HR sostenida alta —el material higroscópico se satura y el sensor reporta valores estables aunque la HR real siga aumentando, sin mecanismo de autocorrección—. En temporada de lluvias en Campeche (mayo–octubre), la HR exterior frecuentemente supera el 85%, precisamente el rango donde el DHT22 externo pierde fiabilidad de forma persistente.</w:t>
      </w:r>
    </w:p>
    <w:p>
      <w:pPr>
        <w:pStyle w:val="BodyText"/>
      </w:pPr>
      <w:r>
        <w:t xml:space="preserve">Adicionalmente, el DHT22 presenta histéresis: absorbe vapor de agua rápido pero lo libera lento. Si la HR sube de 60% a 90% en 10 minutos y luego baja a 60%, el sensor puede reportar valores elevados durante varios minutos adicionales porque el material aún no liberó toda la humedad absorbida.</w:t>
      </w:r>
    </w:p>
    <w:p>
      <w:pPr>
        <w:pStyle w:val="BodyText"/>
      </w:pPr>
      <w:r>
        <w:t xml:space="preserve">La separación física interno/externo convierte la comparación entre ambos sensores en una variable diagnóstica en sí misma, no solo en redundancia: dado que</w:t>
      </w:r>
      <w:r>
        <w:t xml:space="preserve"> </w:t>
      </w:r>
      <w:r>
        <w:rPr>
          <w:i/>
          <w:iCs/>
        </w:rPr>
        <w:t xml:space="preserve">Melipona beecheii</w:t>
      </w:r>
      <w:r>
        <w:t xml:space="preserve"> </w:t>
      </w:r>
      <w:r>
        <w:t xml:space="preserve">es termoconformadora, no termorreguladora activa —su temperatura interna es más estable durante el día (9:00-20:00h) que durante la noche, cuando sigue más de cerca la fluctuación externa (Moo-Valle et al., 2000)—, el</w:t>
      </w:r>
      <w:r>
        <w:t xml:space="preserve"> </w:t>
      </w:r>
      <w:r>
        <w:rPr>
          <w:b/>
          <w:bCs/>
        </w:rPr>
        <w:t xml:space="preserve">contraste entre la lectura interna del SHT31 y la externa del DHT22</w:t>
      </w:r>
      <w:r>
        <w:t xml:space="preserve"> </w:t>
      </w:r>
      <w:r>
        <w:t xml:space="preserve">—y no el valor absoluto interno por sí solo— es la variable relevante para la detección de anomalías térmicas e higrométricas (véase también sección 1.1.5b).</w:t>
      </w:r>
    </w:p>
    <w:bookmarkEnd w:id="38"/>
    <w:bookmarkStart w:id="39" w:name="Xf24e356a76fb69e3a3e6f371bc3f1f8a1aaae3f"/>
    <w:p>
      <w:pPr>
        <w:pStyle w:val="Heading3"/>
      </w:pPr>
      <w:r>
        <w:t xml:space="preserve">2.2.2 Fundamento físico del INMP441 y el MPU6500 como sensores complementarios</w:t>
      </w:r>
    </w:p>
    <w:p>
      <w:pPr>
        <w:pStyle w:val="FirstParagraph"/>
      </w:pPr>
      <w:r>
        <w:t xml:space="preserve">El INMP441 es un micrófono MEMS (Micro-Electro-Mechanical System). Contiene una membrana muy delgada que vibra con las variaciones de presión del aire (sonido aéreo). Esa vibración modifica la capacitancia entre la membrana y una placa fija, y el circuito convierte esa variación en voltaje. Su rango frecuencial efectivo es aproximadamente 60 Hz–15 kHz (Suárez Carvajal, 2025), lo que lo hace adecuado para captar el</w:t>
      </w:r>
      <w:r>
        <w:t xml:space="preserve"> </w:t>
      </w:r>
      <w:r>
        <w:rPr>
          <w:b/>
          <w:bCs/>
        </w:rPr>
        <w:t xml:space="preserve">nivel acústico general y el estado de vitalidad de la colonia</w:t>
      </w:r>
      <w:r>
        <w:t xml:space="preserve"> </w:t>
      </w:r>
      <w:r>
        <w:t xml:space="preserve">—no el comportamiento defensivo—, pero no registra la vibración de sustrato del nido (sí su componente de sonido aéreo) en el rango de 180–600 Hz (vuelo ~180 Hz, Hrncir et al., 2008; forrajeo/reclutamiento ~300–600 Hz, Hrncir et al., 2000, 2006).</w:t>
      </w:r>
    </w:p>
    <w:p>
      <w:pPr>
        <w:pStyle w:val="BodyText"/>
      </w:pPr>
      <w:r>
        <w:t xml:space="preserve">En otros meliponinos se ha descrito el comportamiento defensivo mediante vibración del sustrato del nido (dos Santos et al., 2025); en</w:t>
      </w:r>
      <w:r>
        <w:t xml:space="preserve"> </w:t>
      </w:r>
      <w:r>
        <w:rPr>
          <w:i/>
          <w:iCs/>
        </w:rPr>
        <w:t xml:space="preserve">M. beecheii</w:t>
      </w:r>
      <w:r>
        <w:t xml:space="preserve"> </w:t>
      </w:r>
      <w:r>
        <w:t xml:space="preserve">no está documentado. El comportamiento defensivo de</w:t>
      </w:r>
      <w:r>
        <w:t xml:space="preserve"> </w:t>
      </w:r>
      <w:r>
        <w:rPr>
          <w:i/>
          <w:iCs/>
        </w:rPr>
        <w:t xml:space="preserve">M. beecheii</w:t>
      </w:r>
      <w:r>
        <w:t xml:space="preserve">, por tanto, no está caracterizado acústicamente y no puede inferirse confiablemente a partir del INMP441 sin datos propios; su rol en esta arquitectura se limita al nivel acústico como proxy de vitalidad y actividad general de la colonia. El MPU6500 es un acelerómetro MEMS de 6 ejes (3 de aceleración + 3 de giroscopio), montado en contacto directo con la madera de la colmena, que captura el rango de vibración estructural de 180–600 Hz (vuelo ~180 Hz, forrajeo/reclutamiento ~300–600 Hz) donde, en esos grupos, ocurre la señalización defensiva. Con el filtro digital desactivado, su salida del acelerómetro es programable hasta 4 kHz; el firmware se diseñó para muestrear a 1.5 kHz (Nyquist de 750 Hz, con un margen de diseño de 1.25× sobre el límite superior de 600 Hz de la banda), lo que cubriría la banda completa sin recorte (por validar en banco). Los dos sensores son físicamente complementarios y cubren fenómenos distintos: el INMP441 aporta nivel acústico/vitalidad; el MPU6500 aporta comportamiento defensivo vía vibración estructural.</w:t>
      </w:r>
    </w:p>
    <w:bookmarkEnd w:id="39"/>
    <w:bookmarkStart w:id="40" w:name="X114258abc88d9d801a482a80533e90a93024e20"/>
    <w:p>
      <w:pPr>
        <w:pStyle w:val="Heading3"/>
      </w:pPr>
      <w:r>
        <w:t xml:space="preserve">2.2.3 Sensor IR doble haz — conteo de tráfico en piquera</w:t>
      </w:r>
    </w:p>
    <w:p>
      <w:pPr>
        <w:pStyle w:val="FirstParagraph"/>
      </w:pPr>
      <w:r>
        <w:t xml:space="preserve">El sensor IR doble haz añade un cuarto tipo de señal a la arquitectura: el conteo direccional de tráfico de forrajeras en la piquera, como proxy de la actividad de forrajeo y de la vitalidad general de la colonia.</w:t>
      </w:r>
    </w:p>
    <w:p>
      <w:pPr>
        <w:pStyle w:val="BodyText"/>
      </w:pPr>
      <w:r>
        <w:t xml:space="preserve">La arquitectura vigente usa</w:t>
      </w:r>
      <w:r>
        <w:t xml:space="preserve"> </w:t>
      </w:r>
      <w:r>
        <w:rPr>
          <w:b/>
          <w:bCs/>
        </w:rPr>
        <w:t xml:space="preserve">cuatro módulos comerciales integrados FC-51/KY-033</w:t>
      </w:r>
      <w:r>
        <w:t xml:space="preserve"> </w:t>
      </w:r>
      <w:r>
        <w:t xml:space="preserve">(LED emisor IR de 940 nm, fototransistor receptor, comparador LM393 y potenciómetro de sensibilidad en una sola placa), organizados en</w:t>
      </w:r>
      <w:r>
        <w:t xml:space="preserve"> </w:t>
      </w:r>
      <w:r>
        <w:rPr>
          <w:b/>
          <w:bCs/>
        </w:rPr>
        <w:t xml:space="preserve">dos pares emisor-receptor</w:t>
      </w:r>
      <w:r>
        <w:t xml:space="preserve"> </w:t>
      </w:r>
      <w:r>
        <w:t xml:space="preserve">—uno por haz—, alineados perpendicularmente al eje de tránsito de la piquera. Como cada módulo integra emisor y receptor en la misma placa (diseño originalmente pensado para detección reflectiva, no de haz directo), no es posible formar los dos haces cruzados con solo dos unidades: se requiere un par completo (dos módulos enfrentados) por cada haz. La lógica de conteo es secuencial: si el haz A se interrumpe antes que el haz B, se registra una entrada (A→B); si el haz B se interrumpe antes que el haz A, se registra una salida (B→A).</w:t>
      </w:r>
    </w:p>
    <w:p>
      <w:pPr>
        <w:pStyle w:val="BodyText"/>
      </w:pPr>
      <w:r>
        <w:t xml:space="preserve">La separación entre los dos haces es de aproximadamente 4 mm, deliberadamente menor a la longitud del cuerpo de una obrera de</w:t>
      </w:r>
      <w:r>
        <w:t xml:space="preserve"> </w:t>
      </w:r>
      <w:r>
        <w:rPr>
          <w:i/>
          <w:iCs/>
        </w:rPr>
        <w:t xml:space="preserve">M. beecheii</w:t>
      </w:r>
      <w:r>
        <w:t xml:space="preserve"> </w:t>
      </w:r>
      <w:r>
        <w:t xml:space="preserve">(~10 mm), de modo que un mismo individuo interrumpa ambos haces en secuencia y no simultáneamente. El sensor se embebe en un barreno de aproximadamente 15 mm de diámetro practicado en una pared de madera de al menos 25 mm de espesor, alineado con el túnel de la piquera.</w:t>
      </w:r>
    </w:p>
    <w:p>
      <w:pPr>
        <w:pStyle w:val="BodyText"/>
      </w:pPr>
      <w:r>
        <w:t xml:space="preserve">Pines de conexión: cada par entrega al ESP32 la señal digital</w:t>
      </w:r>
      <w:r>
        <w:t xml:space="preserve"> </w:t>
      </w:r>
      <w:r>
        <w:rPr>
          <w:rStyle w:val="VerbatimChar"/>
        </w:rPr>
        <w:t xml:space="preserve">OUT</w:t>
      </w:r>
      <w:r>
        <w:t xml:space="preserve"> </w:t>
      </w:r>
      <w:r>
        <w:t xml:space="preserve">de sus dos módulos —uno declarado receptor principal, el otro secundario, para redundancia/diagnóstico en banco, dado que ambos módulos de un par tienen fototransistor propio—: haz A → GPIO26 (principal) y GPIO25 (secundario); haz B → GPIO27 (principal) y GPIO33 (secundario). Los módulos no requieren señal de drive de LED desde el ESP32: el LED de cada uno se alimenta directamente de VCC/GND.</w:t>
      </w:r>
    </w:p>
    <w:p>
      <w:pPr>
        <w:pStyle w:val="BodyText"/>
      </w:pPr>
      <w:r>
        <w:t xml:space="preserve">Precedente parcial en congéneres: Justino y Hartfelder (2024), quienes registraron actividad continua en el túnel de entrada de</w:t>
      </w:r>
      <w:r>
        <w:t xml:space="preserve"> </w:t>
      </w:r>
      <w:r>
        <w:rPr>
          <w:i/>
          <w:iCs/>
        </w:rPr>
        <w:t xml:space="preserve">Melipona quadrifasciata</w:t>
      </w:r>
      <w:r>
        <w:t xml:space="preserve"> </w:t>
      </w:r>
      <w:r>
        <w:t xml:space="preserve">con un detector IR simple, sin diferenciar direccionalidad — a diferencia del diseño direccional de doble haz de esta tesis. Costo estimado por módulo: ~$30–50 MXN (cuatro módulos por nodo).</w:t>
      </w:r>
    </w:p>
    <w:p>
      <w:pPr>
        <w:pStyle w:val="BodyText"/>
      </w:pPr>
      <w:r>
        <w:rPr>
          <w:b/>
          <w:bCs/>
        </w:rPr>
        <w:t xml:space="preserve">Nota de validación pendiente (diseño no cerrado):</w:t>
      </w:r>
      <w:r>
        <w:t xml:space="preserve"> </w:t>
      </w:r>
      <w:r>
        <w:t xml:space="preserve">los módulos FC-51/KY-033 especifican una distancia mínima de detección de 20–300 mm, mayor que el diámetro del barreno de ~15 mm donde se embeben. Esta discrepancia no está resuelta por diseño: debe confirmarse en banco, antes de la instalación en campo, que los módulos detectan de forma fiable a la distancia real de montaje y sin falsos positivos por saturación a corta distancia. Tampoco hay mitigación integrada contra falsos positivos por luz solar IR directa —a diferencia de un diseño con modulación IR activa del LED emisor, descartado en esta arquitectura—; se depende únicamente del blindaje mecánico del tubo de madera de la piquera. Si la validación en banco falla, se deja como alternativa a evaluar el rediseño con circuito discreto (fototransistor tipo PT333-3B + comparador LM393 + transistor driver para el LED), que sí permite ajustar libremente la distancia física y añadir modulación del emisor. Ver</w:t>
      </w:r>
      <w:r>
        <w:t xml:space="preserve"> </w:t>
      </w:r>
      <w:r>
        <w:rPr>
          <w:rStyle w:val="VerbatimChar"/>
        </w:rPr>
        <w:t xml:space="preserve">software/sensor-trafico/README.md</w:t>
      </w:r>
      <w:r>
        <w:t xml:space="preserve"> </w:t>
      </w:r>
      <w:r>
        <w:t xml:space="preserve">y</w:t>
      </w:r>
      <w:r>
        <w:t xml:space="preserve"> </w:t>
      </w:r>
      <w:r>
        <w:rPr>
          <w:rStyle w:val="VerbatimChar"/>
        </w:rPr>
        <w:t xml:space="preserve">CLAUDE.md</w:t>
      </w:r>
      <w:r>
        <w:t xml:space="preserve">, sección</w:t>
      </w:r>
      <w:r>
        <w:t xml:space="preserve"> </w:t>
      </w:r>
      <w:r>
        <w:t xml:space="preserve">“Pendientes técnicos”</w:t>
      </w:r>
      <w:r>
        <w:t xml:space="preserve">.</w:t>
      </w:r>
    </w:p>
    <w:bookmarkEnd w:id="40"/>
    <w:bookmarkStart w:id="41" w:name="fusión-sensorial-ponderada-por-confianza"/>
    <w:p>
      <w:pPr>
        <w:pStyle w:val="Heading3"/>
      </w:pPr>
      <w:r>
        <w:t xml:space="preserve">2.2.4 Fusión sensorial ponderada por confianza</w:t>
      </w:r>
    </w:p>
    <w:p>
      <w:pPr>
        <w:pStyle w:val="FirstParagraph"/>
      </w:pPr>
      <w:r>
        <w:t xml:space="preserve">La fusión sensorial ponderada por confianza asigna a cada sensor un peso dinámico que depende de si la lectura actual está dentro de su rango de máxima precisión, y se complementa con el contraste interno-externo descrito en la sección 2.2.1. El algoritmo opera en tres pasos:</w:t>
      </w:r>
    </w:p>
    <w:p>
      <w:pPr>
        <w:numPr>
          <w:ilvl w:val="0"/>
          <w:numId w:val="1007"/>
        </w:numPr>
      </w:pPr>
      <w:r>
        <w:rPr>
          <w:b/>
          <w:bCs/>
        </w:rPr>
        <w:t xml:space="preserve">Paso 1 — Detección de rango:</w:t>
      </w:r>
      <w:r>
        <w:t xml:space="preserve"> </w:t>
      </w:r>
      <w:r>
        <w:t xml:space="preserve">para cada lectura ambiental, se determina si está dentro del rango óptimo del sensor. Si la lectura del SHT31 interno supera 80–85% HR (umbral de aproximación a su autocalibración), su peso se reduce progresivamente durante el evento de recalibración.</w:t>
      </w:r>
    </w:p>
    <w:p>
      <w:pPr>
        <w:numPr>
          <w:ilvl w:val="0"/>
          <w:numId w:val="1007"/>
        </w:numPr>
      </w:pPr>
      <w:r>
        <w:rPr>
          <w:b/>
          <w:bCs/>
        </w:rPr>
        <w:t xml:space="preserve">Paso 2 — Contraste interno-externo:</w:t>
      </w:r>
      <w:r>
        <w:t xml:space="preserve"> </w:t>
      </w:r>
      <w:r>
        <w:t xml:space="preserve">se calcula la diferencia entre la lectura interna (SHT31) y la externa (DHT22). Esta diferencia no se trata como error de medición a promediar, sino como variable diagnóstica de termoconformidad (sección 2.2.1). Si el patrón día/noche de esa diferencia se aparta del comportamiento esperado (mayor estabilidad interna durante el día, seguimiento más cercano del exterior durante la noche), se marca como posible anomalía.</w:t>
      </w:r>
    </w:p>
    <w:p>
      <w:pPr>
        <w:numPr>
          <w:ilvl w:val="0"/>
          <w:numId w:val="1007"/>
        </w:numPr>
      </w:pPr>
      <w:r>
        <w:rPr>
          <w:b/>
          <w:bCs/>
        </w:rPr>
        <w:t xml:space="preserve">Paso 3 — Vector final:</w:t>
      </w:r>
      <w:r>
        <w:t xml:space="preserve"> </w:t>
      </w:r>
      <w:r>
        <w:t xml:space="preserve">el valor interno (SHT31), el valor externo (DHT22) y su contraste se concatenan como tres campos distintos del vector de características, en lugar de fusionarse en un único valor promediado, preservando la información diagnóstica de cada rol.</w:t>
      </w:r>
    </w:p>
    <w:p>
      <w:pPr>
        <w:pStyle w:val="FirstParagraph"/>
      </w:pPr>
      <w:r>
        <w:t xml:space="preserve">Para la señal acústica, las características extraídas del INMP441 (MFCCs, ZCR, centroide espectral) y del MPU6500 (energía de vibración por bandas de frecuencia, pico de vibración, varianza de aceleración) se concatenan como bloques separados del vector de características, permitiendo al modelo aprender la contribución independiente de cada fuente. El conteo IR (entradas, salidas, tasa neta por intervalo) se concatena como un bloque adicional.</w:t>
      </w:r>
    </w:p>
    <w:bookmarkEnd w:id="41"/>
    <w:bookmarkEnd w:id="42"/>
    <w:bookmarkStart w:id="55" w:name="X21e06f5d21c8281c1314f40a7204b43c764eac9"/>
    <w:p>
      <w:pPr>
        <w:pStyle w:val="Heading2"/>
      </w:pPr>
      <w:r>
        <w:t xml:space="preserve">2.3 Instrumentación y flujo de adquisición de datos (IoT)</w:t>
      </w:r>
    </w:p>
    <w:p>
      <w:pPr>
        <w:pStyle w:val="FirstParagraph"/>
      </w:pPr>
      <w:r>
        <w:t xml:space="preserve">El subsistema IoT cumple una función central: convertir el estado físico de la colmena en registros digitales fiables y entregarlos al subsistema de IA como un dataset estructurado. Se describe en tres bloques: la conexión de los sensores al nodo de cómputo, su disposición física en la colmena, y el flujo del dato desde la captura hasta el almacenamiento.</w:t>
      </w:r>
    </w:p>
    <w:bookmarkStart w:id="46" w:name="conexión-de-los-sensores"/>
    <w:p>
      <w:pPr>
        <w:pStyle w:val="Heading3"/>
      </w:pPr>
      <w:r>
        <w:t xml:space="preserve">2.3.1 Conexión de los sensores</w:t>
      </w:r>
    </w:p>
    <w:p>
      <w:pPr>
        <w:pStyle w:val="FirstParagraph"/>
      </w:pPr>
      <w:r>
        <w:t xml:space="preserve">Todos los sensores convergen en un único nodo de borde (ESP32 DevKit V1), que concentra la adquisición y la primera etapa de transmisión. La heterogeneidad de la arquitectura obliga a convivir varios protocolos distintos en el mismo microcontrolador: 1-Wire para el DHT22, I²C para el SHT31, el DS3231 y el MPU6500 (direcciones 0x44, 0x68 y 0x69, sin conflicto), I²S para el micrófono digital INMP441, y GPIO digital para el sensor IR doble haz. Resistencias pull-up de 10 kΩ estabilizan la línea de datos del DHT22 y el bus I²C. La Figura 2.1 resume la conexión y la Tabla 2.3 detalla los protocolos y pines.</w:t>
      </w:r>
    </w:p>
    <w:p>
      <w:pPr>
        <w:pStyle w:val="BodyText"/>
        <w:keepNext/>
      </w:pPr>
      <w:r>
        <w:drawing>
          <wp:inline>
            <wp:extent cx="5554799" cy="6480599"/>
            <wp:effectExtent b="0" l="0" r="0" t="0"/>
            <wp:docPr descr="Figura 2.1" title="" id="44" name="Picture"/>
            <a:graphic>
              <a:graphicData uri="http://schemas.openxmlformats.org/drawingml/2006/picture">
                <pic:pic>
                  <pic:nvPicPr>
                    <pic:cNvPr descr="figura_2_1_conexion_sensores.png" id="45" name="Picture"/>
                    <pic:cNvPicPr>
                      <a:picLocks noChangeArrowheads="1" noChangeAspect="1"/>
                    </pic:cNvPicPr>
                  </pic:nvPicPr>
                  <pic:blipFill>
                    <a:blip r:embed="rId43"/>
                    <a:stretch>
                      <a:fillRect/>
                    </a:stretch>
                  </pic:blipFill>
                  <pic:spPr bwMode="auto">
                    <a:xfrm>
                      <a:off x="0" y="0"/>
                      <a:ext cx="5554799" cy="6480599"/>
                    </a:xfrm>
                    <a:prstGeom prst="rect">
                      <a:avLst/>
                    </a:prstGeom>
                    <a:noFill/>
                    <a:ln w="9525">
                      <a:noFill/>
                      <a:headEnd/>
                      <a:tailEnd/>
                    </a:ln>
                  </pic:spPr>
                </pic:pic>
              </a:graphicData>
            </a:graphic>
          </wp:inline>
        </w:drawing>
      </w:r>
    </w:p>
    <w:p>
      <w:pPr>
        <w:pStyle w:val="Leyenda"/>
      </w:pPr>
      <w:r>
        <w:rPr>
          <w:b/>
          <w:bCs/>
        </w:rPr>
        <w:t xml:space="preserve">Figura 2.1</w:t>
      </w:r>
      <w:r>
        <w:t xml:space="preserve"> </w:t>
      </w:r>
      <w:r>
        <w:t xml:space="preserve">Conexión de los sensores al nodo de borde.</w:t>
      </w:r>
    </w:p>
    <w:tbl>
      <w:tblPr>
        <w:tblStyle w:val="Table"/>
        <w:tblW w:type="pct" w:w="5000"/>
        <w:tblLayout w:type="fixed"/>
        <w:tblLook w:firstRow="1" w:lastRow="0" w:firstColumn="0" w:lastColumn="0" w:noHBand="0" w:noVBand="0" w:val="0020"/>
      </w:tblPr>
      <w:tblGrid>
        <w:gridCol w:w="2888"/>
        <w:gridCol w:w="2049"/>
        <w:gridCol w:w="2981"/>
      </w:tblGrid>
      <w:tr>
        <w:trPr>
          <w:tblHeader w:val="on"/>
        </w:trPr>
        <w:tc>
          <w:tcPr/>
          <w:p>
            <w:pPr>
              <w:pStyle w:val="TextoTabla"/>
            </w:pPr>
            <w:r>
              <w:t xml:space="preserve">Sensor</w:t>
            </w:r>
          </w:p>
        </w:tc>
        <w:tc>
          <w:tcPr/>
          <w:p>
            <w:pPr>
              <w:pStyle w:val="TextoTabla"/>
            </w:pPr>
            <w:r>
              <w:t xml:space="preserve">Señal</w:t>
            </w:r>
          </w:p>
        </w:tc>
        <w:tc>
          <w:tcPr/>
          <w:p>
            <w:pPr>
              <w:pStyle w:val="TextoTabla"/>
            </w:pPr>
            <w:r>
              <w:t xml:space="preserve">Pin</w:t>
            </w:r>
          </w:p>
        </w:tc>
      </w:tr>
      <w:tr>
        <w:tc>
          <w:tcPr/>
          <w:p>
            <w:pPr>
              <w:pStyle w:val="TextoTabla"/>
            </w:pPr>
            <w:r>
              <w:t xml:space="preserve">INMP441 (I²S)</w:t>
            </w:r>
          </w:p>
        </w:tc>
        <w:tc>
          <w:tcPr/>
          <w:p>
            <w:pPr>
              <w:pStyle w:val="TextoTabla"/>
            </w:pPr>
            <w:r>
              <w:t xml:space="preserve">SCK</w:t>
            </w:r>
          </w:p>
        </w:tc>
        <w:tc>
          <w:tcPr/>
          <w:p>
            <w:pPr>
              <w:pStyle w:val="TextoTabla"/>
            </w:pPr>
            <w:r>
              <w:t xml:space="preserve">GPIO14</w:t>
            </w:r>
          </w:p>
        </w:tc>
      </w:tr>
      <w:tr>
        <w:tc>
          <w:tcPr/>
          <w:p>
            <w:pPr>
              <w:pStyle w:val="TextoTabla"/>
            </w:pPr>
            <w:r>
              <w:t xml:space="preserve">INMP441 (I²S)</w:t>
            </w:r>
          </w:p>
        </w:tc>
        <w:tc>
          <w:tcPr/>
          <w:p>
            <w:pPr>
              <w:pStyle w:val="TextoTabla"/>
            </w:pPr>
            <w:r>
              <w:t xml:space="preserve">WS</w:t>
            </w:r>
          </w:p>
        </w:tc>
        <w:tc>
          <w:tcPr/>
          <w:p>
            <w:pPr>
              <w:pStyle w:val="TextoTabla"/>
            </w:pPr>
            <w:r>
              <w:t xml:space="preserve">GPIO15</w:t>
            </w:r>
          </w:p>
        </w:tc>
      </w:tr>
      <w:tr>
        <w:tc>
          <w:tcPr/>
          <w:p>
            <w:pPr>
              <w:pStyle w:val="TextoTabla"/>
            </w:pPr>
            <w:r>
              <w:t xml:space="preserve">INMP441 (I²S)</w:t>
            </w:r>
          </w:p>
        </w:tc>
        <w:tc>
          <w:tcPr/>
          <w:p>
            <w:pPr>
              <w:pStyle w:val="TextoTabla"/>
            </w:pPr>
            <w:r>
              <w:t xml:space="preserve">SD</w:t>
            </w:r>
          </w:p>
        </w:tc>
        <w:tc>
          <w:tcPr/>
          <w:p>
            <w:pPr>
              <w:pStyle w:val="TextoTabla"/>
            </w:pPr>
            <w:r>
              <w:t xml:space="preserve">GPIO32</w:t>
            </w:r>
          </w:p>
        </w:tc>
      </w:tr>
      <w:tr>
        <w:tc>
          <w:tcPr/>
          <w:p>
            <w:pPr>
              <w:pStyle w:val="TextoTabla"/>
            </w:pPr>
            <w:r>
              <w:t xml:space="preserve">SHT31 + MPU6500 (I²C)</w:t>
            </w:r>
          </w:p>
        </w:tc>
        <w:tc>
          <w:tcPr/>
          <w:p>
            <w:pPr>
              <w:pStyle w:val="TextoTabla"/>
            </w:pPr>
            <w:r>
              <w:t xml:space="preserve">SDA</w:t>
            </w:r>
          </w:p>
        </w:tc>
        <w:tc>
          <w:tcPr/>
          <w:p>
            <w:pPr>
              <w:pStyle w:val="TextoTabla"/>
            </w:pPr>
            <w:r>
              <w:t xml:space="preserve">GPIO21</w:t>
            </w:r>
          </w:p>
        </w:tc>
      </w:tr>
      <w:tr>
        <w:tc>
          <w:tcPr/>
          <w:p>
            <w:pPr>
              <w:pStyle w:val="TextoTabla"/>
            </w:pPr>
            <w:r>
              <w:t xml:space="preserve">SHT31 + MPU6500 (I²C)</w:t>
            </w:r>
          </w:p>
        </w:tc>
        <w:tc>
          <w:tcPr/>
          <w:p>
            <w:pPr>
              <w:pStyle w:val="TextoTabla"/>
            </w:pPr>
            <w:r>
              <w:t xml:space="preserve">SCL</w:t>
            </w:r>
          </w:p>
        </w:tc>
        <w:tc>
          <w:tcPr/>
          <w:p>
            <w:pPr>
              <w:pStyle w:val="TextoTabla"/>
            </w:pPr>
            <w:r>
              <w:t xml:space="preserve">GPIO22</w:t>
            </w:r>
          </w:p>
        </w:tc>
      </w:tr>
      <w:tr>
        <w:tc>
          <w:tcPr/>
          <w:p>
            <w:pPr>
              <w:pStyle w:val="TextoTabla"/>
            </w:pPr>
            <w:r>
              <w:t xml:space="preserve">DHT22 (1-Wire)</w:t>
            </w:r>
          </w:p>
        </w:tc>
        <w:tc>
          <w:tcPr/>
          <w:p>
            <w:pPr>
              <w:pStyle w:val="TextoTabla"/>
            </w:pPr>
            <w:r>
              <w:t xml:space="preserve">DATA</w:t>
            </w:r>
          </w:p>
        </w:tc>
        <w:tc>
          <w:tcPr/>
          <w:p>
            <w:pPr>
              <w:pStyle w:val="TextoTabla"/>
            </w:pPr>
            <w:r>
              <w:t xml:space="preserve">GPIO4</w:t>
            </w:r>
          </w:p>
        </w:tc>
      </w:tr>
      <w:tr>
        <w:tc>
          <w:tcPr/>
          <w:p>
            <w:pPr>
              <w:pStyle w:val="TextoTabla"/>
            </w:pPr>
            <w:r>
              <w:t xml:space="preserve">Contador IR doble haz</w:t>
            </w:r>
          </w:p>
        </w:tc>
        <w:tc>
          <w:tcPr/>
          <w:p>
            <w:pPr>
              <w:pStyle w:val="TextoTabla"/>
            </w:pPr>
            <w:r>
              <w:t xml:space="preserve">Haz A (principal)</w:t>
            </w:r>
          </w:p>
        </w:tc>
        <w:tc>
          <w:tcPr/>
          <w:p>
            <w:pPr>
              <w:pStyle w:val="TextoTabla"/>
            </w:pPr>
            <w:r>
              <w:t xml:space="preserve">GPIO26</w:t>
            </w:r>
          </w:p>
        </w:tc>
      </w:tr>
      <w:tr>
        <w:tc>
          <w:tcPr/>
          <w:p>
            <w:pPr>
              <w:pStyle w:val="TextoTabla"/>
            </w:pPr>
            <w:r>
              <w:t xml:space="preserve">Contador IR doble haz</w:t>
            </w:r>
          </w:p>
        </w:tc>
        <w:tc>
          <w:tcPr/>
          <w:p>
            <w:pPr>
              <w:pStyle w:val="TextoTabla"/>
            </w:pPr>
            <w:r>
              <w:t xml:space="preserve">Haz A (secundario)</w:t>
            </w:r>
          </w:p>
        </w:tc>
        <w:tc>
          <w:tcPr/>
          <w:p>
            <w:pPr>
              <w:pStyle w:val="TextoTabla"/>
            </w:pPr>
            <w:r>
              <w:t xml:space="preserve">GPIO25</w:t>
            </w:r>
          </w:p>
        </w:tc>
      </w:tr>
      <w:tr>
        <w:tc>
          <w:tcPr/>
          <w:p>
            <w:pPr>
              <w:pStyle w:val="TextoTabla"/>
            </w:pPr>
            <w:r>
              <w:t xml:space="preserve">Contador IR doble haz</w:t>
            </w:r>
          </w:p>
        </w:tc>
        <w:tc>
          <w:tcPr/>
          <w:p>
            <w:pPr>
              <w:pStyle w:val="TextoTabla"/>
            </w:pPr>
            <w:r>
              <w:t xml:space="preserve">Haz B (principal)</w:t>
            </w:r>
          </w:p>
        </w:tc>
        <w:tc>
          <w:tcPr/>
          <w:p>
            <w:pPr>
              <w:pStyle w:val="TextoTabla"/>
            </w:pPr>
            <w:r>
              <w:t xml:space="preserve">GPIO27</w:t>
            </w:r>
          </w:p>
        </w:tc>
      </w:tr>
      <w:tr>
        <w:tc>
          <w:tcPr/>
          <w:p>
            <w:pPr>
              <w:pStyle w:val="TextoTabla"/>
            </w:pPr>
            <w:r>
              <w:t xml:space="preserve">Contador IR doble haz</w:t>
            </w:r>
          </w:p>
        </w:tc>
        <w:tc>
          <w:tcPr/>
          <w:p>
            <w:pPr>
              <w:pStyle w:val="TextoTabla"/>
            </w:pPr>
            <w:r>
              <w:t xml:space="preserve">Haz B (secundario)</w:t>
            </w:r>
          </w:p>
        </w:tc>
        <w:tc>
          <w:tcPr/>
          <w:p>
            <w:pPr>
              <w:pStyle w:val="TextoTabla"/>
            </w:pPr>
            <w:r>
              <w:t xml:space="preserve">GPIO33</w:t>
            </w:r>
          </w:p>
        </w:tc>
      </w:tr>
      <w:tr>
        <w:tc>
          <w:tcPr/>
          <w:p>
            <w:pPr>
              <w:pStyle w:val="TextoTabla"/>
            </w:pPr>
            <w:r>
              <w:t xml:space="preserve">MPU6500 (interrupción opcional)</w:t>
            </w:r>
          </w:p>
        </w:tc>
        <w:tc>
          <w:tcPr/>
          <w:p>
            <w:pPr>
              <w:pStyle w:val="TextoTabla"/>
            </w:pPr>
            <w:r>
              <w:t xml:space="preserve">INT (Ruta B, opcional)</w:t>
            </w:r>
          </w:p>
        </w:tc>
        <w:tc>
          <w:tcPr/>
          <w:p>
            <w:pPr>
              <w:pStyle w:val="TextoTabla"/>
            </w:pPr>
            <w:r>
              <w:t xml:space="preserve">GPIO13</w:t>
            </w:r>
          </w:p>
        </w:tc>
      </w:tr>
      <w:tr>
        <w:tc>
          <w:tcPr/>
          <w:p>
            <w:pPr>
              <w:pStyle w:val="TextoTabla"/>
            </w:pPr>
            <w:r>
              <w:t xml:space="preserve">Reloj DS3231 (I²C, 0x68)</w:t>
            </w:r>
          </w:p>
        </w:tc>
        <w:tc>
          <w:tcPr/>
          <w:p>
            <w:pPr>
              <w:pStyle w:val="TextoTabla"/>
            </w:pPr>
            <w:r>
              <w:t xml:space="preserve">SDA / SCL</w:t>
            </w:r>
          </w:p>
        </w:tc>
        <w:tc>
          <w:tcPr/>
          <w:p>
            <w:pPr>
              <w:pStyle w:val="TextoTabla"/>
            </w:pPr>
            <w:r>
              <w:t xml:space="preserve">GPIO21 / GPIO22</w:t>
            </w:r>
          </w:p>
        </w:tc>
      </w:tr>
      <w:tr>
        <w:tc>
          <w:tcPr/>
          <w:p>
            <w:pPr>
              <w:pStyle w:val="TextoTabla"/>
            </w:pPr>
            <w:r>
              <w:t xml:space="preserve">microSD (SPI/VSPI)</w:t>
            </w:r>
          </w:p>
        </w:tc>
        <w:tc>
          <w:tcPr/>
          <w:p>
            <w:pPr>
              <w:pStyle w:val="TextoTabla"/>
            </w:pPr>
            <w:r>
              <w:t xml:space="preserve">CS / MOSI / MISO / SCK</w:t>
            </w:r>
          </w:p>
        </w:tc>
        <w:tc>
          <w:tcPr/>
          <w:p>
            <w:pPr>
              <w:pStyle w:val="TextoTabla"/>
            </w:pPr>
            <w:r>
              <w:t xml:space="preserve">GPIO5 / GPIO23 / GPIO19 / GPIO18</w:t>
            </w:r>
          </w:p>
        </w:tc>
      </w:tr>
    </w:tbl>
    <w:p>
      <w:pPr>
        <w:pStyle w:val="Leyenda"/>
      </w:pPr>
      <w:r>
        <w:rPr>
          <w:b/>
          <w:bCs/>
        </w:rPr>
        <w:t xml:space="preserve">Tabla 2.3</w:t>
      </w:r>
      <w:r>
        <w:t xml:space="preserve"> </w:t>
      </w:r>
      <w:r>
        <w:t xml:space="preserve">Protocolos de comunicación y pines por sensor (ESP32 DevKit V1).</w:t>
      </w:r>
    </w:p>
    <w:p>
      <w:pPr>
        <w:pStyle w:val="BodyText"/>
      </w:pPr>
      <w:r>
        <w:t xml:space="preserve">Direcciones I²C del bus compartido: SHT31 en 0x44, DS3231 en 0x68 y MPU6500 en 0x69 (AD0 a 3.3 V), sin conflicto entre sí. Opcionalmente, si el muestreo por polling del bus I²C muestra pérdida de muestras en la prueba de banco, el MPU6500 puede operar además por interrupción data-ready, usando GPIO13 para la señal INT — sin conflicto con el resto del mapeo de pines.</w:t>
      </w:r>
    </w:p>
    <w:bookmarkEnd w:id="46"/>
    <w:bookmarkStart w:id="50" w:name="disposición-física-en-la-colmena"/>
    <w:p>
      <w:pPr>
        <w:pStyle w:val="Heading3"/>
      </w:pPr>
      <w:r>
        <w:t xml:space="preserve">2.3.2 Disposición física en la colmena</w:t>
      </w:r>
    </w:p>
    <w:p>
      <w:pPr>
        <w:pStyle w:val="FirstParagraph"/>
      </w:pPr>
      <w:r>
        <w:t xml:space="preserve">El principio de instalación es no invasivo: solo las sondas de los sensores penetran la cavidad; la electrónica de cómputo, alimentación y comunicación permanece en el exterior dentro de una caja IP65. La sonda encapsulada del SHT31 se introduce al interior de la cavidad como sensor primario de microclima; el DHT22 permanece montado en el exterior de la colmena, protegido de la lluvia directa, como sensor secundario de referencia ambiental; el INMP441 capta el sonido aéreo dentro de la cavidad; el MPU6500 se fija en contacto directo con la madera para registrar la vibración estructural; y el sensor IR doble haz se embebe en el barreno de la piquera (sección 2.2.3). Se respeta un período de aclimatación de 2–4 semanas antes de iniciar el etiquetado (véase también sección 2.6), y el barniz conformal protege la placa salvo el elemento sensor del DHT22 y el orificio del micrófono (Figura 2.2).</w:t>
      </w:r>
    </w:p>
    <w:p>
      <w:pPr>
        <w:pStyle w:val="BodyText"/>
        <w:keepNext/>
      </w:pPr>
      <w:r>
        <w:drawing>
          <wp:inline>
            <wp:extent cx="5759999" cy="3811199"/>
            <wp:effectExtent b="0" l="0" r="0" t="0"/>
            <wp:docPr descr="Figura 2.2" title="" id="48" name="Picture"/>
            <a:graphic>
              <a:graphicData uri="http://schemas.openxmlformats.org/drawingml/2006/picture">
                <pic:pic>
                  <pic:nvPicPr>
                    <pic:cNvPr descr="figura_2_2_disposicion_fisica.png" id="49" name="Picture"/>
                    <pic:cNvPicPr>
                      <a:picLocks noChangeArrowheads="1" noChangeAspect="1"/>
                    </pic:cNvPicPr>
                  </pic:nvPicPr>
                  <pic:blipFill>
                    <a:blip r:embed="rId47"/>
                    <a:stretch>
                      <a:fillRect/>
                    </a:stretch>
                  </pic:blipFill>
                  <pic:spPr bwMode="auto">
                    <a:xfrm>
                      <a:off x="0" y="0"/>
                      <a:ext cx="5759999" cy="3811199"/>
                    </a:xfrm>
                    <a:prstGeom prst="rect">
                      <a:avLst/>
                    </a:prstGeom>
                    <a:noFill/>
                    <a:ln w="9525">
                      <a:noFill/>
                      <a:headEnd/>
                      <a:tailEnd/>
                    </a:ln>
                  </pic:spPr>
                </pic:pic>
              </a:graphicData>
            </a:graphic>
          </wp:inline>
        </w:drawing>
      </w:r>
    </w:p>
    <w:p>
      <w:pPr>
        <w:pStyle w:val="Leyenda"/>
      </w:pPr>
      <w:r>
        <w:rPr>
          <w:b/>
          <w:bCs/>
        </w:rPr>
        <w:t xml:space="preserve">Figura 2.2</w:t>
      </w:r>
      <w:r>
        <w:t xml:space="preserve"> </w:t>
      </w:r>
      <w:r>
        <w:t xml:space="preserve">Disposición física de la instrumentación en la colmena.</w:t>
      </w:r>
    </w:p>
    <w:bookmarkEnd w:id="50"/>
    <w:bookmarkStart w:id="54" w:name="flujo-del-dato-de-la-captura-al-dataset"/>
    <w:p>
      <w:pPr>
        <w:pStyle w:val="Heading3"/>
      </w:pPr>
      <w:r>
        <w:t xml:space="preserve">2.3.3 Flujo del dato: de la captura al dataset</w:t>
      </w:r>
    </w:p>
    <w:p>
      <w:pPr>
        <w:pStyle w:val="FirstParagraph"/>
      </w:pPr>
      <w:r>
        <w:t xml:space="preserve">El ESP32 opera en ciclos de 5 minutos activo / 55 en deep sleep y solo lee los sensores en crudo. Cada ciclo captura 10 ventanas (una cada 30 s): audio de 1 s a 16 kHz, vibración triaxial de 2 s a 1500 Hz, temperatura/humedad interna y externa y conteo IR, guardadas en microSD (audio y vibración en binario, metadatos en JSON) con marca de tiempo del DS3231. El ESP32 crea una red WiFi local sin internet; una app Android (por desarrollar) descargará por HTTP local los ciclos, aplicará el pipeline (pre-énfasis, MFCC, fusión ponderada, descriptores de vibración y tráfico), ejecutará el modelo XGBoost exportado, mostrará gráficas y alertas, guardará el histórico y permitirá etiquetar por observación directa. Sin servidor ni nube, el dataset se exporta manualmente a Zenodo cuando hay conexión (Figura 2.3).</w:t>
      </w:r>
    </w:p>
    <w:p>
      <w:pPr>
        <w:pStyle w:val="BodyText"/>
        <w:keepNext/>
      </w:pPr>
      <w:r>
        <w:drawing>
          <wp:inline>
            <wp:extent cx="5201999" cy="6478657"/>
            <wp:effectExtent b="0" l="0" r="0" t="0"/>
            <wp:docPr descr="Figura 2.3" title="" id="52" name="Picture"/>
            <a:graphic>
              <a:graphicData uri="http://schemas.openxmlformats.org/drawingml/2006/picture">
                <pic:pic>
                  <pic:nvPicPr>
                    <pic:cNvPr descr="figura_2_3_flujo_datos.png" id="53" name="Picture"/>
                    <pic:cNvPicPr>
                      <a:picLocks noChangeArrowheads="1" noChangeAspect="1"/>
                    </pic:cNvPicPr>
                  </pic:nvPicPr>
                  <pic:blipFill>
                    <a:blip r:embed="rId51"/>
                    <a:stretch>
                      <a:fillRect/>
                    </a:stretch>
                  </pic:blipFill>
                  <pic:spPr bwMode="auto">
                    <a:xfrm>
                      <a:off x="0" y="0"/>
                      <a:ext cx="5201999" cy="6478657"/>
                    </a:xfrm>
                    <a:prstGeom prst="rect">
                      <a:avLst/>
                    </a:prstGeom>
                    <a:noFill/>
                    <a:ln w="9525">
                      <a:noFill/>
                      <a:headEnd/>
                      <a:tailEnd/>
                    </a:ln>
                  </pic:spPr>
                </pic:pic>
              </a:graphicData>
            </a:graphic>
          </wp:inline>
        </w:drawing>
      </w:r>
    </w:p>
    <w:p>
      <w:pPr>
        <w:pStyle w:val="Leyenda"/>
      </w:pPr>
      <w:r>
        <w:rPr>
          <w:b/>
          <w:bCs/>
        </w:rPr>
        <w:t xml:space="preserve">Figura 2.3</w:t>
      </w:r>
      <w:r>
        <w:t xml:space="preserve"> </w:t>
      </w:r>
      <w:r>
        <w:t xml:space="preserve">Flujo del dato desde la captura hasta el dataset.</w:t>
      </w:r>
    </w:p>
    <w:bookmarkEnd w:id="54"/>
    <w:bookmarkEnd w:id="55"/>
    <w:bookmarkStart w:id="61" w:name="protocolo-de-preprocesamiento-de-señal"/>
    <w:p>
      <w:pPr>
        <w:pStyle w:val="Heading2"/>
      </w:pPr>
      <w:r>
        <w:t xml:space="preserve">2.4 Protocolo de preprocesamiento de señal</w:t>
      </w:r>
    </w:p>
    <w:p>
      <w:pPr>
        <w:pStyle w:val="FirstParagraph"/>
      </w:pPr>
      <w:r>
        <w:t xml:space="preserve">El artículo de referencia no documentó ningún protocolo de preprocesamiento de señal antes de la extracción de características. Esta tesis introduce un protocolo formal, justificado por la naturaleza indirecta de las mediciones sensoriales y las condiciones climáticas tropicales de Campeche.</w:t>
      </w:r>
    </w:p>
    <w:bookmarkStart w:id="56" w:name="X31d1f55afa4ca9427b3c8d68088ae47c380fb40"/>
    <w:p>
      <w:pPr>
        <w:pStyle w:val="Heading3"/>
      </w:pPr>
      <w:r>
        <w:t xml:space="preserve">2.4.1 Filtro de media móvil sobre variables ambientales</w:t>
      </w:r>
    </w:p>
    <w:p>
      <w:pPr>
        <w:pStyle w:val="FirstParagraph"/>
      </w:pPr>
      <w:r>
        <w:t xml:space="preserve">Antes de concatenar las variables ambientales al vector de características, se aplica un filtro de media móvil de ventana de 5 muestras sobre temperatura y HR, tanto interna (SHT31) como externa (DHT22). Este filtro suaviza los picos espurios causados por la histéresis del DHT22, el ruido eléctrico de la batería y las variaciones abruptas de HR durante aguaceros. La ventana de 5 muestras equivale a 5 minutos de lecturas (una muestra por minuto), suficiente para suavizar picos transitorios sin introducir latencia significativa en la detección de cambios reales del estado de la colmena.</w:t>
      </w:r>
    </w:p>
    <w:bookmarkEnd w:id="56"/>
    <w:bookmarkStart w:id="57" w:name="pre-énfasis-sobre-la-señal-de-audio"/>
    <w:p>
      <w:pPr>
        <w:pStyle w:val="Heading3"/>
      </w:pPr>
      <w:r>
        <w:t xml:space="preserve">2.4.2 Pre-énfasis sobre la señal de audio</w:t>
      </w:r>
    </w:p>
    <w:p>
      <w:pPr>
        <w:pStyle w:val="FirstParagraph"/>
      </w:pPr>
      <w:r>
        <w:t xml:space="preserve">Antes de la extracción de MFCCs, se aplica un filtro de pre-énfasis de primer orden sobre la señal de audio cruda: y[n] = x[n] − 0.97 · x[n−1]. Este filtro amplifica las frecuencias altas relativas a las bajas, compensando la tendencia natural del micrófono INMP441 a captar con mayor energía las frecuencias graves. El pre-énfasis mejora la discriminabilidad de los coeficientes MFCC de orden alto, que capturan información sobre los armónicos y la textura fina de la señal acústica de la colmena.</w:t>
      </w:r>
    </w:p>
    <w:bookmarkEnd w:id="57"/>
    <w:bookmarkStart w:id="58" w:name="X4248bffaed39991d5e8456091bec1bc2ccefd25"/>
    <w:p>
      <w:pPr>
        <w:pStyle w:val="Heading3"/>
      </w:pPr>
      <w:r>
        <w:t xml:space="preserve">2.4.3 Umbral de energía RMS para descarte de segmentos silenciosos</w:t>
      </w:r>
    </w:p>
    <w:p>
      <w:pPr>
        <w:pStyle w:val="FirstParagraph"/>
      </w:pPr>
      <w:r>
        <w:t xml:space="preserve">No todas las ventanas de 1 s (10 por ciclo de 5 min) contienen señal de colmena útil. Durante períodos de baja actividad nocturna, o si el micrófono se desconecta momentáneamente, el segmento puede contener principalmente ruido de fondo. Se calcula la energía RMS (Root Mean Square) de cada segmento y se descarta si cae por debajo de un umbral empírico determinado durante la fase de calibración inicial en cada meliponario. Los segmentos descartados se registran como datos faltantes y no se usan para entrenamiento ni inferencia.</w:t>
      </w:r>
    </w:p>
    <w:bookmarkEnd w:id="58"/>
    <w:bookmarkStart w:id="59" w:name="X783f4fb2cbff324e90d2fecc3584bc5f0a28587"/>
    <w:p>
      <w:pPr>
        <w:pStyle w:val="Heading3"/>
      </w:pPr>
      <w:r>
        <w:t xml:space="preserve">2.4.4 Normalización Z-score del vector de características</w:t>
      </w:r>
    </w:p>
    <w:p>
      <w:pPr>
        <w:pStyle w:val="FirstParagraph"/>
      </w:pPr>
      <w:r>
        <w:t xml:space="preserve">Antes de entrenar los modelos, el vector de características completo —MFCCs, ZCR, centroide espectral, variables ambientales interna/externa y su contraste, características de vibración del MPU6500 y conteo IR— se normaliza mediante Z-score por colmena: a cada valor se le resta la media y se divide entre la desviación estándar calculada sobre el conjunto de entrenamiento de esa colmena. Esto garantiza que las variables de diferentes escalas tengan contribuciones comparables al modelo, sin que ninguna domine por su magnitud absoluta. El artículo de referencia no documentó esta normalización, lo que puede haber favorecido a variables de mayor escala en los modelos sensibles a la escala (SVM).</w:t>
      </w:r>
    </w:p>
    <w:bookmarkEnd w:id="59"/>
    <w:bookmarkStart w:id="60" w:name="X41b63868d3963c50f7e3790ade1b174de022803"/>
    <w:p>
      <w:pPr>
        <w:pStyle w:val="Heading3"/>
      </w:pPr>
      <w:r>
        <w:t xml:space="preserve">2.4.5 Conversión de humedad relativa a humedad absoluta</w:t>
      </w:r>
    </w:p>
    <w:p>
      <w:pPr>
        <w:pStyle w:val="FirstParagraph"/>
      </w:pPr>
      <w:r>
        <w:t xml:space="preserve">La humedad relativa (HR) depende de la temperatura: la misma cantidad real de vapor de agua produce lecturas de HR completamente distintas si la temperatura cambia. Por ejemplo, 10 g/m³ de vapor de agua producen HR = 57.8% a 20 °C, HR = 32.9% a 30 °C y HR = 25.3% a 35 °C, sin que el contenido de vapor haya variado. Concatenar HR directamente al vector de características, como hace el artículo de referencia, introduce una covariancia artificial con la temperatura que puede confundir al modelo.</w:t>
      </w:r>
    </w:p>
    <w:p>
      <w:pPr>
        <w:pStyle w:val="BodyText"/>
      </w:pPr>
      <w:r>
        <w:t xml:space="preserve">Antes de concatenar las variables ambientales, se convierte la humedad relativa a humedad absoluta (HA, en g/m³) mediante la aproximación de Magnus: HA = 6.112 × e^(17.67·T/(T+243.5)) × HR / (461.5 × (T+273.15)), donde T es la temperatura en grados Celsius y HR la humedad relativa en tanto por uno. El resultado es el contenido real de vapor de agua, físicamente relevante para el desarrollo de hongos, la ventilación colectiva de</w:t>
      </w:r>
      <w:r>
        <w:t xml:space="preserve"> </w:t>
      </w:r>
      <w:r>
        <w:rPr>
          <w:i/>
          <w:iCs/>
        </w:rPr>
        <w:t xml:space="preserve">M. beecheii</w:t>
      </w:r>
      <w:r>
        <w:t xml:space="preserve"> </w:t>
      </w:r>
      <w:r>
        <w:t xml:space="preserve">y las condiciones patológicas de la colmena. La conversión se aplica tanto al SHT31 interno como al DHT22 externo, conservándose ambos valores de humedad absoluta —y su contraste— como campos independientes del vector de características (sección 2.2.4), en lugar de fusionarse en un único valor promediado.</w:t>
      </w:r>
    </w:p>
    <w:bookmarkEnd w:id="60"/>
    <w:bookmarkEnd w:id="61"/>
    <w:bookmarkStart w:id="62" w:name="X2150953ec3b698f6909259a6b989b3e9a49a43f"/>
    <w:p>
      <w:pPr>
        <w:pStyle w:val="Heading2"/>
      </w:pPr>
      <w:r>
        <w:t xml:space="preserve">2.5 Arquitectura del sistema KaabLab completo</w:t>
      </w:r>
    </w:p>
    <w:p>
      <w:pPr>
        <w:pStyle w:val="FirstParagraph"/>
      </w:pPr>
      <w:r>
        <w:t xml:space="preserve">El sistema KaabLab para</w:t>
      </w:r>
      <w:r>
        <w:t xml:space="preserve"> </w:t>
      </w:r>
      <w:r>
        <w:rPr>
          <w:i/>
          <w:iCs/>
        </w:rPr>
        <w:t xml:space="preserve">M. beecheii</w:t>
      </w:r>
      <w:r>
        <w:t xml:space="preserve"> </w:t>
      </w:r>
      <w:r>
        <w:t xml:space="preserve">se organiza en cuatro capas funcionales, que expanden las tres del artículo de referencia con la adición de la capa de preprocesamiento:</w:t>
      </w:r>
    </w:p>
    <w:p>
      <w:pPr>
        <w:numPr>
          <w:ilvl w:val="0"/>
          <w:numId w:val="1008"/>
        </w:numPr>
      </w:pPr>
      <w:r>
        <w:rPr>
          <w:b/>
          <w:bCs/>
        </w:rPr>
        <w:t xml:space="preserve">Capa IoT (instrumentación heterogénea):</w:t>
      </w:r>
      <w:r>
        <w:t xml:space="preserve"> </w:t>
      </w:r>
      <w:r>
        <w:t xml:space="preserve">SHT31 interno + DHT22 externo (temperatura/HR) + INMP441 (nivel acústico) + MPU6500 (vibración estructural) + sensor IR doble haz en piquera (conteo de tráfico) + ESP32 como edge device + batería LiPo 5,000–10,000 mAh + panel solar 5–10 W.</w:t>
      </w:r>
    </w:p>
    <w:p>
      <w:pPr>
        <w:numPr>
          <w:ilvl w:val="0"/>
          <w:numId w:val="1008"/>
        </w:numPr>
      </w:pPr>
      <w:r>
        <w:rPr>
          <w:b/>
          <w:bCs/>
        </w:rPr>
        <w:t xml:space="preserve">Capa de preprocesamiento:</w:t>
      </w:r>
      <w:r>
        <w:t xml:space="preserve"> </w:t>
      </w:r>
      <w:r>
        <w:t xml:space="preserve">fusión sensorial ponderada por confianza y contraste interno-externo (SHT31 + DHT22) → filtro de media móvil → pre-énfasis de audio (α = 0.97) → umbral RMS → normalización Z-score del vector completo.</w:t>
      </w:r>
    </w:p>
    <w:p>
      <w:pPr>
        <w:numPr>
          <w:ilvl w:val="0"/>
          <w:numId w:val="1008"/>
        </w:numPr>
      </w:pPr>
      <w:r>
        <w:rPr>
          <w:b/>
          <w:bCs/>
        </w:rPr>
        <w:t xml:space="preserve">Módulo bioacústico y sensorial:</w:t>
      </w:r>
      <w:r>
        <w:t xml:space="preserve"> </w:t>
      </w:r>
      <w:r>
        <w:t xml:space="preserve">extracción de MFCCs (n=13, media y desviación), ZCR, centroide y rolloff espectral del INMP441; energía de vibración por bandas, pico y varianza de aceleración del MPU6500; conteo direccional del sensor IR; concatenación con variables ambientales interna/externa y su contraste; clasificación con XGBoost, Gradient Boosting, RF y SVM; optimización en dos fases (búsqueda aleatoria 20 it. + bayesiana 15 it., 3-fold CV).</w:t>
      </w:r>
    </w:p>
    <w:p>
      <w:pPr>
        <w:numPr>
          <w:ilvl w:val="0"/>
          <w:numId w:val="1008"/>
        </w:numPr>
      </w:pPr>
      <w:r>
        <w:rPr>
          <w:b/>
          <w:bCs/>
        </w:rPr>
        <w:t xml:space="preserve">Capa de alertas y evidencia:</w:t>
      </w:r>
      <w:r>
        <w:t xml:space="preserve"> </w:t>
      </w:r>
      <w:r>
        <w:t xml:space="preserve">umbral de confianza 0.7; registro de clase + confianza + timestamp en JSON local; exportación manual posterior.</w:t>
      </w:r>
    </w:p>
    <w:p>
      <w:pPr>
        <w:pStyle w:val="FirstParagraph"/>
      </w:pPr>
      <w:r>
        <w:t xml:space="preserve">Los umbrales de alerta se limitan a lo respaldado por la literatura; el resto se definirá con el dataset de campo.</w:t>
      </w:r>
    </w:p>
    <w:tbl>
      <w:tblPr>
        <w:tblStyle w:val="Table"/>
        <w:tblW w:type="pct" w:w="5000"/>
        <w:tblLayout w:type="fixed"/>
        <w:tblLook w:firstRow="1" w:lastRow="0" w:firstColumn="0" w:lastColumn="0" w:noHBand="0" w:noVBand="0" w:val="0020"/>
      </w:tblPr>
      <w:tblGrid>
        <w:gridCol w:w="2108"/>
        <w:gridCol w:w="3418"/>
        <w:gridCol w:w="2393"/>
      </w:tblGrid>
      <w:tr>
        <w:trPr>
          <w:tblHeader w:val="on"/>
        </w:trPr>
        <w:tc>
          <w:tcPr/>
          <w:p>
            <w:pPr>
              <w:pStyle w:val="TextoTabla"/>
            </w:pPr>
            <w:r>
              <w:rPr>
                <w:b/>
                <w:bCs/>
              </w:rPr>
              <w:t xml:space="preserve">Variable</w:t>
            </w:r>
          </w:p>
        </w:tc>
        <w:tc>
          <w:tcPr/>
          <w:p>
            <w:pPr>
              <w:pStyle w:val="TextoTabla"/>
            </w:pPr>
            <w:r>
              <w:rPr>
                <w:b/>
                <w:bCs/>
              </w:rPr>
              <w:t xml:space="preserve">Rango o umbral</w:t>
            </w:r>
          </w:p>
        </w:tc>
        <w:tc>
          <w:tcPr/>
          <w:p>
            <w:pPr>
              <w:pStyle w:val="TextoTabla"/>
            </w:pPr>
            <w:r>
              <w:rPr>
                <w:b/>
                <w:bCs/>
              </w:rPr>
              <w:t xml:space="preserve">Fuente / estado</w:t>
            </w:r>
          </w:p>
        </w:tc>
      </w:tr>
      <w:tr>
        <w:tc>
          <w:tcPr/>
          <w:p>
            <w:pPr>
              <w:pStyle w:val="TextoTabla"/>
            </w:pPr>
            <w:r>
              <w:t xml:space="preserve">Temperatura intranidal normal</w:t>
            </w:r>
          </w:p>
        </w:tc>
        <w:tc>
          <w:tcPr/>
          <w:p>
            <w:pPr>
              <w:pStyle w:val="TextoTabla"/>
            </w:pPr>
            <w:r>
              <w:t xml:space="preserve">25.4–34.0 °C (media 30.2 °C)</w:t>
            </w:r>
          </w:p>
        </w:tc>
        <w:tc>
          <w:tcPr/>
          <w:p>
            <w:pPr>
              <w:pStyle w:val="TextoTabla"/>
            </w:pPr>
            <w:r>
              <w:t xml:space="preserve">Moo-Valle et al. (2000),</w:t>
            </w:r>
            <w:r>
              <w:t xml:space="preserve"> </w:t>
            </w:r>
            <w:r>
              <w:rPr>
                <w:i/>
                <w:iCs/>
              </w:rPr>
              <w:t xml:space="preserve">Melipona beecheii</w:t>
            </w:r>
          </w:p>
        </w:tc>
      </w:tr>
      <w:tr>
        <w:tc>
          <w:tcPr/>
          <w:p>
            <w:pPr>
              <w:pStyle w:val="TextoTabla"/>
            </w:pPr>
            <w:r>
              <w:t xml:space="preserve">Temperatura crítica alta</w:t>
            </w:r>
          </w:p>
        </w:tc>
        <w:tc>
          <w:tcPr/>
          <w:p>
            <w:pPr>
              <w:pStyle w:val="TextoTabla"/>
            </w:pPr>
            <w:r>
              <w:t xml:space="preserve">40 °C: 90 % de mortalidad de pupas</w:t>
            </w:r>
          </w:p>
        </w:tc>
        <w:tc>
          <w:tcPr/>
          <w:p>
            <w:pPr>
              <w:pStyle w:val="TextoTabla"/>
            </w:pPr>
            <w:r>
              <w:t xml:space="preserve">Macías-Macías et al. (2011)</w:t>
            </w:r>
          </w:p>
        </w:tc>
      </w:tr>
      <w:tr>
        <w:tc>
          <w:tcPr/>
          <w:p>
            <w:pPr>
              <w:pStyle w:val="TextoTabla"/>
            </w:pPr>
            <w:r>
              <w:t xml:space="preserve">Temperatura crítica baja</w:t>
            </w:r>
          </w:p>
        </w:tc>
        <w:tc>
          <w:tcPr/>
          <w:p>
            <w:pPr>
              <w:pStyle w:val="TextoTabla"/>
            </w:pPr>
            <w:r>
              <w:t xml:space="preserve">5 °C: 100 % de mortalidad de pupas</w:t>
            </w:r>
          </w:p>
        </w:tc>
        <w:tc>
          <w:tcPr/>
          <w:p>
            <w:pPr>
              <w:pStyle w:val="TextoTabla"/>
            </w:pPr>
            <w:r>
              <w:t xml:space="preserve">Macías-Macías et al. (2011)</w:t>
            </w:r>
          </w:p>
        </w:tc>
      </w:tr>
      <w:tr>
        <w:tc>
          <w:tcPr/>
          <w:p>
            <w:pPr>
              <w:pStyle w:val="TextoTabla"/>
            </w:pPr>
            <w:r>
              <w:t xml:space="preserve">Humedad relativa intranidal</w:t>
            </w:r>
          </w:p>
        </w:tc>
        <w:tc>
          <w:tcPr/>
          <w:p>
            <w:pPr>
              <w:pStyle w:val="TextoTabla"/>
            </w:pPr>
            <w:r>
              <w:t xml:space="preserve">Sin referencia publicada</w:t>
            </w:r>
          </w:p>
        </w:tc>
        <w:tc>
          <w:tcPr/>
          <w:p>
            <w:pPr>
              <w:pStyle w:val="TextoTabla"/>
            </w:pPr>
            <w:r>
              <w:t xml:space="preserve">Se definirá con el dataset de campo</w:t>
            </w:r>
          </w:p>
        </w:tc>
      </w:tr>
      <w:tr>
        <w:tc>
          <w:tcPr/>
          <w:p>
            <w:pPr>
              <w:pStyle w:val="TextoTabla"/>
            </w:pPr>
            <w:r>
              <w:t xml:space="preserve">Contraste temperatura interna–externa</w:t>
            </w:r>
          </w:p>
        </w:tc>
        <w:tc>
          <w:tcPr/>
          <w:p>
            <w:pPr>
              <w:pStyle w:val="TextoTabla"/>
            </w:pPr>
            <w:r>
              <w:t xml:space="preserve">Sin referencia publicada para el umbral; patrón día/noche de termoconformidad (Moo-Valle et al., 2000)</w:t>
            </w:r>
          </w:p>
        </w:tc>
        <w:tc>
          <w:tcPr/>
          <w:p>
            <w:pPr>
              <w:pStyle w:val="TextoTabla"/>
            </w:pPr>
            <w:r>
              <w:t xml:space="preserve">Se definirá con el dataset de campo</w:t>
            </w:r>
          </w:p>
        </w:tc>
      </w:tr>
    </w:tbl>
    <w:p>
      <w:pPr>
        <w:pStyle w:val="Leyenda"/>
      </w:pPr>
      <w:r>
        <w:rPr>
          <w:b/>
          <w:bCs/>
        </w:rPr>
        <w:t xml:space="preserve">Tabla 2.4</w:t>
      </w:r>
      <w:r>
        <w:t xml:space="preserve"> </w:t>
      </w:r>
      <w:r>
        <w:t xml:space="preserve">Umbrales de referencia de temperatura y humedad para las alertas del sistema.</w:t>
      </w:r>
    </w:p>
    <w:bookmarkEnd w:id="62"/>
    <w:bookmarkStart w:id="63" w:name="Xd30274d7ea3595faa235384f80519d7b00a460a"/>
    <w:p>
      <w:pPr>
        <w:pStyle w:val="Heading2"/>
      </w:pPr>
      <w:r>
        <w:t xml:space="preserve">2.6 Consideraciones de interferencia del hardware IoT en</w:t>
      </w:r>
      <w:r>
        <w:t xml:space="preserve"> </w:t>
      </w:r>
      <w:r>
        <w:rPr>
          <w:i/>
          <w:iCs/>
        </w:rPr>
        <w:t xml:space="preserve">M. beecheii</w:t>
      </w:r>
    </w:p>
    <w:p>
      <w:pPr>
        <w:pStyle w:val="FirstParagraph"/>
      </w:pPr>
      <w:r>
        <w:t xml:space="preserve">La instrumentación electrónica introducida en o cerca del nido no es neutra: puede alterar el mismo comportamiento que se busca monitorear. Se identifican cuatro vectores de interferencia potencial:</w:t>
      </w:r>
    </w:p>
    <w:p>
      <w:pPr>
        <w:numPr>
          <w:ilvl w:val="0"/>
          <w:numId w:val="1009"/>
        </w:numPr>
      </w:pPr>
      <w:r>
        <w:rPr>
          <w:b/>
          <w:bCs/>
        </w:rPr>
        <w:t xml:space="preserve">Campos electromagnéticos del ESP32 (WiFi 2.4 GHz).</w:t>
      </w:r>
      <w:r>
        <w:t xml:space="preserve"> </w:t>
      </w:r>
      <w:r>
        <w:t xml:space="preserve">Riesgo teórico sobre la magnetorrecepción de las abejas, cuyo mecanismo sensorial podría verse afectado por campos electromagnéticos de radiofrecuencia cercanos al nido.</w:t>
      </w:r>
    </w:p>
    <w:p>
      <w:pPr>
        <w:numPr>
          <w:ilvl w:val="0"/>
          <w:numId w:val="1009"/>
        </w:numPr>
      </w:pPr>
      <w:r>
        <w:rPr>
          <w:b/>
          <w:bCs/>
        </w:rPr>
        <w:t xml:space="preserve">Calor generado por el hardware.</w:t>
      </w:r>
      <w:r>
        <w:t xml:space="preserve"> </w:t>
      </w:r>
      <w:r>
        <w:t xml:space="preserve">Puede alterar localmente el balance térmico de</w:t>
      </w:r>
      <w:r>
        <w:t xml:space="preserve"> </w:t>
      </w:r>
      <w:r>
        <w:rPr>
          <w:i/>
          <w:iCs/>
        </w:rPr>
        <w:t xml:space="preserve">M. beecheii</w:t>
      </w:r>
      <w:r>
        <w:t xml:space="preserve">, especie termoconformadora cuyo rango de temperatura intranidal documentado es de 25.4-34.0°C, con media de 30.2°C (Moo-Valle et al., 2000).</w:t>
      </w:r>
    </w:p>
    <w:p>
      <w:pPr>
        <w:numPr>
          <w:ilvl w:val="0"/>
          <w:numId w:val="1009"/>
        </w:numPr>
      </w:pPr>
      <w:r>
        <w:rPr>
          <w:b/>
          <w:bCs/>
        </w:rPr>
        <w:t xml:space="preserve">Vibraciones mecánicas del propio hardware.</w:t>
      </w:r>
      <w:r>
        <w:t xml:space="preserve"> </w:t>
      </w:r>
      <w:r>
        <w:t xml:space="preserve">Ventiladores, relés o vibración de componentes pueden contaminar las lecturas del MPU6500, introduciendo ruido no biológico en la señal de vibración estructural.</w:t>
      </w:r>
    </w:p>
    <w:p>
      <w:pPr>
        <w:numPr>
          <w:ilvl w:val="0"/>
          <w:numId w:val="1009"/>
        </w:numPr>
      </w:pPr>
      <w:r>
        <w:rPr>
          <w:b/>
          <w:bCs/>
        </w:rPr>
        <w:t xml:space="preserve">Luz IR del sensor de conteo.</w:t>
      </w:r>
      <w:r>
        <w:t xml:space="preserve"> </w:t>
      </w:r>
      <w:r>
        <w:t xml:space="preserve">El LED IR de 940 nm del sensor de piquera podría tener un efecto no caracterizado sobre los ritmos circadianos de la colonia si su exposición es continua.</w:t>
      </w:r>
    </w:p>
    <w:p>
      <w:pPr>
        <w:pStyle w:val="FirstParagraph"/>
      </w:pPr>
      <w:r>
        <w:t xml:space="preserve">Protocolo de instalación mínimamente invasiva:</w:t>
      </w:r>
    </w:p>
    <w:p>
      <w:pPr>
        <w:pStyle w:val="Compact"/>
        <w:numPr>
          <w:ilvl w:val="0"/>
          <w:numId w:val="1010"/>
        </w:numPr>
      </w:pPr>
      <w:r>
        <w:t xml:space="preserve">Período de aclimatación de 2–4 semanas antes de iniciar el etiquetado del dataset, permitiendo que la colonia se habitúe a la presencia del hardware.</w:t>
      </w:r>
    </w:p>
    <w:p>
      <w:pPr>
        <w:pStyle w:val="Compact"/>
        <w:numPr>
          <w:ilvl w:val="0"/>
          <w:numId w:val="1010"/>
        </w:numPr>
      </w:pPr>
      <w:r>
        <w:t xml:space="preserve">El ESP32 opera en modo de transmisión periódica (5 minutos activo / 55 dormido), no WiFi continuo, para minimizar el tiempo de exposición a campos electromagnéticos.</w:t>
      </w:r>
    </w:p>
    <w:p>
      <w:pPr>
        <w:pStyle w:val="Compact"/>
        <w:numPr>
          <w:ilvl w:val="0"/>
          <w:numId w:val="1010"/>
        </w:numPr>
      </w:pPr>
      <w:r>
        <w:t xml:space="preserve">La electrónica de procesamiento, alimentación y comunicación se monta externamente a la colmena; solo las sondas de los sensores (SHT31, INMP441, MPU6500) y el sensor IR penetran o hacen contacto con la cavidad o sus paredes.</w:t>
      </w:r>
    </w:p>
    <w:bookmarkEnd w:id="63"/>
    <w:bookmarkStart w:id="67" w:name="Xe1d7589c4a3c2dd5e82bf64c36499413b91f19d"/>
    <w:p>
      <w:pPr>
        <w:pStyle w:val="Heading2"/>
      </w:pPr>
      <w:r>
        <w:t xml:space="preserve">2.7 Pipeline de procesamiento y evaluación (IA)</w:t>
      </w:r>
    </w:p>
    <w:p>
      <w:pPr>
        <w:pStyle w:val="FirstParagraph"/>
      </w:pPr>
      <w:r>
        <w:t xml:space="preserve">El subsistema de IA toma el dataset crudo y lo transforma, etapa por etapa, en un diagnóstico de la condición de la colmena. Entran cuatro modalidades alineadas por timestamp: audio aéreo (INMP441), vibración estructural (MPU6500), variables ambientales interna/externa (SHT31 + DHT22) y conteo de tráfico en piquera (IR doble haz). La limpieza aplica el protocolo de preprocesamiento descrito en la sección 2.4. La extracción de características produce, del audio, los MFCC, ZCR, centroide y rolloff espectral; del MPU6500, la energía de vibración por bandas, el pico y la varianza de aceleración; del sensor IR, entradas, salidas y tasa neta por intervalo; concatenados con la humedad absoluta interna/externa y su contraste. El clasificador bioacústico —XGBoost / Gradient Boosting— integra estas fuentes para producir el diagnóstico de la condición de la colmena (objetivo AUC-ROC ≥ 0.85, F1 ≥ 0.80) —sana, anomalía bioacústica o anomalía de vibración/comportamiento defensivo—, con registro de evidencia cuando la confianza supera 0.7 (Figura 2.4).</w:t>
      </w:r>
    </w:p>
    <w:p>
      <w:pPr>
        <w:pStyle w:val="BodyText"/>
        <w:keepNext/>
      </w:pPr>
      <w:r>
        <w:drawing>
          <wp:inline>
            <wp:extent cx="4881599" cy="6478289"/>
            <wp:effectExtent b="0" l="0" r="0" t="0"/>
            <wp:docPr descr="Figura 2.4" title="" id="65" name="Picture"/>
            <a:graphic>
              <a:graphicData uri="http://schemas.openxmlformats.org/drawingml/2006/picture">
                <pic:pic>
                  <pic:nvPicPr>
                    <pic:cNvPr descr="figura_2_4_pipeline_ia.png" id="66" name="Picture"/>
                    <pic:cNvPicPr>
                      <a:picLocks noChangeArrowheads="1" noChangeAspect="1"/>
                    </pic:cNvPicPr>
                  </pic:nvPicPr>
                  <pic:blipFill>
                    <a:blip r:embed="rId64"/>
                    <a:stretch>
                      <a:fillRect/>
                    </a:stretch>
                  </pic:blipFill>
                  <pic:spPr bwMode="auto">
                    <a:xfrm>
                      <a:off x="0" y="0"/>
                      <a:ext cx="4881599" cy="6478289"/>
                    </a:xfrm>
                    <a:prstGeom prst="rect">
                      <a:avLst/>
                    </a:prstGeom>
                    <a:noFill/>
                    <a:ln w="9525">
                      <a:noFill/>
                      <a:headEnd/>
                      <a:tailEnd/>
                    </a:ln>
                  </pic:spPr>
                </pic:pic>
              </a:graphicData>
            </a:graphic>
          </wp:inline>
        </w:drawing>
      </w:r>
    </w:p>
    <w:p>
      <w:pPr>
        <w:pStyle w:val="Leyenda"/>
      </w:pPr>
      <w:r>
        <w:rPr>
          <w:b/>
          <w:bCs/>
        </w:rPr>
        <w:t xml:space="preserve">Figura 2.4</w:t>
      </w:r>
      <w:r>
        <w:t xml:space="preserve"> </w:t>
      </w:r>
      <w:r>
        <w:t xml:space="preserve">Pipeline de procesamiento y evaluación de IA.</w:t>
      </w:r>
    </w:p>
    <w:bookmarkEnd w:id="67"/>
    <w:bookmarkStart w:id="71" w:name="X2d260c78533a8571b265140b5f26d2a3644f9a7"/>
    <w:p>
      <w:pPr>
        <w:pStyle w:val="Heading2"/>
      </w:pPr>
      <w:r>
        <w:t xml:space="preserve">2.8 Justificación técnica de las decisiones de diseño de IA</w:t>
      </w:r>
    </w:p>
    <w:bookmarkStart w:id="68" w:name="número-de-coeficientes-mfcc-n-13"/>
    <w:p>
      <w:pPr>
        <w:pStyle w:val="Heading3"/>
      </w:pPr>
      <w:r>
        <w:t xml:space="preserve">2.8.1 Número de coeficientes MFCC (n = 13)</w:t>
      </w:r>
    </w:p>
    <w:p>
      <w:pPr>
        <w:pStyle w:val="FirstParagraph"/>
      </w:pPr>
      <w:r>
        <w:t xml:space="preserve">La selección de n = 13 coeficientes MFCC sigue el estándar de la literatura de bioacústica de colmenas (Uthoff et al., 2023) y fue validada en el artículo de referencia: CV F1 = 0.9336 ± 0.0085 con XGBoost (Chin-Canché et al., 2026a). Con n = 13, cada coeficiente se representa con media y desviación estándar, generando 26 valores acústicos por segmento. Valores mayores incrementan la dimensionalidad sin aportar información discriminativa adicional y elevan el riesgo de sobreajuste con datasets pequeños.</w:t>
      </w:r>
    </w:p>
    <w:bookmarkEnd w:id="68"/>
    <w:bookmarkStart w:id="69" w:name="validación-cruzada-de-3-pliegues"/>
    <w:p>
      <w:pPr>
        <w:pStyle w:val="Heading3"/>
      </w:pPr>
      <w:r>
        <w:t xml:space="preserve">2.8.2 Validación cruzada de 3 pliegues</w:t>
      </w:r>
    </w:p>
    <w:p>
      <w:pPr>
        <w:pStyle w:val="FirstParagraph"/>
      </w:pPr>
      <w:r>
        <w:t xml:space="preserve">Con datasets estimados de 2,000–5,000 registros, la diferencia en el balance sesgo-varianza entre 3-fold y 5-fold CV es mínima. El artículo de referencia lo demostró: desviaciones estándar de F1 de 0.0085 con 3-fold CV y 7,100 registros. La ganancia de la fase bayesiana sobre la búsqueda aleatoria fue de 0.0005 F1, confirmando que 20 iteraciones de búsqueda aleatoria identifican adecuadamente las regiones óptimas del espacio de hiperparámetros.</w:t>
      </w:r>
    </w:p>
    <w:bookmarkEnd w:id="69"/>
    <w:bookmarkStart w:id="70" w:name="xgboost-y-gradient-boosting"/>
    <w:p>
      <w:pPr>
        <w:pStyle w:val="Heading3"/>
      </w:pPr>
      <w:r>
        <w:t xml:space="preserve">2.8.3 XGBoost y Gradient Boosting</w:t>
      </w:r>
    </w:p>
    <w:p>
      <w:pPr>
        <w:pStyle w:val="FirstParagraph"/>
      </w:pPr>
      <w:r>
        <w:t xml:space="preserve">Su superioridad sobre redes neuronales profundas para datos tabulares con datasets pequeños se explica por tres razones: la regularización L1+L2 reduce el sobreajuste; el boosting secuencial reduce sesgo y varianza simultáneamente; y no requieren normalización estricta. Superaron a Regresión Logística y KNN por 5–14 pp de F1 en el artículo de referencia (Chin-Canché et al., 2026a).</w:t>
      </w:r>
    </w:p>
    <w:bookmarkEnd w:id="70"/>
    <w:bookmarkEnd w:id="71"/>
    <w:bookmarkStart w:id="76" w:name="protocolo-de-construcción-del-dataset"/>
    <w:p>
      <w:pPr>
        <w:pStyle w:val="Heading2"/>
      </w:pPr>
      <w:r>
        <w:t xml:space="preserve">2.9 Protocolo de construcción del dataset</w:t>
      </w:r>
    </w:p>
    <w:bookmarkStart w:id="72" w:name="X8427fab64899dcacabf9ba216135488776c74f1"/>
    <w:p>
      <w:pPr>
        <w:pStyle w:val="Heading3"/>
      </w:pPr>
      <w:r>
        <w:t xml:space="preserve">2.9.1 Recolección de datos bioacústicos, de vibración y ambientales</w:t>
      </w:r>
    </w:p>
    <w:p>
      <w:pPr>
        <w:pStyle w:val="FirstParagraph"/>
      </w:pPr>
      <w:r>
        <w:t xml:space="preserve">Ventanas de 1 s a 16 kHz (INMP441), 10 por ciclo de 5 min, y datos de vibración estructural simultáneos (MPU6500 a 1.5 kHz), con variables ambientales interna (SHT31) y externa (DHT22) registradas por separado. Tres clases de estado de salud (sana, sin reina, estrés). Etiquetado por observación directa del meliponicultor. Meta: ≥ 1,000 registros de</w:t>
      </w:r>
      <w:r>
        <w:t xml:space="preserve"> </w:t>
      </w:r>
      <w:r>
        <w:rPr>
          <w:i/>
          <w:iCs/>
        </w:rPr>
        <w:t xml:space="preserve">M. beecheii</w:t>
      </w:r>
      <w:r>
        <w:t xml:space="preserve"> </w:t>
      </w:r>
      <w:r>
        <w:t xml:space="preserve">en el cuarto semestre.</w:t>
      </w:r>
    </w:p>
    <w:bookmarkEnd w:id="72"/>
    <w:bookmarkStart w:id="73" w:name="X299de45799bf0dc6b9f50ed9ca8acaef5272412"/>
    <w:p>
      <w:pPr>
        <w:pStyle w:val="Heading3"/>
      </w:pPr>
      <w:r>
        <w:t xml:space="preserve">2.9.2 Recolección de datos de conteo IR en piquera</w:t>
      </w:r>
    </w:p>
    <w:p>
      <w:pPr>
        <w:pStyle w:val="FirstParagraph"/>
      </w:pPr>
      <w:r>
        <w:t xml:space="preserve">Registro continuo de cruces de haz (entradas y salidas) del sensor IR doble haz, agregado en intervalos de 5 minutos alineados con el resto de las modalidades. Etiquetado indirecto por correlación con observación directa de actividad de forrajeo. Meta de precisión de conteo por definir durante la calibración del Semestre 3 (sección 2.10).</w:t>
      </w:r>
    </w:p>
    <w:bookmarkEnd w:id="73"/>
    <w:bookmarkStart w:id="74" w:name="manejo-del-desbalance-de-clases"/>
    <w:p>
      <w:pPr>
        <w:pStyle w:val="Heading3"/>
      </w:pPr>
      <w:r>
        <w:t xml:space="preserve">2.9.3 Manejo del desbalance de clases</w:t>
      </w:r>
    </w:p>
    <w:p>
      <w:pPr>
        <w:pStyle w:val="FirstParagraph"/>
      </w:pPr>
      <w:r>
        <w:t xml:space="preserve">AUC-ROC como métrica principal, funciones de pérdida ponderadas, data augmentation extensivo y SMOTE si el desbalance supera 1:10.</w:t>
      </w:r>
    </w:p>
    <w:bookmarkEnd w:id="74"/>
    <w:bookmarkStart w:id="75" w:name="partición-y-almacenamiento-del-dataset"/>
    <w:p>
      <w:pPr>
        <w:pStyle w:val="Heading3"/>
      </w:pPr>
      <w:r>
        <w:t xml:space="preserve">2.9.4 Partición y almacenamiento del dataset</w:t>
      </w:r>
    </w:p>
    <w:p>
      <w:pPr>
        <w:pStyle w:val="FirstParagraph"/>
      </w:pPr>
      <w:r>
        <w:t xml:space="preserve">División 70/15/15 con estratificación por clase. Formato Parquet (audio y vibración) y series de tiempo estructuradas (ambientales y conteo IR). Publicación en Zenodo CC BY 4.0 al concluir.</w:t>
      </w:r>
    </w:p>
    <w:bookmarkEnd w:id="75"/>
    <w:bookmarkEnd w:id="76"/>
    <w:bookmarkStart w:id="77" w:name="métricas-de-evaluación"/>
    <w:p>
      <w:pPr>
        <w:pStyle w:val="Heading2"/>
      </w:pPr>
      <w:r>
        <w:t xml:space="preserve">2.10 Métricas de evaluación</w:t>
      </w:r>
    </w:p>
    <w:tbl>
      <w:tblPr>
        <w:tblStyle w:val="Table"/>
        <w:tblW w:type="pct" w:w="5000"/>
        <w:tblLayout w:type="fixed"/>
        <w:tblLook w:firstRow="1" w:lastRow="0" w:firstColumn="0" w:lastColumn="0" w:noHBand="0" w:noVBand="0" w:val="0020"/>
      </w:tblPr>
      <w:tblGrid>
        <w:gridCol w:w="1635"/>
        <w:gridCol w:w="2248"/>
        <w:gridCol w:w="3065"/>
        <w:gridCol w:w="970"/>
      </w:tblGrid>
      <w:tr>
        <w:trPr>
          <w:tblHeader w:val="on"/>
        </w:trPr>
        <w:tc>
          <w:tcPr/>
          <w:p>
            <w:pPr>
              <w:pStyle w:val="TextoTabla"/>
            </w:pPr>
            <w:r>
              <w:rPr>
                <w:b/>
                <w:bCs/>
              </w:rPr>
              <w:t xml:space="preserve">Módulo</w:t>
            </w:r>
          </w:p>
        </w:tc>
        <w:tc>
          <w:tcPr/>
          <w:p>
            <w:pPr>
              <w:pStyle w:val="TextoTabla"/>
            </w:pPr>
            <w:r>
              <w:rPr>
                <w:b/>
                <w:bCs/>
              </w:rPr>
              <w:t xml:space="preserve">Métrica</w:t>
            </w:r>
          </w:p>
        </w:tc>
        <w:tc>
          <w:tcPr/>
          <w:p>
            <w:pPr>
              <w:pStyle w:val="TextoTabla"/>
            </w:pPr>
            <w:r>
              <w:rPr>
                <w:b/>
                <w:bCs/>
              </w:rPr>
              <w:t xml:space="preserve">Umbral objetivo</w:t>
            </w:r>
          </w:p>
        </w:tc>
        <w:tc>
          <w:tcPr/>
          <w:p>
            <w:pPr>
              <w:pStyle w:val="TextoTabla"/>
            </w:pPr>
            <w:r>
              <w:rPr>
                <w:b/>
                <w:bCs/>
              </w:rPr>
              <w:t xml:space="preserve">Ref.</w:t>
            </w:r>
            <w:r>
              <w:rPr>
                <w:b/>
                <w:bCs/>
              </w:rPr>
              <w:t xml:space="preserve"> </w:t>
            </w:r>
            <w:r>
              <w:rPr>
                <w:b/>
                <w:bCs/>
                <w:i/>
                <w:iCs/>
              </w:rPr>
              <w:t xml:space="preserve">Apis mellifera</w:t>
            </w:r>
          </w:p>
        </w:tc>
      </w:tr>
      <w:tr>
        <w:tc>
          <w:tcPr/>
          <w:p>
            <w:pPr>
              <w:pStyle w:val="TextoTabla"/>
            </w:pPr>
            <w:r>
              <w:t xml:space="preserve">Arquitectura sensorial — HR &lt;80%</w:t>
            </w:r>
          </w:p>
        </w:tc>
        <w:tc>
          <w:tcPr/>
          <w:p>
            <w:pPr>
              <w:pStyle w:val="TextoTabla"/>
            </w:pPr>
            <w:r>
              <w:t xml:space="preserve">Contraste SHT31 (interno) vs DHT22 (externo)</w:t>
            </w:r>
          </w:p>
        </w:tc>
        <w:tc>
          <w:tcPr/>
          <w:p>
            <w:pPr>
              <w:pStyle w:val="TextoTabla"/>
            </w:pPr>
            <w:r>
              <w:t xml:space="preserve">Diferencia consistente con patrón de termoconformidad (mayor estabilidad interna de día que de noche)</w:t>
            </w:r>
          </w:p>
        </w:tc>
        <w:tc>
          <w:tcPr/>
          <w:p>
            <w:pPr>
              <w:pStyle w:val="TextoTabla"/>
            </w:pPr>
            <w:r>
              <w:t xml:space="preserve">N/A (nuevo)</w:t>
            </w:r>
          </w:p>
        </w:tc>
      </w:tr>
      <w:tr>
        <w:tc>
          <w:tcPr/>
          <w:p>
            <w:pPr>
              <w:pStyle w:val="TextoTabla"/>
            </w:pPr>
            <w:r>
              <w:t xml:space="preserve">Arquitectura sensorial — HR &gt;85%</w:t>
            </w:r>
          </w:p>
        </w:tc>
        <w:tc>
          <w:tcPr/>
          <w:p>
            <w:pPr>
              <w:pStyle w:val="TextoTabla"/>
            </w:pPr>
            <w:r>
              <w:t xml:space="preserve">Precisión SHT31 vs DHT22</w:t>
            </w:r>
          </w:p>
        </w:tc>
        <w:tc>
          <w:tcPr/>
          <w:p>
            <w:pPr>
              <w:pStyle w:val="TextoTabla"/>
            </w:pPr>
            <w:r>
              <w:t xml:space="preserve">DHT22 &lt;±8% · SHT31 &lt;±3%</w:t>
            </w:r>
          </w:p>
        </w:tc>
        <w:tc>
          <w:tcPr/>
          <w:p>
            <w:pPr>
              <w:pStyle w:val="TextoTabla"/>
            </w:pPr>
            <w:r>
              <w:t xml:space="preserve">N/A (nuevo)</w:t>
            </w:r>
          </w:p>
        </w:tc>
      </w:tr>
      <w:tr>
        <w:tc>
          <w:tcPr/>
          <w:p>
            <w:pPr>
              <w:pStyle w:val="TextoTabla"/>
            </w:pPr>
            <w:r>
              <w:t xml:space="preserve">Bioacústico — estado de salud</w:t>
            </w:r>
          </w:p>
        </w:tc>
        <w:tc>
          <w:tcPr/>
          <w:p>
            <w:pPr>
              <w:pStyle w:val="TextoTabla"/>
            </w:pPr>
            <w:r>
              <w:t xml:space="preserve">F1 ponderado</w:t>
            </w:r>
          </w:p>
        </w:tc>
        <w:tc>
          <w:tcPr/>
          <w:p>
            <w:pPr>
              <w:pStyle w:val="TextoTabla"/>
            </w:pPr>
            <w:r>
              <w:t xml:space="preserve">≥ 0.80</w:t>
            </w:r>
          </w:p>
        </w:tc>
        <w:tc>
          <w:tcPr/>
          <w:p>
            <w:pPr>
              <w:pStyle w:val="TextoTabla"/>
            </w:pPr>
            <w:r>
              <w:t xml:space="preserve">0.933 (XGBoost)</w:t>
            </w:r>
          </w:p>
        </w:tc>
      </w:tr>
      <w:tr>
        <w:tc>
          <w:tcPr/>
          <w:p>
            <w:pPr>
              <w:pStyle w:val="TextoTabla"/>
            </w:pPr>
            <w:r>
              <w:t xml:space="preserve">Bioacústico — ausencia de reina</w:t>
            </w:r>
          </w:p>
        </w:tc>
        <w:tc>
          <w:tcPr/>
          <w:p>
            <w:pPr>
              <w:pStyle w:val="TextoTabla"/>
            </w:pPr>
            <w:r>
              <w:t xml:space="preserve">AUC-ROC</w:t>
            </w:r>
          </w:p>
        </w:tc>
        <w:tc>
          <w:tcPr/>
          <w:p>
            <w:pPr>
              <w:pStyle w:val="TextoTabla"/>
            </w:pPr>
            <w:r>
              <w:t xml:space="preserve">≥ 0.85</w:t>
            </w:r>
          </w:p>
        </w:tc>
        <w:tc>
          <w:tcPr/>
          <w:p>
            <w:pPr>
              <w:pStyle w:val="TextoTabla"/>
            </w:pPr>
            <w:r>
              <w:t xml:space="preserve">0.9945 (XGBoost)</w:t>
            </w:r>
          </w:p>
        </w:tc>
      </w:tr>
      <w:tr>
        <w:tc>
          <w:tcPr/>
          <w:p>
            <w:pPr>
              <w:pStyle w:val="TextoTabla"/>
            </w:pPr>
            <w:r>
              <w:t xml:space="preserve">Conteo IR — tráfico en piquera</w:t>
            </w:r>
          </w:p>
        </w:tc>
        <w:tc>
          <w:tcPr/>
          <w:p>
            <w:pPr>
              <w:pStyle w:val="TextoTabla"/>
            </w:pPr>
            <w:r>
              <w:t xml:space="preserve">Precisión de conteo</w:t>
            </w:r>
          </w:p>
        </w:tc>
        <w:tc>
          <w:tcPr/>
          <w:p>
            <w:pPr>
              <w:pStyle w:val="TextoTabla"/>
            </w:pPr>
            <w:r>
              <w:t xml:space="preserve">Por definir en Semestre 3</w:t>
            </w:r>
          </w:p>
        </w:tc>
        <w:tc>
          <w:tcPr/>
          <w:p>
            <w:pPr>
              <w:pStyle w:val="TextoTabla"/>
            </w:pPr>
            <w:r>
              <w:t xml:space="preserve">N/A (nuevo)</w:t>
            </w:r>
          </w:p>
        </w:tc>
      </w:tr>
      <w:tr>
        <w:tc>
          <w:tcPr/>
          <w:p>
            <w:pPr>
              <w:pStyle w:val="TextoTabla"/>
            </w:pPr>
            <w:r>
              <w:t xml:space="preserve">Sistema — autonomía IoT</w:t>
            </w:r>
          </w:p>
        </w:tc>
        <w:tc>
          <w:tcPr/>
          <w:p>
            <w:pPr>
              <w:pStyle w:val="TextoTabla"/>
            </w:pPr>
            <w:r>
              <w:t xml:space="preserve">Horas de operación</w:t>
            </w:r>
          </w:p>
        </w:tc>
        <w:tc>
          <w:tcPr/>
          <w:p>
            <w:pPr>
              <w:pStyle w:val="TextoTabla"/>
            </w:pPr>
            <w:r>
              <w:t xml:space="preserve">≥ 72 h</w:t>
            </w:r>
          </w:p>
        </w:tc>
        <w:tc>
          <w:tcPr/>
          <w:p>
            <w:pPr>
              <w:pStyle w:val="TextoTabla"/>
            </w:pPr>
            <w:r>
              <w:t xml:space="preserve">N/A</w:t>
            </w:r>
          </w:p>
        </w:tc>
      </w:tr>
      <w:tr>
        <w:tc>
          <w:tcPr/>
          <w:p>
            <w:pPr>
              <w:pStyle w:val="TextoTabla"/>
            </w:pPr>
            <w:r>
              <w:t xml:space="preserve">Sistema — latencia de alerta</w:t>
            </w:r>
          </w:p>
        </w:tc>
        <w:tc>
          <w:tcPr/>
          <w:p>
            <w:pPr>
              <w:pStyle w:val="TextoTabla"/>
            </w:pPr>
            <w:r>
              <w:t xml:space="preserve">Detección a alerta</w:t>
            </w:r>
          </w:p>
        </w:tc>
        <w:tc>
          <w:tcPr/>
          <w:p>
            <w:pPr>
              <w:pStyle w:val="TextoTabla"/>
            </w:pPr>
            <w:r>
              <w:t xml:space="preserve">&lt; 60 s</w:t>
            </w:r>
          </w:p>
        </w:tc>
        <w:tc>
          <w:tcPr/>
          <w:p>
            <w:pPr>
              <w:pStyle w:val="TextoTabla"/>
            </w:pPr>
            <w:r>
              <w:t xml:space="preserve">N/A</w:t>
            </w:r>
          </w:p>
        </w:tc>
      </w:tr>
    </w:tbl>
    <w:p>
      <w:pPr>
        <w:pStyle w:val="Leyenda"/>
      </w:pPr>
      <w:r>
        <w:rPr>
          <w:b/>
          <w:bCs/>
        </w:rPr>
        <w:t xml:space="preserve">Tabla 2.5</w:t>
      </w:r>
      <w:r>
        <w:t xml:space="preserve"> </w:t>
      </w:r>
      <w:r>
        <w:t xml:space="preserve">Métricas de evaluación con umbrales objetivo y benchmarks de referencia.</w:t>
      </w:r>
    </w:p>
    <w:bookmarkEnd w:id="77"/>
    <w:bookmarkEnd w:id="78"/>
    <w:bookmarkStart w:id="87" w:name="capítulo-iii.-resultados-y-discusiones"/>
    <w:p>
      <w:pPr>
        <w:pStyle w:val="Heading1"/>
      </w:pPr>
      <w:r>
        <w:t xml:space="preserve">CAPÍTULO III. RESULTADOS Y DISCUSIONES</w:t>
      </w:r>
    </w:p>
    <w:bookmarkStart w:id="84" w:name="X8d894bd100df684cb4173daef955f40ab6ab61b"/>
    <w:p>
      <w:pPr>
        <w:pStyle w:val="Heading2"/>
      </w:pPr>
      <w:r>
        <w:t xml:space="preserve">3.1 Estado actual del proyecto: evidencia técnica disponible</w:t>
      </w:r>
    </w:p>
    <w:p>
      <w:pPr>
        <w:pStyle w:val="FirstParagraph"/>
      </w:pPr>
      <w:r>
        <w:t xml:space="preserve">El proyecto cuenta con una base técnica concreta y verificable que distingue esta investigación de una propuesta especulativa. Los avances se organizan en cuatro niveles de evidencia. Por tratarse de un protocolo en fase de Seminario II, los resultados se presentan como evidencia preliminar y resultados esperados.</w:t>
      </w:r>
    </w:p>
    <w:bookmarkStart w:id="79" w:name="X3381c1e253f7696d71c7f8d1947ffa886233d3a"/>
    <w:p>
      <w:pPr>
        <w:pStyle w:val="Heading3"/>
      </w:pPr>
      <w:r>
        <w:t xml:space="preserve">3.1.1 Baseline validado: pipeline completo para</w:t>
      </w:r>
      <w:r>
        <w:t xml:space="preserve"> </w:t>
      </w:r>
      <w:r>
        <w:rPr>
          <w:i/>
          <w:iCs/>
        </w:rPr>
        <w:t xml:space="preserve">Apis mellifera</w:t>
      </w:r>
    </w:p>
    <w:p>
      <w:pPr>
        <w:pStyle w:val="FirstParagraph"/>
      </w:pPr>
      <w:r>
        <w:t xml:space="preserve">El artículo de referencia (Chin-Canché et al., 2026a) es evidencia de código ejecutado, modelos entrenados y métricas reportadas en el manuscrito extendido del trabajo de referencia. Los pipelines bee_audio_analysis y varroa_vision están disponibles públicamente. Los hiperparámetros óptimos documentados son: SVM kernel RBF con C = 34.22, γ = scale (CV F1 = 0.94 en clasificación de salud); Gradient Boosting con learning rate = 0.03, max_depth = 8, 436 estimadores, subsample = 0.836 (CV F1 = 0.9823 en detección de ausencia de reina). La ganancia de la fase bayesiana sobre la búsqueda aleatoria fue de apenas 0.0005 F1.</w:t>
      </w:r>
    </w:p>
    <w:bookmarkEnd w:id="79"/>
    <w:bookmarkStart w:id="80" w:name="repositorios-públicos-con-código-y-datos"/>
    <w:p>
      <w:pPr>
        <w:pStyle w:val="Heading3"/>
      </w:pPr>
      <w:r>
        <w:t xml:space="preserve">3.1.2 Repositorios públicos con código y datos</w:t>
      </w:r>
    </w:p>
    <w:p>
      <w:pPr>
        <w:numPr>
          <w:ilvl w:val="0"/>
          <w:numId w:val="1011"/>
        </w:numPr>
      </w:pPr>
      <w:r>
        <w:rPr>
          <w:b/>
          <w:bCs/>
        </w:rPr>
        <w:t xml:space="preserve">GitHub:</w:t>
      </w:r>
      <w:r>
        <w:t xml:space="preserve"> </w:t>
      </w:r>
      <w:r>
        <w:t xml:space="preserve">Chin-Canché (2026)</w:t>
      </w:r>
    </w:p>
    <w:p>
      <w:pPr>
        <w:numPr>
          <w:ilvl w:val="0"/>
          <w:numId w:val="1011"/>
        </w:numPr>
      </w:pPr>
      <w:r>
        <w:rPr>
          <w:b/>
          <w:bCs/>
        </w:rPr>
        <w:t xml:space="preserve">Zenodo:</w:t>
      </w:r>
      <w:r>
        <w:t xml:space="preserve"> </w:t>
      </w:r>
      <w:r>
        <w:t xml:space="preserve">Chin-Canché (2026), https://doi.org/10.5281/zenodo.19685877</w:t>
      </w:r>
    </w:p>
    <w:p>
      <w:pPr>
        <w:numPr>
          <w:ilvl w:val="0"/>
          <w:numId w:val="1011"/>
        </w:numPr>
      </w:pPr>
      <w:r>
        <w:rPr>
          <w:b/>
          <w:bCs/>
        </w:rPr>
        <w:t xml:space="preserve">VarroaDataset:</w:t>
      </w:r>
      <w:r>
        <w:t xml:space="preserve"> </w:t>
      </w:r>
      <w:r>
        <w:t xml:space="preserve">https://doi.org/10.5281/zenodo.4085044 (CC BY 4.0)</w:t>
      </w:r>
    </w:p>
    <w:p>
      <w:pPr>
        <w:numPr>
          <w:ilvl w:val="0"/>
          <w:numId w:val="1011"/>
        </w:numPr>
      </w:pPr>
      <w:r>
        <w:rPr>
          <w:b/>
          <w:bCs/>
        </w:rPr>
        <w:t xml:space="preserve">BeeAudio Dataset:</w:t>
      </w:r>
      <w:r>
        <w:t xml:space="preserve"> </w:t>
      </w:r>
      <w:r>
        <w:t xml:space="preserve">https://kaggle.com/datasets/annajyang/beehive-sounds</w:t>
      </w:r>
    </w:p>
    <w:bookmarkEnd w:id="80"/>
    <w:bookmarkStart w:id="81" w:name="X636d1ff87b41df9efddda5dc669e6081b866f12"/>
    <w:p>
      <w:pPr>
        <w:pStyle w:val="Heading3"/>
      </w:pPr>
      <w:r>
        <w:t xml:space="preserve">3.1.3 Análisis de transferibilidad del pipeline</w:t>
      </w:r>
    </w:p>
    <w:tbl>
      <w:tblPr>
        <w:tblStyle w:val="Table"/>
        <w:tblW w:type="pct" w:w="5000"/>
        <w:tblLayout w:type="fixed"/>
        <w:tblLook w:firstRow="1" w:lastRow="0" w:firstColumn="0" w:lastColumn="0" w:noHBand="0" w:noVBand="0" w:val="0020"/>
      </w:tblPr>
      <w:tblGrid>
        <w:gridCol w:w="2427"/>
        <w:gridCol w:w="2235"/>
        <w:gridCol w:w="3257"/>
      </w:tblGrid>
      <w:tr>
        <w:trPr>
          <w:tblHeader w:val="on"/>
        </w:trPr>
        <w:tc>
          <w:tcPr/>
          <w:p>
            <w:pPr>
              <w:pStyle w:val="TextoTabla"/>
            </w:pPr>
            <w:r>
              <w:rPr>
                <w:b/>
                <w:bCs/>
              </w:rPr>
              <w:t xml:space="preserve">Componente</w:t>
            </w:r>
          </w:p>
        </w:tc>
        <w:tc>
          <w:tcPr/>
          <w:p>
            <w:pPr>
              <w:pStyle w:val="TextoTabla"/>
            </w:pPr>
            <w:r>
              <w:rPr>
                <w:b/>
                <w:bCs/>
              </w:rPr>
              <w:t xml:space="preserve">Estado</w:t>
            </w:r>
          </w:p>
        </w:tc>
        <w:tc>
          <w:tcPr/>
          <w:p>
            <w:pPr>
              <w:pStyle w:val="TextoTabla"/>
            </w:pPr>
            <w:r>
              <w:rPr>
                <w:b/>
                <w:bCs/>
              </w:rPr>
              <w:t xml:space="preserve">Acción requerida</w:t>
            </w:r>
          </w:p>
        </w:tc>
      </w:tr>
      <w:tr>
        <w:tc>
          <w:tcPr/>
          <w:p>
            <w:pPr>
              <w:pStyle w:val="TextoTabla"/>
            </w:pPr>
            <w:r>
              <w:t xml:space="preserve">Extracción MFCC (librosa)</w:t>
            </w:r>
          </w:p>
        </w:tc>
        <w:tc>
          <w:tcPr/>
          <w:p>
            <w:pPr>
              <w:pStyle w:val="TextoTabla"/>
            </w:pPr>
            <w:r>
              <w:t xml:space="preserve">Reutilizable</w:t>
            </w:r>
          </w:p>
        </w:tc>
        <w:tc>
          <w:tcPr/>
          <w:p>
            <w:pPr>
              <w:pStyle w:val="TextoTabla"/>
            </w:pPr>
            <w:r>
              <w:t xml:space="preserve">Agregar pre-énfasis α=0.97 y umbral RMS</w:t>
            </w:r>
          </w:p>
        </w:tc>
      </w:tr>
      <w:tr>
        <w:tc>
          <w:tcPr/>
          <w:p>
            <w:pPr>
              <w:pStyle w:val="TextoTabla"/>
            </w:pPr>
            <w:r>
              <w:t xml:space="preserve">XGBoost / Gradient Boosting</w:t>
            </w:r>
          </w:p>
        </w:tc>
        <w:tc>
          <w:tcPr/>
          <w:p>
            <w:pPr>
              <w:pStyle w:val="TextoTabla"/>
            </w:pPr>
            <w:r>
              <w:t xml:space="preserve">Reutilizable</w:t>
            </w:r>
          </w:p>
        </w:tc>
        <w:tc>
          <w:tcPr/>
          <w:p>
            <w:pPr>
              <w:pStyle w:val="TextoTabla"/>
            </w:pPr>
            <w:r>
              <w:t xml:space="preserve">Reentrenar con datos de</w:t>
            </w:r>
            <w:r>
              <w:t xml:space="preserve"> </w:t>
            </w:r>
            <w:r>
              <w:rPr>
                <w:i/>
                <w:iCs/>
              </w:rPr>
              <w:t xml:space="preserve">M. beecheii</w:t>
            </w:r>
          </w:p>
        </w:tc>
      </w:tr>
      <w:tr>
        <w:tc>
          <w:tcPr/>
          <w:p>
            <w:pPr>
              <w:pStyle w:val="TextoTabla"/>
            </w:pPr>
            <w:r>
              <w:t xml:space="preserve">Optimizador de hiperparámetros</w:t>
            </w:r>
          </w:p>
        </w:tc>
        <w:tc>
          <w:tcPr/>
          <w:p>
            <w:pPr>
              <w:pStyle w:val="TextoTabla"/>
            </w:pPr>
            <w:r>
              <w:t xml:space="preserve">Reutilizable</w:t>
            </w:r>
          </w:p>
        </w:tc>
        <w:tc>
          <w:tcPr/>
          <w:p>
            <w:pPr>
              <w:pStyle w:val="TextoTabla"/>
            </w:pPr>
            <w:r>
              <w:t xml:space="preserve">Ninguna — mismo protocolo</w:t>
            </w:r>
          </w:p>
        </w:tc>
      </w:tr>
      <w:tr>
        <w:tc>
          <w:tcPr/>
          <w:p>
            <w:pPr>
              <w:pStyle w:val="TextoTabla"/>
            </w:pPr>
            <w:r>
              <w:t xml:space="preserve">Dataset de audio (BeeAudio)</w:t>
            </w:r>
          </w:p>
        </w:tc>
        <w:tc>
          <w:tcPr/>
          <w:p>
            <w:pPr>
              <w:pStyle w:val="TextoTabla"/>
            </w:pPr>
            <w:r>
              <w:t xml:space="preserve">No transferible</w:t>
            </w:r>
          </w:p>
        </w:tc>
        <w:tc>
          <w:tcPr/>
          <w:p>
            <w:pPr>
              <w:pStyle w:val="TextoTabla"/>
            </w:pPr>
            <w:r>
              <w:t xml:space="preserve">Recolección propia de</w:t>
            </w:r>
            <w:r>
              <w:t xml:space="preserve"> </w:t>
            </w:r>
            <w:r>
              <w:rPr>
                <w:i/>
                <w:iCs/>
              </w:rPr>
              <w:t xml:space="preserve">M. beecheii</w:t>
            </w:r>
          </w:p>
        </w:tc>
      </w:tr>
      <w:tr>
        <w:tc>
          <w:tcPr/>
          <w:p>
            <w:pPr>
              <w:pStyle w:val="TextoTabla"/>
            </w:pPr>
            <w:r>
              <w:t xml:space="preserve">Arquitectura sensorial (DHT22+INMP441)</w:t>
            </w:r>
          </w:p>
        </w:tc>
        <w:tc>
          <w:tcPr/>
          <w:p>
            <w:pPr>
              <w:pStyle w:val="TextoTabla"/>
            </w:pPr>
            <w:r>
              <w:t xml:space="preserve">Parcial</w:t>
            </w:r>
          </w:p>
        </w:tc>
        <w:tc>
          <w:tcPr/>
          <w:p>
            <w:pPr>
              <w:pStyle w:val="TextoTabla"/>
            </w:pPr>
            <w:r>
              <w:t xml:space="preserve">Agregar SHT31 interno primario, MPU6500 y sensor IR</w:t>
            </w:r>
          </w:p>
        </w:tc>
      </w:tr>
      <w:tr>
        <w:tc>
          <w:tcPr/>
          <w:p>
            <w:pPr>
              <w:pStyle w:val="TextoTabla"/>
            </w:pPr>
            <w:r>
              <w:t xml:space="preserve">Preprocesamiento de señal</w:t>
            </w:r>
          </w:p>
        </w:tc>
        <w:tc>
          <w:tcPr/>
          <w:p>
            <w:pPr>
              <w:pStyle w:val="TextoTabla"/>
            </w:pPr>
            <w:r>
              <w:t xml:space="preserve">No existe</w:t>
            </w:r>
          </w:p>
        </w:tc>
        <w:tc>
          <w:tcPr/>
          <w:p>
            <w:pPr>
              <w:pStyle w:val="TextoTabla"/>
            </w:pPr>
            <w:r>
              <w:t xml:space="preserve">Diseño e implementación completos</w:t>
            </w:r>
          </w:p>
        </w:tc>
      </w:tr>
      <w:tr>
        <w:tc>
          <w:tcPr/>
          <w:p>
            <w:pPr>
              <w:pStyle w:val="TextoTabla"/>
            </w:pPr>
            <w:r>
              <w:t xml:space="preserve">Sensor IR doble haz</w:t>
            </w:r>
          </w:p>
        </w:tc>
        <w:tc>
          <w:tcPr/>
          <w:p>
            <w:pPr>
              <w:pStyle w:val="TextoTabla"/>
            </w:pPr>
            <w:r>
              <w:t xml:space="preserve">No existe en artículo de referencia</w:t>
            </w:r>
          </w:p>
        </w:tc>
        <w:tc>
          <w:tcPr/>
          <w:p>
            <w:pPr>
              <w:pStyle w:val="TextoTabla"/>
            </w:pPr>
            <w:r>
              <w:t xml:space="preserve">Diseño original de esta tesis</w:t>
            </w:r>
          </w:p>
        </w:tc>
      </w:tr>
    </w:tbl>
    <w:p>
      <w:pPr>
        <w:pStyle w:val="Leyenda"/>
      </w:pPr>
      <w:r>
        <w:rPr>
          <w:b/>
          <w:bCs/>
        </w:rPr>
        <w:t xml:space="preserve">Tabla 3.1</w:t>
      </w:r>
      <w:r>
        <w:t xml:space="preserve"> </w:t>
      </w:r>
      <w:r>
        <w:t xml:space="preserve">Análisis de transferibilidad del pipeline KAABLAB al dominio de</w:t>
      </w:r>
      <w:r>
        <w:t xml:space="preserve"> </w:t>
      </w:r>
      <w:r>
        <w:rPr>
          <w:i/>
          <w:iCs/>
        </w:rPr>
        <w:t xml:space="preserve">Melipona beecheii</w:t>
      </w:r>
      <w:r>
        <w:t xml:space="preserve">.</w:t>
      </w:r>
    </w:p>
    <w:p>
      <w:pPr>
        <w:pStyle w:val="BodyText"/>
      </w:pPr>
      <w:r>
        <w:t xml:space="preserve">El artículo de referencia incluye además un módulo de visión computacional (CNN ligera y YOLOv8 sobre imágenes OV2640, entrenado con el VarroaDataset) orientado a la detección de</w:t>
      </w:r>
      <w:r>
        <w:t xml:space="preserve"> </w:t>
      </w:r>
      <w:r>
        <w:rPr>
          <w:i/>
          <w:iCs/>
        </w:rPr>
        <w:t xml:space="preserve">Varroa destructor</w:t>
      </w:r>
      <w:r>
        <w:t xml:space="preserve">. Dado que</w:t>
      </w:r>
      <w:r>
        <w:t xml:space="preserve"> </w:t>
      </w:r>
      <w:r>
        <w:rPr>
          <w:i/>
          <w:iCs/>
        </w:rPr>
        <w:t xml:space="preserve">Varroa</w:t>
      </w:r>
      <w:r>
        <w:t xml:space="preserve"> </w:t>
      </w:r>
      <w:r>
        <w:t xml:space="preserve">no parasita a</w:t>
      </w:r>
      <w:r>
        <w:t xml:space="preserve"> </w:t>
      </w:r>
      <w:r>
        <w:rPr>
          <w:i/>
          <w:iCs/>
        </w:rPr>
        <w:t xml:space="preserve">M. beecheii</w:t>
      </w:r>
      <w:r>
        <w:t xml:space="preserve">, este componente no es transferible al dominio de esta tesis y se excluye del pipeline activo; se menciona aquí únicamente como contexto histórico del artículo de referencia y no forma parte de la Tabla 3.1.</w:t>
      </w:r>
    </w:p>
    <w:bookmarkEnd w:id="81"/>
    <w:bookmarkStart w:id="82" w:name="X21800267d5c6d079533563bbcbf8725edad0c55"/>
    <w:p>
      <w:pPr>
        <w:pStyle w:val="Heading3"/>
      </w:pPr>
      <w:r>
        <w:t xml:space="preserve">3.1.4 Problemas técnicos identificados y estrategias de mitigación</w:t>
      </w:r>
    </w:p>
    <w:p>
      <w:pPr>
        <w:numPr>
          <w:ilvl w:val="0"/>
          <w:numId w:val="1012"/>
        </w:numPr>
      </w:pPr>
      <w:r>
        <w:rPr>
          <w:b/>
          <w:bCs/>
        </w:rPr>
        <w:t xml:space="preserve">Desajuste acústico de dominio.</w:t>
      </w:r>
      <w:r>
        <w:t xml:space="preserve"> </w:t>
      </w:r>
      <w:r>
        <w:rPr>
          <w:i/>
          <w:iCs/>
        </w:rPr>
        <w:t xml:space="preserve">M. beecheii</w:t>
      </w:r>
      <w:r>
        <w:t xml:space="preserve"> </w:t>
      </w:r>
      <w:r>
        <w:t xml:space="preserve">no produce tooting/quacking y los patrones circadianos de California no aplican. Los umbrales deben aprenderse desde cero con datos propios.</w:t>
      </w:r>
    </w:p>
    <w:p>
      <w:pPr>
        <w:numPr>
          <w:ilvl w:val="0"/>
          <w:numId w:val="1012"/>
        </w:numPr>
      </w:pPr>
      <w:r>
        <w:rPr>
          <w:b/>
          <w:bCs/>
        </w:rPr>
        <w:t xml:space="preserve">Degradación del DHT22 externo en condiciones tropicales.</w:t>
      </w:r>
      <w:r>
        <w:t xml:space="preserve"> </w:t>
      </w:r>
      <w:r>
        <w:t xml:space="preserve">La HR exterior frecuentemente supera el 85% en temporada de lluvias, y el DHT22 no se recupera del evento de saturación. Mitigación: el SHT31 interno, de mayor precisión y con autocalibración por encima de 80–85% HR, actúa como sensor primario; el DHT22 se conserva como referencia externa secundaria y como insumo del contraste interno-externo (sección 2.2.1).</w:t>
      </w:r>
    </w:p>
    <w:p>
      <w:pPr>
        <w:numPr>
          <w:ilvl w:val="0"/>
          <w:numId w:val="1012"/>
        </w:numPr>
      </w:pPr>
      <w:r>
        <w:rPr>
          <w:b/>
          <w:bCs/>
        </w:rPr>
        <w:t xml:space="preserve">Deriva por contaminación de propóleos en el SHT31 interno.</w:t>
      </w:r>
      <w:r>
        <w:t xml:space="preserve"> </w:t>
      </w:r>
      <w:r>
        <w:t xml:space="preserve">El material higroscópico del SHT31, al estar dentro de la cavidad, puede absorber resinas y partículas propias del microclima del nido, alterando su constante dieléctrica. Mitigación: dado que el DHT22 externo no está expuesto a propóleos, una divergencia creciente entre ambos que se aparte del patrón día/noche esperado de termoconformidad (sección 2.2.1) sirve como indicador automático de posible contaminación del sensor interno.</w:t>
      </w:r>
    </w:p>
    <w:p>
      <w:pPr>
        <w:numPr>
          <w:ilvl w:val="0"/>
          <w:numId w:val="1012"/>
        </w:numPr>
      </w:pPr>
      <w:r>
        <w:rPr>
          <w:b/>
          <w:bCs/>
        </w:rPr>
        <w:t xml:space="preserve">Vibración estructural no capturada.</w:t>
      </w:r>
      <w:r>
        <w:t xml:space="preserve"> </w:t>
      </w:r>
      <w:r>
        <w:t xml:space="preserve">Los congéneres del género Melipona usan vibración del sustrato en 180–600 Hz (vuelo ~180 Hz, forrajeo ~300–600 Hz); el INMP441 capta su componente aéreo, pero no la vibración de sustrato en sí. Mitigación: MPU6500 en contacto directo con la colmena.</w:t>
      </w:r>
    </w:p>
    <w:p>
      <w:pPr>
        <w:numPr>
          <w:ilvl w:val="0"/>
          <w:numId w:val="1012"/>
        </w:numPr>
      </w:pPr>
      <w:r>
        <w:rPr>
          <w:b/>
          <w:bCs/>
        </w:rPr>
        <w:t xml:space="preserve">Tamaño reducido del dataset inicial.</w:t>
      </w:r>
      <w:r>
        <w:t xml:space="preserve"> </w:t>
      </w:r>
      <w:r>
        <w:t xml:space="preserve">Mitigación: curvas de aprendizaje, data augmentation extensivo y reentrenamiento incremental.</w:t>
      </w:r>
    </w:p>
    <w:p>
      <w:pPr>
        <w:numPr>
          <w:ilvl w:val="0"/>
          <w:numId w:val="1012"/>
        </w:numPr>
      </w:pPr>
      <w:r>
        <w:rPr>
          <w:b/>
          <w:bCs/>
        </w:rPr>
        <w:t xml:space="preserve">Autonomía energética.</w:t>
      </w:r>
      <w:r>
        <w:t xml:space="preserve"> </w:t>
      </w:r>
      <w:r>
        <w:t xml:space="preserve">Ciclos de 5 min activo / 55 min en deep sleep; autonomía por validar en banco. Mitigación: muestreo periódico, detección de movimiento y panel solar 10–20 W.</w:t>
      </w:r>
    </w:p>
    <w:bookmarkEnd w:id="82"/>
    <w:bookmarkStart w:id="83" w:name="X5b7b5964aa14bf8334b1959a5049be05a73df99"/>
    <w:p>
      <w:pPr>
        <w:pStyle w:val="Heading3"/>
      </w:pPr>
      <w:r>
        <w:t xml:space="preserve">3.1.5 Validación de arquitectura con datos sintéticos</w:t>
      </w:r>
    </w:p>
    <w:p>
      <w:pPr>
        <w:pStyle w:val="FirstParagraph"/>
      </w:pPr>
      <w:r>
        <w:t xml:space="preserve">Como cuarto nivel de evidencia, se implementó un prototipo ejecutable de extremo a extremo del pipeline de KaabLab, alimentado con un conjunto de datos sintéticos generados programáticamente. Su propósito es validar que la arquitectura de procesamiento es correcta y funcional antes de iniciar la recolección en campo, evitando comprometer recursos en una infraestructura cuyo flujo no haya sido verificado.</w:t>
      </w:r>
    </w:p>
    <w:p>
      <w:pPr>
        <w:pStyle w:val="BodyText"/>
      </w:pPr>
      <w:r>
        <w:t xml:space="preserve">El generador sintético produce, para cada unidad de observación, cuatro señales con fundamento físico y diferencias deliberadas entre clases (colmena sana, ausencia de reina y estrés): (i) una señal acústica con armónicos en el rango de los meliponinos, en la que la clase de ausencia de reina desplaza el centroide espectral y modifica la energía por bandas; (ii) series ambientales que reproducen el ciclo diurno del trópico húmedo de Campeche, incluyendo la saturación del DHT22 por encima del 85% de HR; (iii) una señal de vibración estructural con componentes en 220 Hz (tono de vuelo de diseño) y 380 Hz (forrajeo, dentro de 300–600 Hz), con un armónico adicional a 460 Hz que se intensifica en la clase de estrés; y (iv) conteos de tráfico IR en la piquera.</w:t>
      </w:r>
    </w:p>
    <w:p>
      <w:pPr>
        <w:pStyle w:val="BodyText"/>
      </w:pPr>
      <w:r>
        <w:t xml:space="preserve">Sobre estos datos se ejecuta el protocolo completo: las cinco etapas de preprocesamiento descritas en el Capítulo II, la extracción del vector de características enriquecido (13 MFCC, ZCR, centroide y rolloff espectral, descriptores de vibración del MPU6500 y variables ambientales interna/externa con su contraste) y el entrenamiento del clasificador Gradient Boosting, implementado con XGBoost. El prototipo se organiza de forma modular —generación de datos, preprocesamiento, extracción de características, modelo y evaluación— de modo que, al disponer de datos reales, únicamente se sustituye el módulo de generación por el de carga, conservando intacto el resto del flujo.</w:t>
      </w:r>
    </w:p>
    <w:p>
      <w:pPr>
        <w:pStyle w:val="BodyText"/>
      </w:pPr>
      <w:r>
        <w:t xml:space="preserve">La evaluación contrasta las métricas obtenidas con los umbrales definidos en la hipótesis (AUC-ROC ≥ 0.85 y F1 ≥ 0.80) e incorpora dos experimentos de ablación: con y sin la fusión de variables ambientales, para cuantificar el aporte de la arquitectura sensorial heterogénea (H1b); y con y sin los descriptores de vibración, para cuantificar el aporte del MPU6500 (H1a).</w:t>
      </w:r>
    </w:p>
    <w:p>
      <w:pPr>
        <w:pStyle w:val="BodyText"/>
      </w:pPr>
      <w:r>
        <w:t xml:space="preserve">La ejecución del pipeline sobre los datos sintéticos generados arrojó AUC-ROC = 1.000 y F1 macro = 1.000 para el modelo completo, por encima de los umbrales numéricos de la hipótesis, sin que ello la confirme (AUC-ROC ≥ 0.85, F1 ≥ 0.80). Los experimentos de ablación mostraron que remover la fusión de variables ambientales reduce el F1 a 0.807 (aporte de +19.3 pp, H1b), y remover los descriptores de vibración lo reduce a 0.949 (aporte de +5.1 pp, H1a). Ambos aportes son positivos y no triviales, lo que indica que, bajo el diseño de separabilidad de clases sintéticas empleado, cada modalidad sensorial contribuye información no redundante a la clasificación.</w:t>
      </w:r>
    </w:p>
    <w:p>
      <w:pPr>
        <w:pStyle w:val="BodyText"/>
      </w:pPr>
      <w:r>
        <w:t xml:space="preserve">Es necesario delimitar el alcance de esta validación con precisión metodológica. Dado que las etiquetas de clase se asignan por construcción durante la generación, las métricas obtenidas verifican que la arquitectura del pipeline es correcta y capaz de aprender cuando existe señal discriminativa, pero no constituyen un resultado biológico ni evidencia sobre el comportamiento real de</w:t>
      </w:r>
      <w:r>
        <w:t xml:space="preserve"> </w:t>
      </w:r>
      <w:r>
        <w:rPr>
          <w:i/>
          <w:iCs/>
        </w:rPr>
        <w:t xml:space="preserve">M. beecheii</w:t>
      </w:r>
      <w:r>
        <w:t xml:space="preserve">; por la misma razón, la magnitud exacta de las cifras anteriores depende del diseño de los generadores sintéticos y no de datos de campo. La generación de datos empíricos de campo de la especie permanece como la contribución central de la tesis (sección 3.2).</w:t>
      </w:r>
    </w:p>
    <w:bookmarkEnd w:id="83"/>
    <w:bookmarkEnd w:id="84"/>
    <w:bookmarkStart w:id="85" w:name="contribuciones-originales-esperadas"/>
    <w:p>
      <w:pPr>
        <w:pStyle w:val="Heading2"/>
      </w:pPr>
      <w:r>
        <w:t xml:space="preserve">3.2 Contribuciones originales esperadas</w:t>
      </w:r>
    </w:p>
    <w:p>
      <w:pPr>
        <w:numPr>
          <w:ilvl w:val="0"/>
          <w:numId w:val="1013"/>
        </w:numPr>
      </w:pPr>
      <w:r>
        <w:rPr>
          <w:b/>
          <w:bCs/>
        </w:rPr>
        <w:t xml:space="preserve">Primer dataset multimodal de</w:t>
      </w:r>
      <w:r>
        <w:rPr>
          <w:b/>
          <w:bCs/>
        </w:rPr>
        <w:t xml:space="preserve"> </w:t>
      </w:r>
      <w:r>
        <w:rPr>
          <w:b/>
          <w:bCs/>
          <w:i/>
          <w:iCs/>
        </w:rPr>
        <w:t xml:space="preserve">M. beecheii</w:t>
      </w:r>
      <w:r>
        <w:rPr>
          <w:b/>
          <w:bCs/>
        </w:rPr>
        <w:t xml:space="preserve">.</w:t>
      </w:r>
      <w:r>
        <w:rPr>
          <w:b/>
          <w:bCs/>
        </w:rPr>
        <w:t xml:space="preserve"> </w:t>
      </w:r>
      <w:r>
        <w:t xml:space="preserve">Audio aéreo + vibración estructural + conteo IR de tráfico en piquera + variables ambientales interna/externa, etiquetados por estado de salud. Publicación en Zenodo CC BY 4.0.</w:t>
      </w:r>
    </w:p>
    <w:p>
      <w:pPr>
        <w:numPr>
          <w:ilvl w:val="0"/>
          <w:numId w:val="1013"/>
        </w:numPr>
      </w:pPr>
      <w:r>
        <w:rPr>
          <w:b/>
          <w:bCs/>
        </w:rPr>
        <w:t xml:space="preserve">Arquitectura sensorial heterogénea para monitoreo de colmenas.</w:t>
      </w:r>
      <w:r>
        <w:t xml:space="preserve"> </w:t>
      </w:r>
      <w:r>
        <w:t xml:space="preserve">Primera implementación documentada de redundancia sensorial con fabricantes distintos, roles interno/externo diferenciados y rangos complementarios aplicada al monitoreo de colmenas de abejas nativas.</w:t>
      </w:r>
    </w:p>
    <w:p>
      <w:pPr>
        <w:numPr>
          <w:ilvl w:val="0"/>
          <w:numId w:val="1013"/>
        </w:numPr>
      </w:pPr>
      <w:r>
        <w:rPr>
          <w:b/>
          <w:bCs/>
        </w:rPr>
        <w:t xml:space="preserve">Protocolo formal de preprocesamiento de señal.</w:t>
      </w:r>
      <w:r>
        <w:t xml:space="preserve"> </w:t>
      </w:r>
      <w:r>
        <w:t xml:space="preserve">Filtro de media móvil, pre-énfasis, umbral RMS, normalización Z-score y fusión sensorial ponderada por confianza y contraste interno-externo.</w:t>
      </w:r>
    </w:p>
    <w:p>
      <w:pPr>
        <w:numPr>
          <w:ilvl w:val="0"/>
          <w:numId w:val="1013"/>
        </w:numPr>
      </w:pPr>
      <w:r>
        <w:rPr>
          <w:b/>
          <w:bCs/>
        </w:rPr>
        <w:t xml:space="preserve">Caracterización de brechas bibliográficas.</w:t>
      </w:r>
      <w:r>
        <w:t xml:space="preserve"> </w:t>
      </w:r>
      <w:r>
        <w:t xml:space="preserve">Documentación explícita de los cinco gaps de literatura específica de</w:t>
      </w:r>
      <w:r>
        <w:t xml:space="preserve"> </w:t>
      </w:r>
      <w:r>
        <w:rPr>
          <w:i/>
          <w:iCs/>
        </w:rPr>
        <w:t xml:space="preserve">M. beecheii</w:t>
      </w:r>
      <w:r>
        <w:t xml:space="preserve"> </w:t>
      </w:r>
      <w:r>
        <w:t xml:space="preserve">en sonido aéreo, contraste térmico interno-externo, humedad relativa intranidal, conteo IR direccional y vibración estructural (sección 1.1.5).</w:t>
      </w:r>
    </w:p>
    <w:p>
      <w:pPr>
        <w:numPr>
          <w:ilvl w:val="0"/>
          <w:numId w:val="1013"/>
        </w:numPr>
      </w:pPr>
      <w:r>
        <w:rPr>
          <w:b/>
          <w:bCs/>
        </w:rPr>
        <w:t xml:space="preserve">Modelos especializados con benchmarks comparables.</w:t>
      </w:r>
      <w:r>
        <w:t xml:space="preserve"> </w:t>
      </w:r>
      <w:r>
        <w:t xml:space="preserve">Resultados de clasificación bioacústica en el dominio de</w:t>
      </w:r>
      <w:r>
        <w:t xml:space="preserve"> </w:t>
      </w:r>
      <w:r>
        <w:rPr>
          <w:i/>
          <w:iCs/>
        </w:rPr>
        <w:t xml:space="preserve">M. beecheii</w:t>
      </w:r>
      <w:r>
        <w:t xml:space="preserve">, comparables directamente con el artículo de referencia.</w:t>
      </w:r>
    </w:p>
    <w:p>
      <w:pPr>
        <w:numPr>
          <w:ilvl w:val="0"/>
          <w:numId w:val="1013"/>
        </w:numPr>
      </w:pPr>
      <w:r>
        <w:rPr>
          <w:b/>
          <w:bCs/>
        </w:rPr>
        <w:t xml:space="preserve">Sistema KaabLab validado en campo.</w:t>
      </w:r>
      <w:r>
        <w:t xml:space="preserve"> </w:t>
      </w:r>
      <w:r>
        <w:t xml:space="preserve">Prototipo IoT de bajo costo desplegado en meliponarios mayas con métricas documentadas.</w:t>
      </w:r>
    </w:p>
    <w:p>
      <w:pPr>
        <w:numPr>
          <w:ilvl w:val="0"/>
          <w:numId w:val="1013"/>
        </w:numPr>
      </w:pPr>
      <w:r>
        <w:rPr>
          <w:b/>
          <w:bCs/>
        </w:rPr>
        <w:t xml:space="preserve">Metodología transferible.</w:t>
      </w:r>
      <w:r>
        <w:t xml:space="preserve"> </w:t>
      </w:r>
      <w:r>
        <w:t xml:space="preserve">Pipeline reproducible extensible a otras especies del género Melipona.</w:t>
      </w:r>
    </w:p>
    <w:bookmarkEnd w:id="85"/>
    <w:bookmarkStart w:id="86" w:name="discusión"/>
    <w:p>
      <w:pPr>
        <w:pStyle w:val="Heading2"/>
      </w:pPr>
      <w:r>
        <w:t xml:space="preserve">3.3 Discusión</w:t>
      </w:r>
    </w:p>
    <w:p>
      <w:pPr>
        <w:pStyle w:val="FirstParagraph"/>
      </w:pPr>
      <w:r>
        <w:t xml:space="preserve">Los resultados esperados se apoyan en una base técnica verificable: un pipeline ya validado en</w:t>
      </w:r>
      <w:r>
        <w:t xml:space="preserve"> </w:t>
      </w:r>
      <w:r>
        <w:rPr>
          <w:i/>
          <w:iCs/>
        </w:rPr>
        <w:t xml:space="preserve">Apis mellifera</w:t>
      </w:r>
      <w:r>
        <w:t xml:space="preserve"> </w:t>
      </w:r>
      <w:r>
        <w:t xml:space="preserve">y un análisis de transferibilidad (Tabla 3.1) que, tras excluir el módulo de visión no transferible a</w:t>
      </w:r>
      <w:r>
        <w:t xml:space="preserve"> </w:t>
      </w:r>
      <w:r>
        <w:rPr>
          <w:i/>
          <w:iCs/>
        </w:rPr>
        <w:t xml:space="preserve">M. beecheii</w:t>
      </w:r>
      <w:r>
        <w:t xml:space="preserve">, estima reutilizable directamente cerca del 40% de los componentes restantes (extracción MFCC, XGBoost/Gradient Boosting y el optimizador de hiperparámetros), con otro componente parcialmente reutilizable (arquitectura sensorial) y dos completamente nuevos (preprocesamiento de señal y sensor IR). La discusión central es que la calidad del dato —garantizada por la arquitectura sensorial heterogénea y el protocolo de preprocesamiento— es el factor determinante del desempeño en el clima tropical de Campeche, por encima de la sofisticación del modelo. La validación de campo del Semestre 4 permitirá contrastar empíricamente las hipótesis H1e (superioridad de la arquitectura heterogénea) y H1b (aporte de la fusión sensorial), que son las contribuciones más novedosas del trabajo.</w:t>
      </w:r>
    </w:p>
    <w:bookmarkEnd w:id="86"/>
    <w:bookmarkEnd w:id="87"/>
    <w:bookmarkStart w:id="89" w:name="capítulo-iv.-recomendaciones"/>
    <w:p>
      <w:pPr>
        <w:pStyle w:val="Heading1"/>
      </w:pPr>
      <w:r>
        <w:t xml:space="preserve">CAPÍTULO IV. RECOMENDACIONES</w:t>
      </w:r>
    </w:p>
    <w:bookmarkStart w:id="88" w:name="recomendaciones"/>
    <w:p>
      <w:pPr>
        <w:pStyle w:val="Heading2"/>
      </w:pPr>
      <w:r>
        <w:t xml:space="preserve">4.1 Recomendaciones</w:t>
      </w:r>
    </w:p>
    <w:p>
      <w:pPr>
        <w:numPr>
          <w:ilvl w:val="0"/>
          <w:numId w:val="1014"/>
        </w:numPr>
      </w:pPr>
      <w:r>
        <w:t xml:space="preserve">Verificar en cada meliponario el alcance de la red WiFi local del nodo y la frecuencia de visitas para descargar los ciclos acumulados en la microSD.</w:t>
      </w:r>
    </w:p>
    <w:p>
      <w:pPr>
        <w:numPr>
          <w:ilvl w:val="0"/>
          <w:numId w:val="1014"/>
        </w:numPr>
      </w:pPr>
      <w:r>
        <w:t xml:space="preserve">Iniciar la fase de aclimatación e instrumentación con suficiente antelación al etiquetado, dado el período de adaptación de 2–4 semanas de la colonia (sección 2.6).</w:t>
      </w:r>
    </w:p>
    <w:p>
      <w:pPr>
        <w:numPr>
          <w:ilvl w:val="0"/>
          <w:numId w:val="1014"/>
        </w:numPr>
      </w:pPr>
      <w:r>
        <w:t xml:space="preserve">Documentar desde el inicio la divergencia entre el sensor interno y el sensor externo de temperatura/humedad que se aparte del patrón día/noche esperado de termoconformidad (sección 2.2.1) como indicador de posible contaminación por propóleos del sensor interno, para anticipar el mantenimiento de sensores.</w:t>
      </w:r>
    </w:p>
    <w:p>
      <w:pPr>
        <w:numPr>
          <w:ilvl w:val="0"/>
          <w:numId w:val="1014"/>
        </w:numPr>
      </w:pPr>
      <w:r>
        <w:t xml:space="preserve">Extender, una vez validado el sistema, la metodología a otras especies del género Melipona, reutilizando el pipeline, el protocolo de preprocesamiento y el diseño del sensor IR de conteo.</w:t>
      </w:r>
    </w:p>
    <w:bookmarkEnd w:id="88"/>
    <w:bookmarkEnd w:id="89"/>
    <w:bookmarkStart w:id="91" w:name="capítulo-v.-conclusiones"/>
    <w:p>
      <w:pPr>
        <w:pStyle w:val="Heading1"/>
      </w:pPr>
      <w:r>
        <w:t xml:space="preserve">CAPÍTULO V. CONCLUSIONES</w:t>
      </w:r>
    </w:p>
    <w:bookmarkStart w:id="90" w:name="conclusiones"/>
    <w:p>
      <w:pPr>
        <w:pStyle w:val="Heading2"/>
      </w:pPr>
      <w:r>
        <w:t xml:space="preserve">5.1 Conclusiones</w:t>
      </w:r>
    </w:p>
    <w:p>
      <w:pPr>
        <w:pStyle w:val="FirstParagraph"/>
      </w:pPr>
      <w:r>
        <w:t xml:space="preserve">El presente protocolo documenta la factibilidad científica y metodológica del proyecto KaabLab en su fase de adaptación a</w:t>
      </w:r>
      <w:r>
        <w:t xml:space="preserve"> </w:t>
      </w:r>
      <w:r>
        <w:rPr>
          <w:i/>
          <w:iCs/>
        </w:rPr>
        <w:t xml:space="preserve">Melipona beecheii</w:t>
      </w:r>
      <w:r>
        <w:t xml:space="preserve">. Las conclusiones son las siguientes:</w:t>
      </w:r>
    </w:p>
    <w:p>
      <w:pPr>
        <w:numPr>
          <w:ilvl w:val="0"/>
          <w:numId w:val="1015"/>
        </w:numPr>
      </w:pPr>
      <w:r>
        <w:t xml:space="preserve">El artículo de referencia (Chin-Canché et al., 2026a) valida los pipelines con métricas sólidas y código disponible, estableciendo un punto de partida técnico concreto y no especulativo.</w:t>
      </w:r>
    </w:p>
    <w:p>
      <w:pPr>
        <w:numPr>
          <w:ilvl w:val="0"/>
          <w:numId w:val="1015"/>
        </w:numPr>
      </w:pPr>
      <w:r>
        <w:t xml:space="preserve">El análisis de transferibilidad (Tabla 3.1) confirma que, tras excluir el módulo de visión no transferible a</w:t>
      </w:r>
      <w:r>
        <w:t xml:space="preserve"> </w:t>
      </w:r>
      <w:r>
        <w:rPr>
          <w:i/>
          <w:iCs/>
        </w:rPr>
        <w:t xml:space="preserve">M. beecheii</w:t>
      </w:r>
      <w:r>
        <w:t xml:space="preserve"> </w:t>
      </w:r>
      <w:r>
        <w:t xml:space="preserve">(</w:t>
      </w:r>
      <w:r>
        <w:rPr>
          <w:i/>
          <w:iCs/>
        </w:rPr>
        <w:t xml:space="preserve">Varroa destructor</w:t>
      </w:r>
      <w:r>
        <w:t xml:space="preserve"> </w:t>
      </w:r>
      <w:r>
        <w:t xml:space="preserve">no la parasita), cerca del 40% de los componentes restantes son directamente reutilizables (extracción MFCC, XGBoost/Gradient Boosting, optimizador de hiperparámetros). Las contribuciones originales esperadas de esta tesis son:</w:t>
      </w:r>
    </w:p>
    <w:p>
      <w:pPr>
        <w:pStyle w:val="Compact"/>
        <w:numPr>
          <w:ilvl w:val="1"/>
          <w:numId w:val="1016"/>
        </w:numPr>
      </w:pPr>
      <w:r>
        <w:t xml:space="preserve">El primer dataset multimodal documentado de</w:t>
      </w:r>
      <w:r>
        <w:t xml:space="preserve"> </w:t>
      </w:r>
      <w:r>
        <w:rPr>
          <w:i/>
          <w:iCs/>
        </w:rPr>
        <w:t xml:space="preserve">M. beecheii</w:t>
      </w:r>
      <w:r>
        <w:t xml:space="preserve"> </w:t>
      </w:r>
      <w:r>
        <w:t xml:space="preserve">(audio aéreo + vibración estructural + conteo IR de tráfico en piquera + variables ambientales interna/externa).</w:t>
      </w:r>
    </w:p>
    <w:p>
      <w:pPr>
        <w:pStyle w:val="Compact"/>
        <w:numPr>
          <w:ilvl w:val="1"/>
          <w:numId w:val="1016"/>
        </w:numPr>
      </w:pPr>
      <w:r>
        <w:t xml:space="preserve">La arquitectura sensorial heterogénea con rangos complementarios.</w:t>
      </w:r>
    </w:p>
    <w:p>
      <w:pPr>
        <w:pStyle w:val="Compact"/>
        <w:numPr>
          <w:ilvl w:val="1"/>
          <w:numId w:val="1016"/>
        </w:numPr>
      </w:pPr>
      <w:r>
        <w:t xml:space="preserve">El protocolo formal de preprocesamiento de señal en cinco etapas (filtro de media móvil, pre-énfasis, umbral RMS, normalización Z-score y fusión sensorial ponderada por confianza y contraste interno-externo).</w:t>
      </w:r>
    </w:p>
    <w:p>
      <w:pPr>
        <w:pStyle w:val="Compact"/>
        <w:numPr>
          <w:ilvl w:val="1"/>
          <w:numId w:val="1016"/>
        </w:numPr>
      </w:pPr>
      <w:r>
        <w:t xml:space="preserve">La caracterización explícita de las cinco brechas bibliográficas de la especie en sonido aéreo, contraste térmico interno-externo, humedad relativa intranidal, conteo IR direccional y vibración estructural (sección 1.1.5).</w:t>
      </w:r>
    </w:p>
    <w:p>
      <w:pPr>
        <w:pStyle w:val="Compact"/>
        <w:numPr>
          <w:ilvl w:val="1"/>
          <w:numId w:val="1016"/>
        </w:numPr>
      </w:pPr>
      <w:r>
        <w:t xml:space="preserve">El sistema KaabLab validado en campo en meliponarios mayas de Campeche.</w:t>
      </w:r>
    </w:p>
    <w:p>
      <w:pPr>
        <w:numPr>
          <w:ilvl w:val="0"/>
          <w:numId w:val="1015"/>
        </w:numPr>
      </w:pPr>
      <w:r>
        <w:t xml:space="preserve">La arquitectura sensorial heterogénea (sensores interno y externo de temperatura/humedad + sensor de sonido aéreo + sensor de vibración estructural + sensor IR doble haz) responde a una limitación real del artículo de referencia: ningún sensor mide directamente la magnitud física de interés; todos miden un fenómeno eléctrico secundario con limitaciones de rango, histéresis y deriva. En el clima tropical de Campeche, con HR frecuentemente &gt;85%, esta arquitectura se plantea como necesaria para garantizar la calidad del dataset (por validar en campo). El desdoblamiento interno/externo de la medición de humedad y temperatura, además, habilita el contraste diagnóstico propio de una especie termoconformadora como</w:t>
      </w:r>
      <w:r>
        <w:t xml:space="preserve"> </w:t>
      </w:r>
      <w:r>
        <w:rPr>
          <w:i/>
          <w:iCs/>
        </w:rPr>
        <w:t xml:space="preserve">M. beecheii</w:t>
      </w:r>
      <w:r>
        <w:t xml:space="preserve">.</w:t>
      </w:r>
    </w:p>
    <w:p>
      <w:pPr>
        <w:numPr>
          <w:ilvl w:val="0"/>
          <w:numId w:val="1015"/>
        </w:numPr>
      </w:pPr>
      <w:r>
        <w:t xml:space="preserve">El protocolo de preprocesamiento convierte una limitación del trabajo previo en una contribución metodológica concreta. Se espera que un modelo entrenado con datos de alta calidad supere a uno más sofisticado entrenado con datos ruidosos.</w:t>
      </w:r>
    </w:p>
    <w:p>
      <w:pPr>
        <w:numPr>
          <w:ilvl w:val="0"/>
          <w:numId w:val="1015"/>
        </w:numPr>
      </w:pPr>
      <w:r>
        <w:t xml:space="preserve">El cronograma de cuatro semestres es realista porque los pipelines bioacústico y de optimización ya están implementados. El trabajo principal es la recolección de datos y el reentrenamiento, con la adición de la validación de la arquitectura sensorial y del sensor IR de conteo en el primer semestre.</w:t>
      </w:r>
    </w:p>
    <w:bookmarkEnd w:id="90"/>
    <w:bookmarkEnd w:id="91"/>
    <w:bookmarkStart w:id="92" w:name="referencias"/>
    <w:p>
      <w:pPr>
        <w:pStyle w:val="Heading1"/>
      </w:pPr>
      <w:r>
        <w:t xml:space="preserve">Referencias</w:t>
      </w:r>
    </w:p>
    <w:p>
      <w:pPr>
        <w:pStyle w:val="Bibliography"/>
      </w:pPr>
      <w:r>
        <w:t xml:space="preserve">Cauich Kumul, R., Ruiz Ruiz, J. C., Ortíz Vázquez, E., &amp; Segura Campos, M. R. (2015). Potencial antioxidante de la miel de</w:t>
      </w:r>
      <w:r>
        <w:t xml:space="preserve"> </w:t>
      </w:r>
      <w:r>
        <w:rPr>
          <w:i/>
          <w:iCs/>
        </w:rPr>
        <w:t xml:space="preserve">Melipona beecheii</w:t>
      </w:r>
      <w:r>
        <w:t xml:space="preserve"> </w:t>
      </w:r>
      <w:r>
        <w:t xml:space="preserve">y su relación con la salud: una revisión.</w:t>
      </w:r>
      <w:r>
        <w:t xml:space="preserve"> </w:t>
      </w:r>
      <w:r>
        <w:rPr>
          <w:i/>
          <w:iCs/>
        </w:rPr>
        <w:t xml:space="preserve">Nutrición Hospitalaria, 32</w:t>
      </w:r>
      <w:r>
        <w:t xml:space="preserve">(4), 1432–1442. https://doi.org/10.3305/nh.2015.32.4.9312</w:t>
      </w:r>
    </w:p>
    <w:p>
      <w:pPr>
        <w:pStyle w:val="Bibliography"/>
      </w:pPr>
      <w:r>
        <w:t xml:space="preserve">Chin-Canché, G. A. (2026).</w:t>
      </w:r>
      <w:r>
        <w:t xml:space="preserve"> </w:t>
      </w:r>
      <w:r>
        <w:rPr>
          <w:i/>
          <w:iCs/>
        </w:rPr>
        <w:t xml:space="preserve">GuillermoChin/kaablab-bee-congress-2026-figures: KAABLAB Bee Congress 2025: Figure reproduction package</w:t>
      </w:r>
      <w:r>
        <w:t xml:space="preserve"> </w:t>
      </w:r>
      <w:r>
        <w:t xml:space="preserve">(Versión v1.0.0) [Software]. Zenodo. https://doi.org/10.5281/zenodo.19685877</w:t>
      </w:r>
    </w:p>
    <w:p>
      <w:pPr>
        <w:pStyle w:val="Bibliography"/>
      </w:pPr>
      <w:r>
        <w:t xml:space="preserve">Chin-Canché, G. A., Ruíz-Canul, K., Grajales-Rodríguez, A. A., Guerrero-Mota, R. A., Noh-Valdéz, J. A., &amp; Euan-Cupul, F. I. (2026a). KAABLAB: Sistema AIoT para el monitoreo y detección temprana de anomalías en colonias de abejas [Manuscrito inédito]. Instituto Tecnológico Superior de Calkiní.</w:t>
      </w:r>
    </w:p>
    <w:p>
      <w:pPr>
        <w:pStyle w:val="Bibliography"/>
      </w:pPr>
      <w:r>
        <w:t xml:space="preserve">Chin-Canché, G. A., Ruíz-Canul, K., Grajales-Rodríguez, A. A., Guerrero-Mota, R. A., Noh-Valdéz, J. A., &amp; Euan-Cupul, F. I. (2026b). Kaablab: Sistema AIOT para el monitoreo y detección temprana de anomalías en colonias de</w:t>
      </w:r>
      <w:r>
        <w:t xml:space="preserve"> </w:t>
      </w:r>
      <w:r>
        <w:rPr>
          <w:i/>
          <w:iCs/>
        </w:rPr>
        <w:t xml:space="preserve">Apis mellifera</w:t>
      </w:r>
      <w:r>
        <w:t xml:space="preserve">. En II Congreso sobre Abejas, Biodiversidad y Soberanía Alimentaria.</w:t>
      </w:r>
      <w:r>
        <w:t xml:space="preserve"> </w:t>
      </w:r>
      <w:r>
        <w:rPr>
          <w:i/>
          <w:iCs/>
        </w:rPr>
        <w:t xml:space="preserve">Ciencia y Tecnología ITESCAM-Calkiní, 5</w:t>
      </w:r>
      <w:r>
        <w:t xml:space="preserve">(S4), 20. ISSN 2992-7692.</w:t>
      </w:r>
    </w:p>
    <w:p>
      <w:pPr>
        <w:pStyle w:val="Bibliography"/>
      </w:pPr>
      <w:r>
        <w:t xml:space="preserve">Cruz-López, L., Malo, E. A., Rojas, J. C., &amp; Morgan, E. D. (2005). Chemical composition and stimulatory olfactory response of the mandibular gland secretion in</w:t>
      </w:r>
      <w:r>
        <w:t xml:space="preserve"> </w:t>
      </w:r>
      <w:r>
        <w:rPr>
          <w:i/>
          <w:iCs/>
        </w:rPr>
        <w:t xml:space="preserve">Melipona beecheii</w:t>
      </w:r>
      <w:r>
        <w:t xml:space="preserve">.</w:t>
      </w:r>
      <w:r>
        <w:t xml:space="preserve"> </w:t>
      </w:r>
      <w:r>
        <w:rPr>
          <w:i/>
          <w:iCs/>
        </w:rPr>
        <w:t xml:space="preserve">Journal of Chemical Ecology, 31</w:t>
      </w:r>
      <w:r>
        <w:t xml:space="preserve">(6), 1257-1268.</w:t>
      </w:r>
    </w:p>
    <w:p>
      <w:pPr>
        <w:pStyle w:val="Bibliography"/>
      </w:pPr>
      <w:r>
        <w:t xml:space="preserve">dos Santos, F. J., Bomfim, I. G. A., Cavalcante, M. C., Coelho, A. A. da P., &amp; Gomes, D. G. (2025). Intranidal vibrational sensing mechanisms in stingless bees: an exploratory study.</w:t>
      </w:r>
      <w:r>
        <w:t xml:space="preserve"> </w:t>
      </w:r>
      <w:r>
        <w:rPr>
          <w:i/>
          <w:iCs/>
        </w:rPr>
        <w:t xml:space="preserve">Engenharia Agrícola, 45</w:t>
      </w:r>
      <w:r>
        <w:t xml:space="preserve">(especial 2, ConBAP 2024), e20250069. https://doi.org/10.1590/1809-4430-Eng.Agric.v45nespe220250069/2025</w:t>
      </w:r>
    </w:p>
    <w:p>
      <w:pPr>
        <w:pStyle w:val="Bibliography"/>
      </w:pPr>
      <w:r>
        <w:t xml:space="preserve">Hrncir, M., Jarau, S., Zucchi, R., &amp; Barth, F. G. (2000). Recruitment behavior in stingless bees,</w:t>
      </w:r>
      <w:r>
        <w:t xml:space="preserve"> </w:t>
      </w:r>
      <w:r>
        <w:rPr>
          <w:i/>
          <w:iCs/>
        </w:rPr>
        <w:t xml:space="preserve">Melipona scutellaris</w:t>
      </w:r>
      <w:r>
        <w:t xml:space="preserve"> </w:t>
      </w:r>
      <w:r>
        <w:t xml:space="preserve">and</w:t>
      </w:r>
      <w:r>
        <w:t xml:space="preserve"> </w:t>
      </w:r>
      <w:r>
        <w:rPr>
          <w:i/>
          <w:iCs/>
        </w:rPr>
        <w:t xml:space="preserve">M. quadrifasciata</w:t>
      </w:r>
      <w:r>
        <w:t xml:space="preserve">. II. Possible mechanisms of communication.</w:t>
      </w:r>
      <w:r>
        <w:t xml:space="preserve"> </w:t>
      </w:r>
      <w:r>
        <w:rPr>
          <w:i/>
          <w:iCs/>
        </w:rPr>
        <w:t xml:space="preserve">Apidologie, 31</w:t>
      </w:r>
      <w:r>
        <w:t xml:space="preserve">(1), 93–113. https://doi.org/10.1051/apido:2000109</w:t>
      </w:r>
    </w:p>
    <w:p>
      <w:pPr>
        <w:pStyle w:val="Bibliography"/>
      </w:pPr>
      <w:r>
        <w:t xml:space="preserve">Hrncir, M., Barth, F. G., &amp; Tautz, J. (2006). Vibratory and airborne-sound signals in bee communication (Hymenoptera). In S. Drosopoulos &amp; M. F. Claridge (Eds.),</w:t>
      </w:r>
      <w:r>
        <w:t xml:space="preserve"> </w:t>
      </w:r>
      <w:r>
        <w:rPr>
          <w:i/>
          <w:iCs/>
        </w:rPr>
        <w:t xml:space="preserve">Insect sounds and communication: Physiology, behaviour, ecology and evolution</w:t>
      </w:r>
      <w:r>
        <w:t xml:space="preserve"> </w:t>
      </w:r>
      <w:r>
        <w:t xml:space="preserve">(pp. 421–436). CRC Press.</w:t>
      </w:r>
    </w:p>
    <w:p>
      <w:pPr>
        <w:pStyle w:val="Bibliography"/>
      </w:pPr>
      <w:r>
        <w:t xml:space="preserve">Hrncir, M., Gravel, A.-I., Schorkopf, D. L. P., Schmidt, V. M., Zucchi, R., &amp; Barth, F. G. (2008). Thoracic vibrations in stingless bees (</w:t>
      </w:r>
      <w:r>
        <w:rPr>
          <w:i/>
          <w:iCs/>
        </w:rPr>
        <w:t xml:space="preserve">Melipona seminigra</w:t>
      </w:r>
      <w:r>
        <w:t xml:space="preserve">): Resonances of the thorax influence vibrations associated with flight but not those associated with sound production.</w:t>
      </w:r>
      <w:r>
        <w:t xml:space="preserve"> </w:t>
      </w:r>
      <w:r>
        <w:rPr>
          <w:i/>
          <w:iCs/>
        </w:rPr>
        <w:t xml:space="preserve">Journal of Experimental Biology, 211</w:t>
      </w:r>
      <w:r>
        <w:t xml:space="preserve">(5), 678–685. https://doi.org/10.1242/jeb.013920</w:t>
      </w:r>
    </w:p>
    <w:p>
      <w:pPr>
        <w:pStyle w:val="Bibliography"/>
      </w:pPr>
      <w:r>
        <w:t xml:space="preserve">Justino, A. R., &amp; Hartfelder, K. (2024). A versatile recording device for the analysis of continuous daily external activity in colonies of highly eusocial bees.</w:t>
      </w:r>
      <w:r>
        <w:t xml:space="preserve"> </w:t>
      </w:r>
      <w:r>
        <w:rPr>
          <w:i/>
          <w:iCs/>
        </w:rPr>
        <w:t xml:space="preserve">Journal of Comparative Physiology A, 210</w:t>
      </w:r>
      <w:r>
        <w:t xml:space="preserve">(6), 885-900. https://doi.org/10.1007/s00359-024-01709-2</w:t>
      </w:r>
    </w:p>
    <w:p>
      <w:pPr>
        <w:pStyle w:val="Bibliography"/>
      </w:pPr>
      <w:r>
        <w:t xml:space="preserve">Macías-Macías, J. O., Quezada-Euán, J. J. G., Contreras-Escareño, F., Tapia-González, J. M., Moo-Valle, H., &amp; Ayala, R. (2011). Comparative temperature tolerance in stingless bee species from tropical highlands and lowlands of Mexico and implications for their conservation (Hymenoptera: Apidae: Meliponini).</w:t>
      </w:r>
      <w:r>
        <w:t xml:space="preserve"> </w:t>
      </w:r>
      <w:r>
        <w:rPr>
          <w:i/>
          <w:iCs/>
        </w:rPr>
        <w:t xml:space="preserve">Apidologie, 42</w:t>
      </w:r>
      <w:r>
        <w:t xml:space="preserve">, 679–689. https://doi.org/10.1007/s13592-011-0074-0</w:t>
      </w:r>
    </w:p>
    <w:p>
      <w:pPr>
        <w:pStyle w:val="Bibliography"/>
      </w:pPr>
      <w:r>
        <w:t xml:space="preserve">Medina-Medina, L. A., Hart, A. G., &amp; Ratnieks, F. L. W. (2014). Waste management in the stingless bee</w:t>
      </w:r>
      <w:r>
        <w:t xml:space="preserve"> </w:t>
      </w:r>
      <w:r>
        <w:rPr>
          <w:i/>
          <w:iCs/>
        </w:rPr>
        <w:t xml:space="preserve">Melipona beecheii</w:t>
      </w:r>
      <w:r>
        <w:t xml:space="preserve"> </w:t>
      </w:r>
      <w:r>
        <w:t xml:space="preserve">Bennett (Hymenoptera: Apidae).</w:t>
      </w:r>
      <w:r>
        <w:t xml:space="preserve"> </w:t>
      </w:r>
      <w:r>
        <w:rPr>
          <w:i/>
          <w:iCs/>
        </w:rPr>
        <w:t xml:space="preserve">Sociobiology, 61</w:t>
      </w:r>
      <w:r>
        <w:t xml:space="preserve">(4), 435-440. https://doi.org/10.13102/sociobiology.v61i4.435-440</w:t>
      </w:r>
    </w:p>
    <w:p>
      <w:pPr>
        <w:pStyle w:val="Bibliography"/>
      </w:pPr>
      <w:r>
        <w:t xml:space="preserve">Moo-Valle, H., Quezada-Euán, J. J. G., Navarro, J., &amp; Rodríguez-Carvajal, L. A. (2000). Patterns of intranidal temperature fluctuation for</w:t>
      </w:r>
      <w:r>
        <w:t xml:space="preserve"> </w:t>
      </w:r>
      <w:r>
        <w:rPr>
          <w:i/>
          <w:iCs/>
        </w:rPr>
        <w:t xml:space="preserve">Melipona beecheii</w:t>
      </w:r>
      <w:r>
        <w:t xml:space="preserve"> </w:t>
      </w:r>
      <w:r>
        <w:t xml:space="preserve">colonies in natural nesting cavities.</w:t>
      </w:r>
      <w:r>
        <w:t xml:space="preserve"> </w:t>
      </w:r>
      <w:r>
        <w:rPr>
          <w:i/>
          <w:iCs/>
        </w:rPr>
        <w:t xml:space="preserve">Journal of Apicultural Research, 39</w:t>
      </w:r>
      <w:r>
        <w:t xml:space="preserve">, 3–7.</w:t>
      </w:r>
    </w:p>
    <w:p>
      <w:pPr>
        <w:pStyle w:val="Bibliography"/>
      </w:pPr>
      <w:r>
        <w:t xml:space="preserve">Pat Fernández, L. A., Anguebes Franceschi, F., Pat Fernández, J. M., Hernández Bahena, P., &amp; Ramos Reyes, R. (2018). Condición y perspectivas de la meliponicultura en comunidades mayas de la reserva de la biósfera Los Petenes, Campeche, México.</w:t>
      </w:r>
      <w:r>
        <w:t xml:space="preserve"> </w:t>
      </w:r>
      <w:r>
        <w:rPr>
          <w:i/>
          <w:iCs/>
        </w:rPr>
        <w:t xml:space="preserve">Estudios de Cultura Maya, 52</w:t>
      </w:r>
      <w:r>
        <w:t xml:space="preserve">, 227-254. https://doi.org/10.19130/iifl.ecm.2018.52.939</w:t>
      </w:r>
    </w:p>
    <w:p>
      <w:pPr>
        <w:pStyle w:val="Bibliography"/>
      </w:pPr>
      <w:r>
        <w:t xml:space="preserve">Quezada-Euán, J. J. G. (2018).</w:t>
      </w:r>
      <w:r>
        <w:t xml:space="preserve"> </w:t>
      </w:r>
      <w:r>
        <w:rPr>
          <w:i/>
          <w:iCs/>
        </w:rPr>
        <w:t xml:space="preserve">Stingless Bees of Mexico: The Biology, Management and Conservation of an Ancient Heritage</w:t>
      </w:r>
      <w:r>
        <w:t xml:space="preserve">. Springer.</w:t>
      </w:r>
    </w:p>
    <w:p>
      <w:pPr>
        <w:pStyle w:val="Bibliography"/>
      </w:pPr>
      <w:r>
        <w:t xml:space="preserve">Ramírez-Miranda, I., Moguel-Ordóñez, Y., Acevedo-Fernández, J. J., &amp; Betancur-Ancona, D. (2023). Calidad microbiológica y actividad antibacteriana de miel producida por Melipona beecheii en Yucatán, México.</w:t>
      </w:r>
      <w:r>
        <w:t xml:space="preserve"> </w:t>
      </w:r>
      <w:r>
        <w:rPr>
          <w:i/>
          <w:iCs/>
        </w:rPr>
        <w:t xml:space="preserve">Revista MVZ Córdoba, 28</w:t>
      </w:r>
      <w:r>
        <w:t xml:space="preserve">(2), e3175. https://doi.org/10.21897/rmvz.3175</w:t>
      </w:r>
    </w:p>
    <w:p>
      <w:pPr>
        <w:pStyle w:val="Bibliography"/>
      </w:pPr>
      <w:r>
        <w:t xml:space="preserve">Roubik, D. W. (2006). Stingless bee nesting biology.</w:t>
      </w:r>
      <w:r>
        <w:t xml:space="preserve"> </w:t>
      </w:r>
      <w:r>
        <w:rPr>
          <w:i/>
          <w:iCs/>
        </w:rPr>
        <w:t xml:space="preserve">Apidologie, 37</w:t>
      </w:r>
      <w:r>
        <w:t xml:space="preserve">(2), 124–143. https://doi.org/10.1051/apido:2006026</w:t>
      </w:r>
    </w:p>
    <w:p>
      <w:pPr>
        <w:pStyle w:val="Bibliography"/>
      </w:pPr>
      <w:r>
        <w:t xml:space="preserve">Roubik, D. W., &amp; Peralta, F. J. A. (1983). Thermodynamics in nests of two</w:t>
      </w:r>
      <w:r>
        <w:t xml:space="preserve"> </w:t>
      </w:r>
      <w:r>
        <w:rPr>
          <w:i/>
          <w:iCs/>
        </w:rPr>
        <w:t xml:space="preserve">Melipona</w:t>
      </w:r>
      <w:r>
        <w:t xml:space="preserve"> </w:t>
      </w:r>
      <w:r>
        <w:t xml:space="preserve">species in Brazil.</w:t>
      </w:r>
      <w:r>
        <w:t xml:space="preserve"> </w:t>
      </w:r>
      <w:r>
        <w:rPr>
          <w:i/>
          <w:iCs/>
        </w:rPr>
        <w:t xml:space="preserve">Acta Amazonica, 13</w:t>
      </w:r>
      <w:r>
        <w:t xml:space="preserve">, 453–466.</w:t>
      </w:r>
    </w:p>
    <w:p>
      <w:pPr>
        <w:pStyle w:val="Bibliography"/>
      </w:pPr>
      <w:r>
        <w:t xml:space="preserve">Schurischuster, S., &amp; Kampel, M. (2020).</w:t>
      </w:r>
      <w:r>
        <w:t xml:space="preserve"> </w:t>
      </w:r>
      <w:r>
        <w:rPr>
          <w:i/>
          <w:iCs/>
        </w:rPr>
        <w:t xml:space="preserve">VarroaDataset</w:t>
      </w:r>
      <w:r>
        <w:t xml:space="preserve"> </w:t>
      </w:r>
      <w:r>
        <w:t xml:space="preserve">[Data set]. Zenodo. https://doi.org/10.5281/zenodo.4085044</w:t>
      </w:r>
    </w:p>
    <w:p>
      <w:pPr>
        <w:pStyle w:val="Bibliography"/>
      </w:pPr>
      <w:r>
        <w:t xml:space="preserve">Suárez Carvajal, Y. Y. (2025). Estimación del impacto de variables internas y ambientales en la vitalidad de las colonias de Melipona eburnea en Colombia, generando alertas tempranas que permitan optimizar el manejo y mejorar su bienestar [Trabajo de grado de maestría, Universidad Tecnológica de Pereira]. Facultad de Ingeniería Mecánica, Pereira, Colombia.</w:t>
      </w:r>
    </w:p>
    <w:p>
      <w:pPr>
        <w:pStyle w:val="Bibliography"/>
      </w:pPr>
      <w:r>
        <w:t xml:space="preserve">Uthoff, C., Homsi, M. N., &amp; von Bergen, M. (2023). Acoustic and vibration monitoring of honeybee colonies for beekeeping-relevant aspects of presence of queen bee and swarming.</w:t>
      </w:r>
      <w:r>
        <w:t xml:space="preserve"> </w:t>
      </w:r>
      <w:r>
        <w:rPr>
          <w:i/>
          <w:iCs/>
        </w:rPr>
        <w:t xml:space="preserve">Computers and Electronics in Agriculture, 205</w:t>
      </w:r>
      <w:r>
        <w:t xml:space="preserve">, 107589. https://doi.org/10.1016/j.compag.2022.107589</w:t>
      </w:r>
    </w:p>
    <w:p>
      <w:pPr>
        <w:pStyle w:val="Bibliography"/>
      </w:pPr>
      <w:r>
        <w:t xml:space="preserve">Villanueva-Gutiérrez, R., Roubik, D. W., Colli-Ucán, W., Güemez-Ricalde, F. J., &amp; Buchmann, S. L. (2013). A critical view of colony losses in managed Mayan honey-making bees (Apidae: Meliponini) in the heart of Zona Maya.</w:t>
      </w:r>
      <w:r>
        <w:t xml:space="preserve"> </w:t>
      </w:r>
      <w:r>
        <w:rPr>
          <w:i/>
          <w:iCs/>
        </w:rPr>
        <w:t xml:space="preserve">Journal of the Kansas Entomological Society, 86</w:t>
      </w:r>
      <w:r>
        <w:t xml:space="preserve">(4), 352–362. https://doi.org/10.2317/JKES130131.1</w:t>
      </w:r>
    </w:p>
    <w:p>
      <w:pPr>
        <w:pStyle w:val="Bibliography"/>
      </w:pPr>
      <w:r>
        <w:t xml:space="preserve">Yang, A. (2022).</w:t>
      </w:r>
      <w:r>
        <w:t xml:space="preserve"> </w:t>
      </w:r>
      <w:r>
        <w:rPr>
          <w:i/>
          <w:iCs/>
        </w:rPr>
        <w:t xml:space="preserve">Beehive sounds</w:t>
      </w:r>
      <w:r>
        <w:t xml:space="preserve"> </w:t>
      </w:r>
      <w:r>
        <w:t xml:space="preserve">[Data set]. Kaggle. https://kaggle.com/datasets/annajyang/beehive-sounds</w:t>
      </w:r>
    </w:p>
    <w:bookmarkEnd w:id="92"/>
    <w:sectPr>
      <w:footerReference r:id="rIdPiePagina" w:type="default"/>
      <w:footnotePr>
        <w:numRestart w:val="eachSect"/>
      </w:footnotePr>
      <w:pgSz w:h="15840" w:w="12240"/>
      <w:pgMar w:bottom="1418" w:footer="709" w:gutter="0" w:header="709" w:left="1418" w:right="1418" w:top="1418"/>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jc w:val="right"/>
    </w:pPr>
    <w:r>
      <w:rPr>
        <w:rFonts w:ascii="Arial" w:hAnsi="Arial" w:eastAsia="Arial" w:cs="Arial"/>
        <w:sz w:val="22"/>
      </w:rPr>
      <w:fldChar w:fldCharType="begin"/>
    </w:r>
    <w:r>
      <w:rPr>
        <w:rFonts w:ascii="Arial" w:hAnsi="Arial" w:eastAsia="Arial" w:cs="Arial"/>
        <w:sz w:val="22"/>
      </w:rPr>
      <w:instrText xml:space="preserve"> PAGE </w:instrText>
    </w:r>
    <w:r>
      <w:rPr>
        <w:rFonts w:ascii="Arial" w:hAnsi="Arial" w:eastAsia="Arial" w:cs="Arial"/>
        <w:sz w:val="22"/>
      </w:rPr>
      <w:fldChar w:fldCharType="separate"/>
    </w:r>
    <w:r>
      <w:rPr>
        <w:rFonts w:ascii="Arial" w:hAnsi="Arial" w:eastAsia="Arial" w:cs="Arial"/>
        <w:sz w:val="22"/>
      </w:rPr>
      <w:t>1</w:t>
    </w:r>
    <w:r>
      <w:rPr>
        <w:rFonts w:ascii="Arial" w:hAnsi="Arial" w:eastAsia="Arial" w:cs="Arial"/>
        <w:sz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es-MX" w:val="es-MX"/>
      </w:rPr>
    </w:rPrDefault>
    <w:pPrDefault>
      <w:pPr>
        <w:spacing w:after="0" w:before="240" w:line="36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Normal" w:type="paragraph">
    <w:name w:val="Normal"/>
    <w:qFormat/>
    <w:pPr>
      <w:spacing w:after="0" w:before="240" w:line="360" w:lineRule="auto"/>
    </w:pPr>
    <w:rPr>
      <w:rFonts w:ascii="Arial" w:cs="Arial" w:eastAsia="Arial" w:hAnsi="Arial"/>
      <w:sz w:val="22"/>
      <w:szCs w:val="22"/>
    </w:rPr>
  </w:style>
  <w:style w:customStyle="1" w:styleId="BodyText" w:type="paragraph">
    <w:name w:val="Body Text"/>
    <w:basedOn w:val="Normal"/>
    <w:qFormat/>
    <w:pPr>
      <w:spacing w:after="0" w:before="240" w:line="360" w:lineRule="auto"/>
    </w:pPr>
    <w:rPr/>
  </w:style>
  <w:style w:customStyle="1" w:styleId="FirstParagraph" w:type="paragraph">
    <w:name w:val="First Paragraph"/>
    <w:basedOn w:val="BodyText"/>
    <w:next w:val="BodyText"/>
    <w:qFormat/>
    <w:pPr/>
    <w:rPr/>
  </w:style>
  <w:style w:customStyle="1" w:styleId="Compact" w:type="paragraph">
    <w:name w:val="Compact"/>
    <w:basedOn w:val="Normal"/>
    <w:qFormat/>
    <w:pPr>
      <w:spacing w:after="0" w:before="240" w:line="360" w:lineRule="auto"/>
    </w:pPr>
    <w:rPr/>
  </w:style>
  <w:style w:customStyle="1" w:styleId="Heading1" w:type="paragraph">
    <w:name w:val="heading 1"/>
    <w:basedOn w:val="Normal"/>
    <w:next w:val="BodyText"/>
    <w:qFormat/>
    <w:pPr>
      <w:keepNext/>
      <w:keepLines/>
      <w:pageBreakBefore/>
      <w:spacing w:after="240" w:before="240" w:line="360" w:lineRule="auto"/>
      <w:jc w:val="left"/>
      <w:outlineLvl w:val="0"/>
    </w:pPr>
    <w:rPr>
      <w:rFonts w:ascii="Arial" w:cs="Arial" w:eastAsia="Arial" w:hAnsi="Arial"/>
      <w:b/>
      <w:bCs/>
      <w:caps/>
      <w:sz w:val="24"/>
      <w:szCs w:val="24"/>
    </w:rPr>
  </w:style>
  <w:style w:customStyle="1" w:styleId="Heading2" w:type="paragraph">
    <w:name w:val="heading 2"/>
    <w:basedOn w:val="Normal"/>
    <w:next w:val="BodyText"/>
    <w:qFormat/>
    <w:pPr>
      <w:keepNext/>
      <w:keepLines/>
      <w:spacing w:after="0" w:before="240" w:line="360" w:lineRule="auto"/>
      <w:outlineLvl w:val="1"/>
    </w:pPr>
    <w:rPr>
      <w:rFonts w:ascii="Arial" w:cs="Arial" w:eastAsia="Arial" w:hAnsi="Arial"/>
      <w:b/>
      <w:bCs/>
      <w:caps/>
      <w:sz w:val="22"/>
      <w:szCs w:val="22"/>
    </w:rPr>
  </w:style>
  <w:style w:customStyle="1" w:styleId="Heading3" w:type="paragraph">
    <w:name w:val="heading 3"/>
    <w:basedOn w:val="Normal"/>
    <w:next w:val="BodyText"/>
    <w:qFormat/>
    <w:pPr>
      <w:keepNext/>
      <w:keepLines/>
      <w:spacing w:after="0" w:before="240" w:line="360" w:lineRule="auto"/>
      <w:outlineLvl w:val="2"/>
    </w:pPr>
    <w:rPr>
      <w:rFonts w:ascii="Arial" w:cs="Arial" w:eastAsia="Arial" w:hAnsi="Arial"/>
      <w:b/>
      <w:bCs/>
      <w:sz w:val="22"/>
      <w:szCs w:val="22"/>
    </w:rPr>
  </w:style>
  <w:style w:customStyle="1" w:styleId="Heading4" w:type="paragraph">
    <w:name w:val="heading 4"/>
    <w:basedOn w:val="Normal"/>
    <w:next w:val="BodyText"/>
    <w:qFormat/>
    <w:pPr>
      <w:keepNext/>
      <w:keepLines/>
      <w:spacing w:after="0" w:before="240" w:line="360" w:lineRule="auto"/>
      <w:outlineLvl w:val="3"/>
    </w:pPr>
    <w:rPr>
      <w:rFonts w:ascii="Arial" w:cs="Arial" w:eastAsia="Arial" w:hAnsi="Arial"/>
      <w:b/>
      <w:bCs/>
      <w:sz w:val="22"/>
      <w:szCs w:val="22"/>
    </w:rPr>
  </w:style>
  <w:style w:customStyle="1" w:styleId="Leyenda" w:type="paragraph">
    <w:name w:val="Leyenda"/>
    <w:basedOn w:val="Normal"/>
    <w:next w:val="BodyText"/>
    <w:qFormat/>
    <w:pPr>
      <w:keepNext/>
      <w:spacing w:after="0" w:before="240" w:line="360" w:lineRule="auto"/>
    </w:pPr>
    <w:rPr>
      <w:sz w:val="20"/>
      <w:szCs w:val="20"/>
    </w:rPr>
  </w:style>
  <w:style w:customStyle="1" w:styleId="TextoTabla" w:type="paragraph">
    <w:name w:val="Texto de tabla"/>
    <w:basedOn w:val="Normal"/>
    <w:qFormat/>
    <w:pPr>
      <w:spacing w:after="0" w:before="0" w:line="240" w:lineRule="auto"/>
    </w:pPr>
    <w:rPr>
      <w:sz w:val="20"/>
      <w:szCs w:val="20"/>
    </w:rPr>
  </w:style>
  <w:style w:customStyle="1" w:styleId="Bibliography" w:type="paragraph">
    <w:name w:val="Bibliography"/>
    <w:basedOn w:val="Normal"/>
    <w:qFormat/>
    <w:pPr>
      <w:spacing w:after="0" w:before="240" w:line="360" w:lineRule="auto"/>
      <w:ind w:hanging="851" w:left="851"/>
    </w:pPr>
    <w:rPr/>
  </w:style>
  <w:style w:customStyle="1" w:styleId="ImageCaption" w:type="paragraph">
    <w:name w:val="Image Caption"/>
    <w:basedOn w:val="Normal"/>
    <w:qFormat/>
    <w:pPr>
      <w:jc w:val="center"/>
    </w:pPr>
    <w:rPr>
      <w:sz w:val="20"/>
      <w:szCs w:val="20"/>
    </w:rPr>
  </w:style>
  <w:style w:customStyle="1" w:styleId="CaptionedFigure" w:type="paragraph">
    <w:name w:val="Captioned Figure"/>
    <w:basedOn w:val="Normal"/>
    <w:qFormat/>
    <w:pPr>
      <w:keepNext/>
      <w:jc w:val="center"/>
    </w:pPr>
    <w:rPr/>
  </w:style>
  <w:style w:customStyle="1" w:styleId="Figure" w:type="paragraph">
    <w:name w:val="Figure"/>
    <w:basedOn w:val="Normal"/>
    <w:qFormat/>
    <w:pPr>
      <w:jc w:val="center"/>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Pagina"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es-MX</dc:language>
  <cp:keywords/>
  <dcterms:created xsi:type="dcterms:W3CDTF">2026-10-16T14:44:15Z</dcterms:created>
  <dcterms:modified xsi:type="dcterms:W3CDTF">2026-10-16T14:44:15Z</dcterms:modified>
</cp:coreProperties>
</file>

<file path=docProps/custom.xml><?xml version="1.0" encoding="utf-8"?>
<Properties xmlns="http://schemas.openxmlformats.org/officeDocument/2006/custom-properties" xmlns:vt="http://schemas.openxmlformats.org/officeDocument/2006/docPropsVTypes"/>
</file>