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D2D08" w14:textId="60BBFA3D" w:rsidR="004E09C6" w:rsidRDefault="00891286" w:rsidP="004E09C6">
      <w:pPr>
        <w:spacing w:after="80"/>
        <w:jc w:val="center"/>
        <w:rPr>
          <w:rFonts w:ascii="Arial" w:hAnsi="Arial" w:cs="Arial"/>
          <w:b/>
          <w:bCs/>
          <w:color w:val="1F3864"/>
          <w:sz w:val="24"/>
          <w:szCs w:val="24"/>
        </w:rPr>
      </w:pPr>
      <w:r w:rsidRPr="004E09C6">
        <w:rPr>
          <w:rFonts w:ascii="Arial" w:hAnsi="Arial" w:cs="Arial"/>
          <w:b/>
          <w:bCs/>
          <w:color w:val="1F3864"/>
          <w:sz w:val="24"/>
          <w:szCs w:val="24"/>
        </w:rPr>
        <w:t xml:space="preserve">QUALITY, SUPPLY CHAIN AND </w:t>
      </w:r>
      <w:r w:rsidR="004E09C6" w:rsidRPr="004E09C6">
        <w:rPr>
          <w:rFonts w:ascii="Arial" w:hAnsi="Arial" w:cs="Arial"/>
          <w:b/>
          <w:bCs/>
          <w:color w:val="1F3864"/>
          <w:sz w:val="24"/>
          <w:szCs w:val="24"/>
        </w:rPr>
        <w:t xml:space="preserve">CONTINUITY </w:t>
      </w:r>
      <w:r w:rsidR="004E09C6">
        <w:rPr>
          <w:rFonts w:ascii="Arial" w:hAnsi="Arial" w:cs="Arial"/>
          <w:b/>
          <w:bCs/>
          <w:color w:val="1F3864"/>
          <w:sz w:val="24"/>
          <w:szCs w:val="24"/>
        </w:rPr>
        <w:t>RISK</w:t>
      </w:r>
      <w:r w:rsidRPr="004E09C6">
        <w:rPr>
          <w:rFonts w:ascii="Arial" w:hAnsi="Arial" w:cs="Arial"/>
          <w:b/>
          <w:bCs/>
          <w:color w:val="1F3864"/>
          <w:sz w:val="24"/>
          <w:szCs w:val="24"/>
        </w:rPr>
        <w:t xml:space="preserve"> </w:t>
      </w:r>
      <w:r w:rsidR="004E09C6">
        <w:rPr>
          <w:rFonts w:ascii="Arial" w:hAnsi="Arial" w:cs="Arial"/>
          <w:b/>
          <w:bCs/>
          <w:color w:val="1F3864"/>
          <w:sz w:val="24"/>
          <w:szCs w:val="24"/>
        </w:rPr>
        <w:t xml:space="preserve">  </w:t>
      </w:r>
    </w:p>
    <w:p w14:paraId="46F6F6F3" w14:textId="544F4955" w:rsidR="009111DE" w:rsidRPr="004E09C6" w:rsidRDefault="004E09C6" w:rsidP="004E09C6">
      <w:pPr>
        <w:spacing w:after="80"/>
        <w:jc w:val="center"/>
        <w:rPr>
          <w:rFonts w:ascii="Arial" w:hAnsi="Arial" w:cs="Arial"/>
          <w:b/>
          <w:bCs/>
          <w:color w:val="1F3864"/>
          <w:sz w:val="24"/>
          <w:szCs w:val="24"/>
        </w:rPr>
      </w:pPr>
      <w:r w:rsidRPr="004E09C6">
        <w:rPr>
          <w:rFonts w:ascii="Arial" w:hAnsi="Arial" w:cs="Arial"/>
          <w:b/>
          <w:bCs/>
          <w:color w:val="1F3864"/>
          <w:sz w:val="24"/>
          <w:szCs w:val="24"/>
        </w:rPr>
        <w:t>FOLLOWING</w:t>
      </w:r>
      <w:r>
        <w:rPr>
          <w:rFonts w:ascii="Arial" w:hAnsi="Arial" w:cs="Arial"/>
          <w:b/>
          <w:bCs/>
          <w:color w:val="1F3864"/>
          <w:sz w:val="24"/>
          <w:szCs w:val="24"/>
        </w:rPr>
        <w:t xml:space="preserve"> </w:t>
      </w:r>
      <w:r w:rsidRPr="004E09C6">
        <w:rPr>
          <w:rFonts w:ascii="Arial" w:hAnsi="Arial" w:cs="Arial"/>
          <w:b/>
          <w:bCs/>
          <w:color w:val="1F3864"/>
          <w:sz w:val="24"/>
          <w:szCs w:val="24"/>
        </w:rPr>
        <w:t>DIGITALISATION</w:t>
      </w:r>
    </w:p>
    <w:p w14:paraId="7E261CC8" w14:textId="172B2370" w:rsidR="004E09C6" w:rsidRPr="004E09C6" w:rsidRDefault="004E09C6" w:rsidP="004E09C6">
      <w:pPr>
        <w:spacing w:after="80"/>
        <w:jc w:val="center"/>
        <w:rPr>
          <w:rFonts w:ascii="Arial" w:hAnsi="Arial" w:cs="Arial"/>
          <w:b/>
          <w:bCs/>
          <w:color w:val="1F3864"/>
          <w:sz w:val="24"/>
          <w:szCs w:val="24"/>
        </w:rPr>
      </w:pPr>
    </w:p>
    <w:p w14:paraId="6CFB400C" w14:textId="7DD50DAF" w:rsidR="004E09C6" w:rsidRPr="004E09C6" w:rsidRDefault="004E09C6" w:rsidP="004E09C6">
      <w:pPr>
        <w:spacing w:after="80"/>
        <w:jc w:val="center"/>
        <w:rPr>
          <w:rFonts w:ascii="Arial" w:hAnsi="Arial" w:cs="Arial"/>
          <w:b/>
          <w:bCs/>
          <w:color w:val="1F3864"/>
          <w:sz w:val="24"/>
          <w:szCs w:val="24"/>
        </w:rPr>
      </w:pPr>
    </w:p>
    <w:p w14:paraId="717AE031" w14:textId="11F7AE1E" w:rsidR="004E09C6" w:rsidRPr="004E09C6" w:rsidRDefault="004E09C6" w:rsidP="004E09C6">
      <w:pPr>
        <w:spacing w:after="80"/>
        <w:jc w:val="center"/>
        <w:rPr>
          <w:rFonts w:ascii="Arial" w:hAnsi="Arial" w:cs="Arial"/>
          <w:b/>
          <w:bCs/>
          <w:color w:val="1F3864"/>
          <w:sz w:val="24"/>
          <w:szCs w:val="24"/>
        </w:rPr>
      </w:pPr>
    </w:p>
    <w:p w14:paraId="65DF612E" w14:textId="45A008F6" w:rsidR="004E09C6" w:rsidRPr="004E09C6" w:rsidRDefault="004E09C6" w:rsidP="004E09C6">
      <w:pPr>
        <w:spacing w:after="80"/>
        <w:jc w:val="center"/>
        <w:rPr>
          <w:rFonts w:ascii="Arial" w:hAnsi="Arial" w:cs="Arial"/>
          <w:b/>
          <w:bCs/>
          <w:color w:val="1F3864"/>
          <w:sz w:val="24"/>
          <w:szCs w:val="24"/>
        </w:rPr>
      </w:pPr>
    </w:p>
    <w:p w14:paraId="2784AABF" w14:textId="27973203" w:rsidR="004E09C6" w:rsidRPr="004E09C6" w:rsidRDefault="004E09C6" w:rsidP="004E09C6">
      <w:pPr>
        <w:spacing w:after="80"/>
        <w:jc w:val="center"/>
        <w:rPr>
          <w:rFonts w:ascii="Arial" w:hAnsi="Arial" w:cs="Arial"/>
          <w:b/>
          <w:bCs/>
          <w:color w:val="1F3864"/>
          <w:sz w:val="24"/>
          <w:szCs w:val="24"/>
        </w:rPr>
      </w:pPr>
    </w:p>
    <w:p w14:paraId="6E6661A6" w14:textId="68BCFEDC" w:rsidR="004E09C6" w:rsidRPr="004E09C6" w:rsidRDefault="004E09C6" w:rsidP="004E09C6">
      <w:pPr>
        <w:spacing w:after="80"/>
        <w:jc w:val="center"/>
        <w:rPr>
          <w:rFonts w:ascii="Arial" w:hAnsi="Arial" w:cs="Arial"/>
          <w:b/>
          <w:bCs/>
          <w:color w:val="1F3864"/>
          <w:sz w:val="24"/>
          <w:szCs w:val="24"/>
        </w:rPr>
      </w:pPr>
    </w:p>
    <w:p w14:paraId="358A2AF2" w14:textId="109E4468" w:rsidR="004E09C6" w:rsidRPr="004E09C6" w:rsidRDefault="004E09C6" w:rsidP="004E09C6">
      <w:pPr>
        <w:spacing w:after="80"/>
        <w:jc w:val="center"/>
        <w:rPr>
          <w:rFonts w:ascii="Arial" w:hAnsi="Arial" w:cs="Arial"/>
          <w:b/>
          <w:bCs/>
          <w:color w:val="1F3864"/>
          <w:sz w:val="24"/>
          <w:szCs w:val="24"/>
        </w:rPr>
      </w:pPr>
    </w:p>
    <w:p w14:paraId="22B30FFE" w14:textId="4A793E51" w:rsidR="004E09C6" w:rsidRPr="004E09C6" w:rsidRDefault="004E09C6" w:rsidP="004E09C6">
      <w:pPr>
        <w:spacing w:after="80"/>
        <w:jc w:val="center"/>
        <w:rPr>
          <w:rFonts w:ascii="Arial" w:hAnsi="Arial" w:cs="Arial"/>
          <w:b/>
          <w:bCs/>
          <w:color w:val="1F3864"/>
          <w:sz w:val="24"/>
          <w:szCs w:val="24"/>
        </w:rPr>
      </w:pPr>
    </w:p>
    <w:p w14:paraId="2858885D" w14:textId="67741094" w:rsidR="004E09C6" w:rsidRPr="004E09C6" w:rsidRDefault="004E09C6" w:rsidP="004E09C6">
      <w:pPr>
        <w:spacing w:after="80"/>
        <w:jc w:val="center"/>
        <w:rPr>
          <w:rFonts w:ascii="Arial" w:hAnsi="Arial" w:cs="Arial"/>
          <w:b/>
          <w:bCs/>
          <w:color w:val="1F3864"/>
          <w:sz w:val="24"/>
          <w:szCs w:val="24"/>
        </w:rPr>
      </w:pPr>
    </w:p>
    <w:p w14:paraId="6AACF1D4" w14:textId="07C639B8" w:rsidR="004E09C6" w:rsidRPr="004E09C6" w:rsidRDefault="004E09C6" w:rsidP="004E09C6">
      <w:pPr>
        <w:spacing w:after="80"/>
        <w:jc w:val="center"/>
        <w:rPr>
          <w:rFonts w:ascii="Arial" w:hAnsi="Arial" w:cs="Arial"/>
          <w:b/>
          <w:bCs/>
          <w:color w:val="1F3864"/>
          <w:sz w:val="24"/>
          <w:szCs w:val="24"/>
        </w:rPr>
      </w:pPr>
    </w:p>
    <w:p w14:paraId="5AA10A4E" w14:textId="6F153098" w:rsidR="004E09C6" w:rsidRPr="004E09C6" w:rsidRDefault="004E09C6" w:rsidP="004E09C6">
      <w:pPr>
        <w:spacing w:after="80"/>
        <w:jc w:val="center"/>
        <w:rPr>
          <w:rFonts w:ascii="Arial" w:hAnsi="Arial" w:cs="Arial"/>
          <w:b/>
          <w:bCs/>
          <w:color w:val="1F3864"/>
          <w:sz w:val="24"/>
          <w:szCs w:val="24"/>
        </w:rPr>
      </w:pPr>
    </w:p>
    <w:p w14:paraId="1AF62464" w14:textId="6FDEDCD4" w:rsidR="004E09C6" w:rsidRPr="004E09C6" w:rsidRDefault="004E09C6" w:rsidP="004E09C6">
      <w:pPr>
        <w:spacing w:after="80"/>
        <w:jc w:val="center"/>
        <w:rPr>
          <w:rFonts w:ascii="Arial" w:hAnsi="Arial" w:cs="Arial"/>
          <w:b/>
          <w:bCs/>
          <w:color w:val="1F3864"/>
          <w:sz w:val="24"/>
          <w:szCs w:val="24"/>
        </w:rPr>
      </w:pPr>
    </w:p>
    <w:p w14:paraId="2BECA9EC" w14:textId="34259185" w:rsidR="004E09C6" w:rsidRDefault="004E09C6" w:rsidP="004E09C6">
      <w:pPr>
        <w:spacing w:after="80"/>
        <w:rPr>
          <w:rFonts w:ascii="Arial" w:hAnsi="Arial" w:cs="Arial"/>
          <w:sz w:val="24"/>
          <w:szCs w:val="24"/>
        </w:rPr>
      </w:pPr>
    </w:p>
    <w:p w14:paraId="204C5E61" w14:textId="2CCD7885" w:rsidR="004E09C6" w:rsidRDefault="004E09C6" w:rsidP="004E09C6">
      <w:pPr>
        <w:spacing w:after="80"/>
        <w:rPr>
          <w:rFonts w:ascii="Arial" w:hAnsi="Arial" w:cs="Arial"/>
          <w:sz w:val="24"/>
          <w:szCs w:val="24"/>
        </w:rPr>
      </w:pPr>
    </w:p>
    <w:p w14:paraId="61955284" w14:textId="388B87BE" w:rsidR="004E09C6" w:rsidRDefault="004E09C6" w:rsidP="004E09C6">
      <w:pPr>
        <w:spacing w:after="80"/>
        <w:rPr>
          <w:rFonts w:ascii="Arial" w:hAnsi="Arial" w:cs="Arial"/>
          <w:sz w:val="24"/>
          <w:szCs w:val="24"/>
        </w:rPr>
      </w:pPr>
    </w:p>
    <w:p w14:paraId="5BE34C2E" w14:textId="39EE577B" w:rsidR="004E09C6" w:rsidRDefault="004E09C6" w:rsidP="004E09C6">
      <w:pPr>
        <w:spacing w:after="80"/>
        <w:rPr>
          <w:rFonts w:ascii="Arial" w:hAnsi="Arial" w:cs="Arial"/>
          <w:sz w:val="24"/>
          <w:szCs w:val="24"/>
        </w:rPr>
      </w:pPr>
    </w:p>
    <w:p w14:paraId="079ECA33" w14:textId="71BFC910" w:rsidR="004E09C6" w:rsidRDefault="004E09C6" w:rsidP="004E09C6">
      <w:pPr>
        <w:spacing w:after="80"/>
        <w:rPr>
          <w:rFonts w:ascii="Arial" w:hAnsi="Arial" w:cs="Arial"/>
          <w:sz w:val="24"/>
          <w:szCs w:val="24"/>
        </w:rPr>
      </w:pPr>
    </w:p>
    <w:p w14:paraId="6591500A" w14:textId="12B878C3" w:rsidR="004E09C6" w:rsidRDefault="004E09C6" w:rsidP="004E09C6">
      <w:pPr>
        <w:spacing w:after="80"/>
        <w:rPr>
          <w:rFonts w:ascii="Arial" w:hAnsi="Arial" w:cs="Arial"/>
          <w:sz w:val="24"/>
          <w:szCs w:val="24"/>
        </w:rPr>
      </w:pPr>
    </w:p>
    <w:p w14:paraId="49FD7E3F" w14:textId="1CE11393" w:rsidR="004E09C6" w:rsidRDefault="004E09C6" w:rsidP="004E09C6">
      <w:pPr>
        <w:spacing w:after="80"/>
        <w:rPr>
          <w:rFonts w:ascii="Arial" w:hAnsi="Arial" w:cs="Arial"/>
          <w:sz w:val="24"/>
          <w:szCs w:val="24"/>
        </w:rPr>
      </w:pPr>
    </w:p>
    <w:p w14:paraId="01B8BC55" w14:textId="271DB8C3" w:rsidR="004E09C6" w:rsidRDefault="004E09C6" w:rsidP="004E09C6">
      <w:pPr>
        <w:spacing w:after="80"/>
        <w:rPr>
          <w:rFonts w:ascii="Arial" w:hAnsi="Arial" w:cs="Arial"/>
          <w:sz w:val="24"/>
          <w:szCs w:val="24"/>
        </w:rPr>
      </w:pPr>
    </w:p>
    <w:p w14:paraId="3A45C6F1" w14:textId="77777777" w:rsidR="004E09C6" w:rsidRPr="004E09C6" w:rsidRDefault="004E09C6" w:rsidP="004E09C6">
      <w:pPr>
        <w:spacing w:after="80"/>
        <w:jc w:val="left"/>
        <w:rPr>
          <w:rFonts w:ascii="Arial" w:hAnsi="Arial" w:cs="Arial"/>
          <w:sz w:val="24"/>
          <w:szCs w:val="24"/>
        </w:rPr>
      </w:pPr>
    </w:p>
    <w:p w14:paraId="37219BCC" w14:textId="77777777" w:rsidR="009111DE" w:rsidRPr="004E09C6" w:rsidRDefault="00891286" w:rsidP="004E09C6">
      <w:pPr>
        <w:spacing w:before="240" w:after="160"/>
        <w:rPr>
          <w:rFonts w:ascii="Arial" w:hAnsi="Arial" w:cs="Arial"/>
          <w:sz w:val="24"/>
          <w:szCs w:val="24"/>
        </w:rPr>
      </w:pPr>
      <w:r w:rsidRPr="004E09C6">
        <w:rPr>
          <w:rFonts w:ascii="Arial" w:hAnsi="Arial" w:cs="Arial"/>
          <w:b/>
          <w:bCs/>
          <w:color w:val="1F3864"/>
          <w:sz w:val="24"/>
          <w:szCs w:val="24"/>
        </w:rPr>
        <w:t>Table of Contents</w:t>
      </w:r>
    </w:p>
    <w:p w14:paraId="1F62B029" w14:textId="77777777" w:rsidR="009111DE" w:rsidRPr="004E09C6" w:rsidRDefault="00891286" w:rsidP="004E09C6">
      <w:pPr>
        <w:tabs>
          <w:tab w:val="right" w:leader="dot" w:pos="9298"/>
        </w:tabs>
        <w:spacing w:after="100"/>
        <w:rPr>
          <w:rFonts w:ascii="Arial" w:hAnsi="Arial" w:cs="Arial"/>
          <w:sz w:val="24"/>
          <w:szCs w:val="24"/>
        </w:rPr>
      </w:pPr>
      <w:r w:rsidRPr="004E09C6">
        <w:rPr>
          <w:rFonts w:ascii="Arial" w:hAnsi="Arial" w:cs="Arial"/>
          <w:sz w:val="24"/>
          <w:szCs w:val="24"/>
        </w:rPr>
        <w:fldChar w:fldCharType="begin"/>
      </w:r>
      <w:r w:rsidRPr="004E09C6">
        <w:rPr>
          <w:rFonts w:ascii="Arial" w:hAnsi="Arial" w:cs="Arial"/>
          <w:sz w:val="24"/>
          <w:szCs w:val="24"/>
        </w:rPr>
        <w:instrText xml:space="preserve"> TOC \o "1-1" \h \z \u </w:instrText>
      </w:r>
      <w:r w:rsidRPr="004E09C6">
        <w:rPr>
          <w:rFonts w:ascii="Arial" w:hAnsi="Arial" w:cs="Arial"/>
          <w:sz w:val="24"/>
          <w:szCs w:val="24"/>
        </w:rPr>
        <w:fldChar w:fldCharType="separate"/>
      </w:r>
      <w:r w:rsidRPr="004E09C6">
        <w:rPr>
          <w:rFonts w:ascii="Arial" w:hAnsi="Arial" w:cs="Arial"/>
          <w:sz w:val="24"/>
          <w:szCs w:val="24"/>
        </w:rPr>
        <w:t>1. I</w:t>
      </w:r>
      <w:r w:rsidRPr="004E09C6">
        <w:rPr>
          <w:rFonts w:ascii="Arial" w:hAnsi="Arial" w:cs="Arial"/>
          <w:sz w:val="24"/>
          <w:szCs w:val="24"/>
        </w:rPr>
        <w:t>ntroduction and headline findings</w:t>
      </w:r>
      <w:r w:rsidRPr="004E09C6">
        <w:rPr>
          <w:rFonts w:ascii="Arial" w:hAnsi="Arial" w:cs="Arial"/>
          <w:sz w:val="24"/>
          <w:szCs w:val="24"/>
        </w:rPr>
        <w:tab/>
        <w:t>2</w:t>
      </w:r>
    </w:p>
    <w:p w14:paraId="280CE093" w14:textId="77777777" w:rsidR="009111DE" w:rsidRPr="004E09C6" w:rsidRDefault="00891286" w:rsidP="004E09C6">
      <w:pPr>
        <w:tabs>
          <w:tab w:val="right" w:leader="dot" w:pos="9298"/>
        </w:tabs>
        <w:spacing w:after="100"/>
        <w:rPr>
          <w:rFonts w:ascii="Arial" w:hAnsi="Arial" w:cs="Arial"/>
          <w:sz w:val="24"/>
          <w:szCs w:val="24"/>
        </w:rPr>
      </w:pPr>
      <w:r w:rsidRPr="004E09C6">
        <w:rPr>
          <w:rFonts w:ascii="Arial" w:hAnsi="Arial" w:cs="Arial"/>
          <w:sz w:val="24"/>
          <w:szCs w:val="24"/>
        </w:rPr>
        <w:t>2. Method selection and justification</w:t>
      </w:r>
      <w:r w:rsidRPr="004E09C6">
        <w:rPr>
          <w:rFonts w:ascii="Arial" w:hAnsi="Arial" w:cs="Arial"/>
          <w:sz w:val="24"/>
          <w:szCs w:val="24"/>
        </w:rPr>
        <w:tab/>
        <w:t>2</w:t>
      </w:r>
    </w:p>
    <w:p w14:paraId="11102C6A" w14:textId="77777777" w:rsidR="009111DE" w:rsidRPr="004E09C6" w:rsidRDefault="00891286" w:rsidP="004E09C6">
      <w:pPr>
        <w:tabs>
          <w:tab w:val="right" w:leader="dot" w:pos="9298"/>
        </w:tabs>
        <w:spacing w:after="100"/>
        <w:rPr>
          <w:rFonts w:ascii="Arial" w:hAnsi="Arial" w:cs="Arial"/>
          <w:sz w:val="24"/>
          <w:szCs w:val="24"/>
        </w:rPr>
      </w:pPr>
      <w:r w:rsidRPr="004E09C6">
        <w:rPr>
          <w:rFonts w:ascii="Arial" w:hAnsi="Arial" w:cs="Arial"/>
          <w:sz w:val="24"/>
          <w:szCs w:val="24"/>
        </w:rPr>
        <w:t>3. Assumptions and data sources</w:t>
      </w:r>
      <w:r w:rsidRPr="004E09C6">
        <w:rPr>
          <w:rFonts w:ascii="Arial" w:hAnsi="Arial" w:cs="Arial"/>
          <w:sz w:val="24"/>
          <w:szCs w:val="24"/>
        </w:rPr>
        <w:tab/>
        <w:t>3</w:t>
      </w:r>
    </w:p>
    <w:p w14:paraId="34849D26" w14:textId="77777777" w:rsidR="009111DE" w:rsidRPr="004E09C6" w:rsidRDefault="00891286" w:rsidP="004E09C6">
      <w:pPr>
        <w:tabs>
          <w:tab w:val="right" w:leader="dot" w:pos="9298"/>
        </w:tabs>
        <w:spacing w:after="100"/>
        <w:rPr>
          <w:rFonts w:ascii="Arial" w:hAnsi="Arial" w:cs="Arial"/>
          <w:sz w:val="24"/>
          <w:szCs w:val="24"/>
        </w:rPr>
      </w:pPr>
      <w:r w:rsidRPr="004E09C6">
        <w:rPr>
          <w:rFonts w:ascii="Arial" w:hAnsi="Arial" w:cs="Arial"/>
          <w:sz w:val="24"/>
          <w:szCs w:val="24"/>
        </w:rPr>
        <w:t>4. Calculations and results</w:t>
      </w:r>
      <w:r w:rsidRPr="004E09C6">
        <w:rPr>
          <w:rFonts w:ascii="Arial" w:hAnsi="Arial" w:cs="Arial"/>
          <w:sz w:val="24"/>
          <w:szCs w:val="24"/>
        </w:rPr>
        <w:tab/>
        <w:t>3</w:t>
      </w:r>
    </w:p>
    <w:p w14:paraId="5E8D8EF3" w14:textId="77777777" w:rsidR="009111DE" w:rsidRPr="004E09C6" w:rsidRDefault="00891286" w:rsidP="004E09C6">
      <w:pPr>
        <w:tabs>
          <w:tab w:val="right" w:leader="dot" w:pos="9298"/>
        </w:tabs>
        <w:spacing w:after="100"/>
        <w:rPr>
          <w:rFonts w:ascii="Arial" w:hAnsi="Arial" w:cs="Arial"/>
          <w:sz w:val="24"/>
          <w:szCs w:val="24"/>
        </w:rPr>
      </w:pPr>
      <w:r w:rsidRPr="004E09C6">
        <w:rPr>
          <w:rFonts w:ascii="Arial" w:hAnsi="Arial" w:cs="Arial"/>
          <w:sz w:val="24"/>
          <w:szCs w:val="24"/>
        </w:rPr>
        <w:t>5. Recommendations in order of commercial priority</w:t>
      </w:r>
      <w:r w:rsidRPr="004E09C6">
        <w:rPr>
          <w:rFonts w:ascii="Arial" w:hAnsi="Arial" w:cs="Arial"/>
          <w:sz w:val="24"/>
          <w:szCs w:val="24"/>
        </w:rPr>
        <w:tab/>
        <w:t>4</w:t>
      </w:r>
    </w:p>
    <w:p w14:paraId="77B1D970" w14:textId="77777777" w:rsidR="009111DE" w:rsidRPr="004E09C6" w:rsidRDefault="00891286" w:rsidP="004E09C6">
      <w:pPr>
        <w:tabs>
          <w:tab w:val="right" w:leader="dot" w:pos="9298"/>
        </w:tabs>
        <w:spacing w:after="100"/>
        <w:rPr>
          <w:rFonts w:ascii="Arial" w:hAnsi="Arial" w:cs="Arial"/>
          <w:sz w:val="24"/>
          <w:szCs w:val="24"/>
        </w:rPr>
      </w:pPr>
      <w:r w:rsidRPr="004E09C6">
        <w:rPr>
          <w:rFonts w:ascii="Arial" w:hAnsi="Arial" w:cs="Arial"/>
          <w:sz w:val="24"/>
          <w:szCs w:val="24"/>
        </w:rPr>
        <w:t>6. Business continuity and disaster recovery</w:t>
      </w:r>
      <w:r w:rsidRPr="004E09C6">
        <w:rPr>
          <w:rFonts w:ascii="Arial" w:hAnsi="Arial" w:cs="Arial"/>
          <w:sz w:val="24"/>
          <w:szCs w:val="24"/>
        </w:rPr>
        <w:tab/>
        <w:t>4</w:t>
      </w:r>
    </w:p>
    <w:p w14:paraId="7CEFA3BB" w14:textId="77777777" w:rsidR="009111DE" w:rsidRPr="004E09C6" w:rsidRDefault="00891286" w:rsidP="004E09C6">
      <w:pPr>
        <w:tabs>
          <w:tab w:val="right" w:leader="dot" w:pos="9298"/>
        </w:tabs>
        <w:spacing w:after="100"/>
        <w:rPr>
          <w:rFonts w:ascii="Arial" w:hAnsi="Arial" w:cs="Arial"/>
          <w:sz w:val="24"/>
          <w:szCs w:val="24"/>
        </w:rPr>
      </w:pPr>
      <w:r w:rsidRPr="004E09C6">
        <w:rPr>
          <w:rFonts w:ascii="Arial" w:hAnsi="Arial" w:cs="Arial"/>
          <w:sz w:val="24"/>
          <w:szCs w:val="24"/>
        </w:rPr>
        <w:t>7. Conclusion</w:t>
      </w:r>
      <w:r w:rsidRPr="004E09C6">
        <w:rPr>
          <w:rFonts w:ascii="Arial" w:hAnsi="Arial" w:cs="Arial"/>
          <w:sz w:val="24"/>
          <w:szCs w:val="24"/>
        </w:rPr>
        <w:tab/>
        <w:t>5</w:t>
      </w:r>
    </w:p>
    <w:p w14:paraId="10693B7E" w14:textId="77777777" w:rsidR="009111DE" w:rsidRPr="004E09C6" w:rsidRDefault="00891286" w:rsidP="004E09C6">
      <w:pPr>
        <w:tabs>
          <w:tab w:val="right" w:leader="dot" w:pos="9298"/>
        </w:tabs>
        <w:spacing w:after="100"/>
        <w:rPr>
          <w:rFonts w:ascii="Arial" w:hAnsi="Arial" w:cs="Arial"/>
          <w:sz w:val="24"/>
          <w:szCs w:val="24"/>
        </w:rPr>
      </w:pPr>
      <w:r w:rsidRPr="004E09C6">
        <w:rPr>
          <w:rFonts w:ascii="Arial" w:hAnsi="Arial" w:cs="Arial"/>
          <w:sz w:val="24"/>
          <w:szCs w:val="24"/>
        </w:rPr>
        <w:t>References</w:t>
      </w:r>
      <w:r w:rsidRPr="004E09C6">
        <w:rPr>
          <w:rFonts w:ascii="Arial" w:hAnsi="Arial" w:cs="Arial"/>
          <w:sz w:val="24"/>
          <w:szCs w:val="24"/>
        </w:rPr>
        <w:tab/>
        <w:t>5</w:t>
      </w:r>
      <w:r w:rsidRPr="004E09C6">
        <w:rPr>
          <w:rFonts w:ascii="Arial" w:hAnsi="Arial" w:cs="Arial"/>
          <w:sz w:val="24"/>
          <w:szCs w:val="24"/>
        </w:rPr>
        <w:fldChar w:fldCharType="end"/>
      </w:r>
    </w:p>
    <w:p w14:paraId="301BFC4F" w14:textId="77777777" w:rsidR="009111DE" w:rsidRPr="004E09C6" w:rsidRDefault="00891286" w:rsidP="004E09C6">
      <w:pPr>
        <w:pStyle w:val="Heading1"/>
        <w:pageBreakBefore/>
        <w:rPr>
          <w:rFonts w:ascii="Arial" w:hAnsi="Arial" w:cs="Arial"/>
          <w:sz w:val="24"/>
          <w:szCs w:val="24"/>
        </w:rPr>
      </w:pPr>
      <w:r w:rsidRPr="004E09C6">
        <w:rPr>
          <w:rFonts w:ascii="Arial" w:hAnsi="Arial" w:cs="Arial"/>
          <w:sz w:val="24"/>
          <w:szCs w:val="24"/>
        </w:rPr>
        <w:lastRenderedPageBreak/>
        <w:t>1. Introduction and headline findings</w:t>
      </w:r>
    </w:p>
    <w:p w14:paraId="3CAB2AA2" w14:textId="77777777" w:rsidR="009111DE" w:rsidRPr="004E09C6" w:rsidRDefault="00891286" w:rsidP="004E09C6">
      <w:pPr>
        <w:rPr>
          <w:rFonts w:ascii="Arial" w:hAnsi="Arial" w:cs="Arial"/>
          <w:sz w:val="24"/>
          <w:szCs w:val="24"/>
        </w:rPr>
      </w:pPr>
      <w:r w:rsidRPr="004E09C6">
        <w:rPr>
          <w:rFonts w:ascii="Arial" w:hAnsi="Arial" w:cs="Arial"/>
          <w:sz w:val="24"/>
          <w:szCs w:val="24"/>
        </w:rPr>
        <w:t>Cathy's decision to add an international supply chain and a network of automated warehouses has attracted two highly visible customers, HRH the King and Prince Albert II of Monaco. Both are concerned th</w:t>
      </w:r>
      <w:r w:rsidRPr="004E09C6">
        <w:rPr>
          <w:rFonts w:ascii="Arial" w:hAnsi="Arial" w:cs="Arial"/>
          <w:sz w:val="24"/>
          <w:szCs w:val="24"/>
        </w:rPr>
        <w:t>at digitalisation could damage the quality for which the company's products are known and weaken the security of their supply. This summary estimates the annual probability of each outcome, explains how the estimates were produced, and recommends mitigatio</w:t>
      </w:r>
      <w:r w:rsidRPr="004E09C6">
        <w:rPr>
          <w:rFonts w:ascii="Arial" w:hAnsi="Arial" w:cs="Arial"/>
          <w:sz w:val="24"/>
          <w:szCs w:val="24"/>
        </w:rPr>
        <w:t xml:space="preserve">ns in order of commercial priority. It also sets out a disaster recovery design for the online shop that meets Ms </w:t>
      </w:r>
      <w:proofErr w:type="spellStart"/>
      <w:r w:rsidRPr="004E09C6">
        <w:rPr>
          <w:rFonts w:ascii="Arial" w:hAnsi="Arial" w:cs="Arial"/>
          <w:sz w:val="24"/>
          <w:szCs w:val="24"/>
        </w:rPr>
        <w:t>O'dour's</w:t>
      </w:r>
      <w:proofErr w:type="spellEnd"/>
      <w:r w:rsidRPr="004E09C6">
        <w:rPr>
          <w:rFonts w:ascii="Arial" w:hAnsi="Arial" w:cs="Arial"/>
          <w:sz w:val="24"/>
          <w:szCs w:val="24"/>
        </w:rPr>
        <w:t xml:space="preserve"> requirement of a changeover under one minute and a loss of no more than one minute of data.</w:t>
      </w:r>
    </w:p>
    <w:p w14:paraId="0D8F4AB8" w14:textId="267BD0E6" w:rsidR="009111DE" w:rsidRDefault="00891286" w:rsidP="004E09C6">
      <w:pPr>
        <w:rPr>
          <w:rFonts w:ascii="Arial" w:hAnsi="Arial" w:cs="Arial"/>
          <w:sz w:val="24"/>
          <w:szCs w:val="24"/>
        </w:rPr>
      </w:pPr>
      <w:r w:rsidRPr="004E09C6">
        <w:rPr>
          <w:rFonts w:ascii="Arial" w:hAnsi="Arial" w:cs="Arial"/>
          <w:sz w:val="24"/>
          <w:szCs w:val="24"/>
        </w:rPr>
        <w:t>The modelling indicates that, without fur</w:t>
      </w:r>
      <w:r w:rsidRPr="004E09C6">
        <w:rPr>
          <w:rFonts w:ascii="Arial" w:hAnsi="Arial" w:cs="Arial"/>
          <w:sz w:val="24"/>
          <w:szCs w:val="24"/>
        </w:rPr>
        <w:t>ther action, the company faces roughly a one in six chance each year of a material loss of product quality and roughly a one in three chance of a material disruption to availability. These figures are high enough that the royal customers would reasonably e</w:t>
      </w:r>
      <w:r w:rsidRPr="004E09C6">
        <w:rPr>
          <w:rFonts w:ascii="Arial" w:hAnsi="Arial" w:cs="Arial"/>
          <w:sz w:val="24"/>
          <w:szCs w:val="24"/>
        </w:rPr>
        <w:t>xpect visible controls. The most important recommendation is that compliance with the General Data Protection Regulation, enacted by the European Union (2016), is treated as a non-negotiable condition of trading, followed by an active-active disaster recov</w:t>
      </w:r>
      <w:r w:rsidRPr="004E09C6">
        <w:rPr>
          <w:rFonts w:ascii="Arial" w:hAnsi="Arial" w:cs="Arial"/>
          <w:sz w:val="24"/>
          <w:szCs w:val="24"/>
        </w:rPr>
        <w:t>ery architecture and targeted resilience measures in the supply chain.</w:t>
      </w:r>
    </w:p>
    <w:p w14:paraId="7709E01E" w14:textId="50E7D390" w:rsidR="004E09C6" w:rsidRDefault="004E09C6" w:rsidP="004E09C6">
      <w:pPr>
        <w:rPr>
          <w:rFonts w:ascii="Arial" w:hAnsi="Arial" w:cs="Arial"/>
          <w:sz w:val="24"/>
          <w:szCs w:val="24"/>
        </w:rPr>
      </w:pPr>
    </w:p>
    <w:p w14:paraId="68AC0E1B" w14:textId="77777777" w:rsidR="004E09C6" w:rsidRPr="004E09C6" w:rsidRDefault="004E09C6" w:rsidP="004E09C6">
      <w:pPr>
        <w:rPr>
          <w:rFonts w:ascii="Arial" w:hAnsi="Arial" w:cs="Arial"/>
          <w:sz w:val="24"/>
          <w:szCs w:val="24"/>
        </w:rPr>
      </w:pPr>
    </w:p>
    <w:p w14:paraId="4D321B5B" w14:textId="77777777" w:rsidR="009111DE" w:rsidRPr="004E09C6" w:rsidRDefault="00891286" w:rsidP="004E09C6">
      <w:pPr>
        <w:keepNext/>
        <w:spacing w:before="60" w:after="60"/>
        <w:rPr>
          <w:rFonts w:ascii="Arial" w:hAnsi="Arial" w:cs="Arial"/>
          <w:sz w:val="24"/>
          <w:szCs w:val="24"/>
        </w:rPr>
      </w:pPr>
      <w:r w:rsidRPr="004E09C6">
        <w:rPr>
          <w:rFonts w:ascii="Arial" w:hAnsi="Arial" w:cs="Arial"/>
          <w:b/>
          <w:bCs/>
          <w:color w:val="1F3864"/>
          <w:sz w:val="24"/>
          <w:szCs w:val="24"/>
        </w:rPr>
        <w:lastRenderedPageBreak/>
        <w:t>Table 1: Summary of estimated annual probabilities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800"/>
        <w:gridCol w:w="2560"/>
      </w:tblGrid>
      <w:tr w:rsidR="009111DE" w:rsidRPr="004E09C6" w14:paraId="3D0EACCF" w14:textId="77777777">
        <w:tblPrEx>
          <w:tblCellMar>
            <w:top w:w="0" w:type="dxa"/>
            <w:bottom w:w="0" w:type="dxa"/>
          </w:tblCellMar>
        </w:tblPrEx>
        <w:trPr>
          <w:cantSplit/>
          <w:tblHeader/>
        </w:trPr>
        <w:tc>
          <w:tcPr>
            <w:tcW w:w="4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65059D6" w14:textId="77777777" w:rsidR="009111DE" w:rsidRPr="004E09C6" w:rsidRDefault="00891286" w:rsidP="004E09C6">
            <w:pPr>
              <w:rPr>
                <w:rFonts w:ascii="Arial" w:hAnsi="Arial" w:cs="Arial"/>
                <w:sz w:val="24"/>
                <w:szCs w:val="24"/>
              </w:rPr>
            </w:pPr>
            <w:r w:rsidRPr="004E09C6">
              <w:rPr>
                <w:rFonts w:ascii="Arial" w:hAnsi="Arial" w:cs="Arial"/>
                <w:b/>
                <w:bCs/>
                <w:color w:val="FFFFFF"/>
                <w:sz w:val="24"/>
                <w:szCs w:val="24"/>
              </w:rPr>
              <w:t>Risk area</w:t>
            </w:r>
          </w:p>
        </w:tc>
        <w:tc>
          <w:tcPr>
            <w:tcW w:w="2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2393302D" w14:textId="77777777" w:rsidR="009111DE" w:rsidRPr="004E09C6" w:rsidRDefault="00891286" w:rsidP="004E09C6">
            <w:pPr>
              <w:rPr>
                <w:rFonts w:ascii="Arial" w:hAnsi="Arial" w:cs="Arial"/>
                <w:sz w:val="24"/>
                <w:szCs w:val="24"/>
              </w:rPr>
            </w:pPr>
            <w:r w:rsidRPr="004E09C6">
              <w:rPr>
                <w:rFonts w:ascii="Arial" w:hAnsi="Arial" w:cs="Arial"/>
                <w:b/>
                <w:bCs/>
                <w:color w:val="FFFFFF"/>
                <w:sz w:val="24"/>
                <w:szCs w:val="24"/>
              </w:rPr>
              <w:t>Deterministic estimate</w:t>
            </w:r>
          </w:p>
        </w:tc>
        <w:tc>
          <w:tcPr>
            <w:tcW w:w="25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60ABE21F" w14:textId="77777777" w:rsidR="009111DE" w:rsidRPr="004E09C6" w:rsidRDefault="00891286" w:rsidP="004E09C6">
            <w:pPr>
              <w:rPr>
                <w:rFonts w:ascii="Arial" w:hAnsi="Arial" w:cs="Arial"/>
                <w:sz w:val="24"/>
                <w:szCs w:val="24"/>
              </w:rPr>
            </w:pPr>
            <w:r w:rsidRPr="004E09C6">
              <w:rPr>
                <w:rFonts w:ascii="Arial" w:hAnsi="Arial" w:cs="Arial"/>
                <w:b/>
                <w:bCs/>
                <w:color w:val="FFFFFF"/>
                <w:sz w:val="24"/>
                <w:szCs w:val="24"/>
              </w:rPr>
              <w:t xml:space="preserve">Monte Carlo </w:t>
            </w:r>
            <w:proofErr w:type="gramStart"/>
            <w:r w:rsidRPr="004E09C6">
              <w:rPr>
                <w:rFonts w:ascii="Arial" w:hAnsi="Arial" w:cs="Arial"/>
                <w:b/>
                <w:bCs/>
                <w:color w:val="FFFFFF"/>
                <w:sz w:val="24"/>
                <w:szCs w:val="24"/>
              </w:rPr>
              <w:t>mean</w:t>
            </w:r>
            <w:proofErr w:type="gramEnd"/>
            <w:r w:rsidRPr="004E09C6">
              <w:rPr>
                <w:rFonts w:ascii="Arial" w:hAnsi="Arial" w:cs="Arial"/>
                <w:b/>
                <w:bCs/>
                <w:color w:val="FFFFFF"/>
                <w:sz w:val="24"/>
                <w:szCs w:val="24"/>
              </w:rPr>
              <w:t xml:space="preserve"> (90% interval)</w:t>
            </w:r>
          </w:p>
        </w:tc>
      </w:tr>
      <w:tr w:rsidR="009111DE" w:rsidRPr="004E09C6" w14:paraId="485604F8"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084A1A" w14:textId="77777777" w:rsidR="009111DE" w:rsidRPr="004E09C6" w:rsidRDefault="00891286" w:rsidP="004E09C6">
            <w:pPr>
              <w:rPr>
                <w:rFonts w:ascii="Arial" w:hAnsi="Arial" w:cs="Arial"/>
                <w:sz w:val="24"/>
                <w:szCs w:val="24"/>
              </w:rPr>
            </w:pPr>
            <w:r w:rsidRPr="004E09C6">
              <w:rPr>
                <w:rFonts w:ascii="Arial" w:hAnsi="Arial" w:cs="Arial"/>
                <w:sz w:val="24"/>
                <w:szCs w:val="24"/>
              </w:rPr>
              <w:t>Material loss of product quality</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0FBD89" w14:textId="77777777" w:rsidR="009111DE" w:rsidRPr="004E09C6" w:rsidRDefault="00891286" w:rsidP="004E09C6">
            <w:pPr>
              <w:rPr>
                <w:rFonts w:ascii="Arial" w:hAnsi="Arial" w:cs="Arial"/>
                <w:sz w:val="24"/>
                <w:szCs w:val="24"/>
              </w:rPr>
            </w:pPr>
            <w:r w:rsidRPr="004E09C6">
              <w:rPr>
                <w:rFonts w:ascii="Arial" w:hAnsi="Arial" w:cs="Arial"/>
                <w:sz w:val="24"/>
                <w:szCs w:val="24"/>
              </w:rPr>
              <w:t>16.9%</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E6EE70" w14:textId="77777777" w:rsidR="009111DE" w:rsidRPr="004E09C6" w:rsidRDefault="00891286" w:rsidP="004E09C6">
            <w:pPr>
              <w:rPr>
                <w:rFonts w:ascii="Arial" w:hAnsi="Arial" w:cs="Arial"/>
                <w:sz w:val="24"/>
                <w:szCs w:val="24"/>
              </w:rPr>
            </w:pPr>
            <w:r w:rsidRPr="004E09C6">
              <w:rPr>
                <w:rFonts w:ascii="Arial" w:hAnsi="Arial" w:cs="Arial"/>
                <w:sz w:val="24"/>
                <w:szCs w:val="24"/>
              </w:rPr>
              <w:t>18.3% (14.5% to 22.2%)</w:t>
            </w:r>
          </w:p>
        </w:tc>
      </w:tr>
      <w:tr w:rsidR="009111DE" w:rsidRPr="004E09C6" w14:paraId="0CE1129C" w14:textId="77777777">
        <w:tblPrEx>
          <w:tblCellMar>
            <w:top w:w="0" w:type="dxa"/>
            <w:bottom w:w="0" w:type="dxa"/>
          </w:tblCellMar>
        </w:tblPrEx>
        <w:trPr>
          <w:cantSplit/>
        </w:trPr>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098679" w14:textId="77777777" w:rsidR="009111DE" w:rsidRPr="004E09C6" w:rsidRDefault="00891286" w:rsidP="004E09C6">
            <w:pPr>
              <w:rPr>
                <w:rFonts w:ascii="Arial" w:hAnsi="Arial" w:cs="Arial"/>
                <w:sz w:val="24"/>
                <w:szCs w:val="24"/>
              </w:rPr>
            </w:pPr>
            <w:r w:rsidRPr="004E09C6">
              <w:rPr>
                <w:rFonts w:ascii="Arial" w:hAnsi="Arial" w:cs="Arial"/>
                <w:sz w:val="24"/>
                <w:szCs w:val="24"/>
              </w:rPr>
              <w:t>Material loss of availability</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88468" w14:textId="77777777" w:rsidR="009111DE" w:rsidRPr="004E09C6" w:rsidRDefault="00891286" w:rsidP="004E09C6">
            <w:pPr>
              <w:rPr>
                <w:rFonts w:ascii="Arial" w:hAnsi="Arial" w:cs="Arial"/>
                <w:sz w:val="24"/>
                <w:szCs w:val="24"/>
              </w:rPr>
            </w:pPr>
            <w:r w:rsidRPr="004E09C6">
              <w:rPr>
                <w:rFonts w:ascii="Arial" w:hAnsi="Arial" w:cs="Arial"/>
                <w:sz w:val="24"/>
                <w:szCs w:val="24"/>
              </w:rPr>
              <w:t>37.2%</w:t>
            </w:r>
          </w:p>
        </w:tc>
        <w:tc>
          <w:tcPr>
            <w:tcW w:w="2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7C6951" w14:textId="77777777" w:rsidR="009111DE" w:rsidRPr="004E09C6" w:rsidRDefault="00891286" w:rsidP="004E09C6">
            <w:pPr>
              <w:rPr>
                <w:rFonts w:ascii="Arial" w:hAnsi="Arial" w:cs="Arial"/>
                <w:sz w:val="24"/>
                <w:szCs w:val="24"/>
              </w:rPr>
            </w:pPr>
            <w:r w:rsidRPr="004E09C6">
              <w:rPr>
                <w:rFonts w:ascii="Arial" w:hAnsi="Arial" w:cs="Arial"/>
                <w:sz w:val="24"/>
                <w:szCs w:val="24"/>
              </w:rPr>
              <w:t>39.7% (33.6% to 45.9%)</w:t>
            </w:r>
          </w:p>
        </w:tc>
      </w:tr>
    </w:tbl>
    <w:p w14:paraId="1F0A6FE3" w14:textId="15753A8A" w:rsidR="004E09C6" w:rsidRPr="004E09C6" w:rsidRDefault="004E09C6" w:rsidP="004E09C6">
      <w:pPr>
        <w:spacing w:after="100"/>
        <w:rPr>
          <w:rFonts w:ascii="Arial" w:hAnsi="Arial" w:cs="Arial"/>
          <w:sz w:val="24"/>
          <w:szCs w:val="24"/>
        </w:rPr>
      </w:pPr>
    </w:p>
    <w:p w14:paraId="0624351F" w14:textId="77777777" w:rsidR="009111DE" w:rsidRPr="004E09C6" w:rsidRDefault="00891286" w:rsidP="004E09C6">
      <w:pPr>
        <w:pStyle w:val="Heading1"/>
        <w:rPr>
          <w:rFonts w:ascii="Arial" w:hAnsi="Arial" w:cs="Arial"/>
          <w:sz w:val="24"/>
          <w:szCs w:val="24"/>
        </w:rPr>
      </w:pPr>
      <w:r w:rsidRPr="004E09C6">
        <w:rPr>
          <w:rFonts w:ascii="Arial" w:hAnsi="Arial" w:cs="Arial"/>
          <w:sz w:val="24"/>
          <w:szCs w:val="24"/>
        </w:rPr>
        <w:t>2. Method selection and justification</w:t>
      </w:r>
    </w:p>
    <w:p w14:paraId="36168C8D" w14:textId="77777777" w:rsidR="009111DE" w:rsidRPr="004E09C6" w:rsidRDefault="00891286" w:rsidP="004E09C6">
      <w:pPr>
        <w:rPr>
          <w:rFonts w:ascii="Arial" w:hAnsi="Arial" w:cs="Arial"/>
          <w:sz w:val="24"/>
          <w:szCs w:val="24"/>
        </w:rPr>
      </w:pPr>
      <w:r w:rsidRPr="004E09C6">
        <w:rPr>
          <w:rFonts w:ascii="Arial" w:hAnsi="Arial" w:cs="Arial"/>
          <w:sz w:val="24"/>
          <w:szCs w:val="24"/>
        </w:rPr>
        <w:t>The brief asks for probabilities, so a purely qualitative approach such as a colour-coded risk matrix was rejected. Hubbard (2009) argues that ordinal scales often mislead because they hide the magnitude of differences between risks and invite false precis</w:t>
      </w:r>
      <w:r w:rsidRPr="004E09C6">
        <w:rPr>
          <w:rFonts w:ascii="Arial" w:hAnsi="Arial" w:cs="Arial"/>
          <w:sz w:val="24"/>
          <w:szCs w:val="24"/>
        </w:rPr>
        <w:t xml:space="preserve">ion in scoring, and that even rough quantitative estimates give decision makers more to work with. </w:t>
      </w:r>
      <w:proofErr w:type="spellStart"/>
      <w:r w:rsidRPr="004E09C6">
        <w:rPr>
          <w:rFonts w:ascii="Arial" w:hAnsi="Arial" w:cs="Arial"/>
          <w:sz w:val="24"/>
          <w:szCs w:val="24"/>
        </w:rPr>
        <w:t>Aven</w:t>
      </w:r>
      <w:proofErr w:type="spellEnd"/>
      <w:r w:rsidRPr="004E09C6">
        <w:rPr>
          <w:rFonts w:ascii="Arial" w:hAnsi="Arial" w:cs="Arial"/>
          <w:sz w:val="24"/>
          <w:szCs w:val="24"/>
        </w:rPr>
        <w:t xml:space="preserve"> and </w:t>
      </w:r>
      <w:proofErr w:type="spellStart"/>
      <w:r w:rsidRPr="004E09C6">
        <w:rPr>
          <w:rFonts w:ascii="Arial" w:hAnsi="Arial" w:cs="Arial"/>
          <w:sz w:val="24"/>
          <w:szCs w:val="24"/>
        </w:rPr>
        <w:t>Thekdi</w:t>
      </w:r>
      <w:proofErr w:type="spellEnd"/>
      <w:r w:rsidRPr="004E09C6">
        <w:rPr>
          <w:rFonts w:ascii="Arial" w:hAnsi="Arial" w:cs="Arial"/>
          <w:sz w:val="24"/>
          <w:szCs w:val="24"/>
        </w:rPr>
        <w:t xml:space="preserve"> (2025) similarly frame risk in terms of uncertainty about outcomes, and treat probabilities as judgements made on the basis of available know</w:t>
      </w:r>
      <w:r w:rsidRPr="004E09C6">
        <w:rPr>
          <w:rFonts w:ascii="Arial" w:hAnsi="Arial" w:cs="Arial"/>
          <w:sz w:val="24"/>
          <w:szCs w:val="24"/>
        </w:rPr>
        <w:t>ledge rather than as objective facts, which is why ranges rather than single values are used for the inputs in this report. The analysis therefore combines two quantitative techniques.</w:t>
      </w:r>
    </w:p>
    <w:p w14:paraId="1A1AD019" w14:textId="77777777" w:rsidR="009111DE" w:rsidRPr="004E09C6" w:rsidRDefault="00891286" w:rsidP="004E09C6">
      <w:pPr>
        <w:rPr>
          <w:rFonts w:ascii="Arial" w:hAnsi="Arial" w:cs="Arial"/>
          <w:sz w:val="24"/>
          <w:szCs w:val="24"/>
        </w:rPr>
      </w:pPr>
      <w:r w:rsidRPr="004E09C6">
        <w:rPr>
          <w:rFonts w:ascii="Arial" w:hAnsi="Arial" w:cs="Arial"/>
          <w:sz w:val="24"/>
          <w:szCs w:val="24"/>
        </w:rPr>
        <w:t>The primary technique is fault tree analysis, a structured method which</w:t>
      </w:r>
      <w:r w:rsidRPr="004E09C6">
        <w:rPr>
          <w:rFonts w:ascii="Arial" w:hAnsi="Arial" w:cs="Arial"/>
          <w:sz w:val="24"/>
          <w:szCs w:val="24"/>
        </w:rPr>
        <w:t xml:space="preserve">, as Vesely et al. (1981) describe, decomposes an undesired top event into the combinations of lower-level events that can cause it. It was chosen because the question posed by the clients is causal: what could lead to a loss of quality or availability? A </w:t>
      </w:r>
      <w:r w:rsidRPr="004E09C6">
        <w:rPr>
          <w:rFonts w:ascii="Arial" w:hAnsi="Arial" w:cs="Arial"/>
          <w:sz w:val="24"/>
          <w:szCs w:val="24"/>
        </w:rPr>
        <w:t xml:space="preserve">fault tree answers that directly, and its logic can be inspected by a sceptical customer. In this model each top event is reached through an OR gate, meaning any single contributing event is sufficient, </w:t>
      </w:r>
      <w:r w:rsidRPr="004E09C6">
        <w:rPr>
          <w:rFonts w:ascii="Arial" w:hAnsi="Arial" w:cs="Arial"/>
          <w:sz w:val="24"/>
          <w:szCs w:val="24"/>
        </w:rPr>
        <w:lastRenderedPageBreak/>
        <w:t>which reflects the way a single failure in a long int</w:t>
      </w:r>
      <w:r w:rsidRPr="004E09C6">
        <w:rPr>
          <w:rFonts w:ascii="Arial" w:hAnsi="Arial" w:cs="Arial"/>
          <w:sz w:val="24"/>
          <w:szCs w:val="24"/>
        </w:rPr>
        <w:t>ernational chain can compromise a delivery.</w:t>
      </w:r>
    </w:p>
    <w:p w14:paraId="11ADFE84" w14:textId="77777777" w:rsidR="009111DE" w:rsidRPr="004E09C6" w:rsidRDefault="00891286" w:rsidP="004E09C6">
      <w:pPr>
        <w:rPr>
          <w:rFonts w:ascii="Arial" w:hAnsi="Arial" w:cs="Arial"/>
          <w:sz w:val="24"/>
          <w:szCs w:val="24"/>
        </w:rPr>
      </w:pPr>
      <w:r w:rsidRPr="004E09C6">
        <w:rPr>
          <w:rFonts w:ascii="Arial" w:hAnsi="Arial" w:cs="Arial"/>
          <w:sz w:val="24"/>
          <w:szCs w:val="24"/>
        </w:rPr>
        <w:t xml:space="preserve">The second technique is Monte Carlo simulation, which, following Metropolis and </w:t>
      </w:r>
      <w:proofErr w:type="spellStart"/>
      <w:r w:rsidRPr="004E09C6">
        <w:rPr>
          <w:rFonts w:ascii="Arial" w:hAnsi="Arial" w:cs="Arial"/>
          <w:sz w:val="24"/>
          <w:szCs w:val="24"/>
        </w:rPr>
        <w:t>Ulam</w:t>
      </w:r>
      <w:proofErr w:type="spellEnd"/>
      <w:r w:rsidRPr="004E09C6">
        <w:rPr>
          <w:rFonts w:ascii="Arial" w:hAnsi="Arial" w:cs="Arial"/>
          <w:sz w:val="24"/>
          <w:szCs w:val="24"/>
        </w:rPr>
        <w:t xml:space="preserve"> (1949), samples repeatedly from probability distributions to show the spread of possible outcomes. It was used because the inpu</w:t>
      </w:r>
      <w:r w:rsidRPr="004E09C6">
        <w:rPr>
          <w:rFonts w:ascii="Arial" w:hAnsi="Arial" w:cs="Arial"/>
          <w:sz w:val="24"/>
          <w:szCs w:val="24"/>
        </w:rPr>
        <w:t>ts are expert estimates rather than measured frequencies, so a single point value would overstate certainty. A Bayesian network was considered and rejected because it needs historical conditional data that a business only now digitalising does not have. Ta</w:t>
      </w:r>
      <w:r w:rsidRPr="004E09C6">
        <w:rPr>
          <w:rFonts w:ascii="Arial" w:hAnsi="Arial" w:cs="Arial"/>
          <w:sz w:val="24"/>
          <w:szCs w:val="24"/>
        </w:rPr>
        <w:t>ng (2006) supports the combination of structured categorisation with estimation, since supply chain risks differ in character, from disruptions such as port closures to operational problems such as quality drift. The risk process followed the principles se</w:t>
      </w:r>
      <w:r w:rsidRPr="004E09C6">
        <w:rPr>
          <w:rFonts w:ascii="Arial" w:hAnsi="Arial" w:cs="Arial"/>
          <w:sz w:val="24"/>
          <w:szCs w:val="24"/>
        </w:rPr>
        <w:t>t out by the International Organization for Standardization (2018) in ISO 31000, namely identification, analysis and evaluation, and treatment.</w:t>
      </w:r>
    </w:p>
    <w:p w14:paraId="5B09C09A" w14:textId="77777777" w:rsidR="009111DE" w:rsidRPr="004E09C6" w:rsidRDefault="00891286" w:rsidP="004E09C6">
      <w:pPr>
        <w:pStyle w:val="Heading1"/>
        <w:rPr>
          <w:rFonts w:ascii="Arial" w:hAnsi="Arial" w:cs="Arial"/>
          <w:sz w:val="24"/>
          <w:szCs w:val="24"/>
        </w:rPr>
      </w:pPr>
      <w:r w:rsidRPr="004E09C6">
        <w:rPr>
          <w:rFonts w:ascii="Arial" w:hAnsi="Arial" w:cs="Arial"/>
          <w:sz w:val="24"/>
          <w:szCs w:val="24"/>
        </w:rPr>
        <w:t>3. Assumptions and data sources</w:t>
      </w:r>
    </w:p>
    <w:p w14:paraId="202ECC0F" w14:textId="77777777" w:rsidR="009111DE" w:rsidRPr="004E09C6" w:rsidRDefault="00891286" w:rsidP="004E09C6">
      <w:pPr>
        <w:rPr>
          <w:rFonts w:ascii="Arial" w:hAnsi="Arial" w:cs="Arial"/>
          <w:sz w:val="24"/>
          <w:szCs w:val="24"/>
        </w:rPr>
      </w:pPr>
      <w:r w:rsidRPr="004E09C6">
        <w:rPr>
          <w:rFonts w:ascii="Arial" w:hAnsi="Arial" w:cs="Arial"/>
          <w:sz w:val="24"/>
          <w:szCs w:val="24"/>
        </w:rPr>
        <w:t>Several assumptions underpin the results and should be read with them. First, co</w:t>
      </w:r>
      <w:r w:rsidRPr="004E09C6">
        <w:rPr>
          <w:rFonts w:ascii="Arial" w:hAnsi="Arial" w:cs="Arial"/>
          <w:sz w:val="24"/>
          <w:szCs w:val="24"/>
        </w:rPr>
        <w:t>ntributing events are treated as statistically independent, which simplifies the arithmetic but probably understates the risk, because a single cyberattack could simultaneously disable a warehouse and a supplier portal. Second, all probabilities are annual</w:t>
      </w:r>
      <w:r w:rsidRPr="004E09C6">
        <w:rPr>
          <w:rFonts w:ascii="Arial" w:hAnsi="Arial" w:cs="Arial"/>
          <w:sz w:val="24"/>
          <w:szCs w:val="24"/>
        </w:rPr>
        <w:t xml:space="preserve"> and describe the chance of at least one occurrence. Third, an event is material only if it causes batch loss, a delivery failure beyond the agreed window, or a quality failure visible to the customer. Fourth, the input values come from expert judgement in</w:t>
      </w:r>
      <w:r w:rsidRPr="004E09C6">
        <w:rPr>
          <w:rFonts w:ascii="Arial" w:hAnsi="Arial" w:cs="Arial"/>
          <w:sz w:val="24"/>
          <w:szCs w:val="24"/>
        </w:rPr>
        <w:t>formed by the categories of risk described by Tang (2006) and Christopher (2016), and should be calibrated against insurer data, supplier audit records and industry reports as these become available. Finally, for the simulation each estimate was given a tr</w:t>
      </w:r>
      <w:r w:rsidRPr="004E09C6">
        <w:rPr>
          <w:rFonts w:ascii="Arial" w:hAnsi="Arial" w:cs="Arial"/>
          <w:sz w:val="24"/>
          <w:szCs w:val="24"/>
        </w:rPr>
        <w:t xml:space="preserve">iangular </w:t>
      </w:r>
      <w:r w:rsidRPr="004E09C6">
        <w:rPr>
          <w:rFonts w:ascii="Arial" w:hAnsi="Arial" w:cs="Arial"/>
          <w:sz w:val="24"/>
          <w:szCs w:val="24"/>
        </w:rPr>
        <w:lastRenderedPageBreak/>
        <w:t>distribution with a lower bound at half the likely value and an upper bound at 1.75 times the likely value, reflecting the tendency for rare events to be underestimated rather than overestimated. Because the probabilities are judgements conditiona</w:t>
      </w:r>
      <w:r w:rsidRPr="004E09C6">
        <w:rPr>
          <w:rFonts w:ascii="Arial" w:hAnsi="Arial" w:cs="Arial"/>
          <w:sz w:val="24"/>
          <w:szCs w:val="24"/>
        </w:rPr>
        <w:t xml:space="preserve">l on current knowledge, the strength of that knowledge is itself a limitation, as </w:t>
      </w:r>
      <w:proofErr w:type="spellStart"/>
      <w:r w:rsidRPr="004E09C6">
        <w:rPr>
          <w:rFonts w:ascii="Arial" w:hAnsi="Arial" w:cs="Arial"/>
          <w:sz w:val="24"/>
          <w:szCs w:val="24"/>
        </w:rPr>
        <w:t>Aven</w:t>
      </w:r>
      <w:proofErr w:type="spellEnd"/>
      <w:r w:rsidRPr="004E09C6">
        <w:rPr>
          <w:rFonts w:ascii="Arial" w:hAnsi="Arial" w:cs="Arial"/>
          <w:sz w:val="24"/>
          <w:szCs w:val="24"/>
        </w:rPr>
        <w:t xml:space="preserve"> and </w:t>
      </w:r>
      <w:proofErr w:type="spellStart"/>
      <w:r w:rsidRPr="004E09C6">
        <w:rPr>
          <w:rFonts w:ascii="Arial" w:hAnsi="Arial" w:cs="Arial"/>
          <w:sz w:val="24"/>
          <w:szCs w:val="24"/>
        </w:rPr>
        <w:t>Thekdi</w:t>
      </w:r>
      <w:proofErr w:type="spellEnd"/>
      <w:r w:rsidRPr="004E09C6">
        <w:rPr>
          <w:rFonts w:ascii="Arial" w:hAnsi="Arial" w:cs="Arial"/>
          <w:sz w:val="24"/>
          <w:szCs w:val="24"/>
        </w:rPr>
        <w:t xml:space="preserve"> (2025) discuss: estimates for well-documented events such as shipping delays rest on firmer ground than those for newer exposures such as prolonged automation</w:t>
      </w:r>
      <w:r w:rsidRPr="004E09C6">
        <w:rPr>
          <w:rFonts w:ascii="Arial" w:hAnsi="Arial" w:cs="Arial"/>
          <w:sz w:val="24"/>
          <w:szCs w:val="24"/>
        </w:rPr>
        <w:t xml:space="preserve"> outages, and the results should be read with that difference in mind.</w:t>
      </w:r>
    </w:p>
    <w:p w14:paraId="3E571572" w14:textId="77777777" w:rsidR="009111DE" w:rsidRPr="004E09C6" w:rsidRDefault="00891286" w:rsidP="004E09C6">
      <w:pPr>
        <w:pStyle w:val="Heading1"/>
        <w:rPr>
          <w:rFonts w:ascii="Arial" w:hAnsi="Arial" w:cs="Arial"/>
          <w:sz w:val="24"/>
          <w:szCs w:val="24"/>
        </w:rPr>
      </w:pPr>
      <w:r w:rsidRPr="004E09C6">
        <w:rPr>
          <w:rFonts w:ascii="Arial" w:hAnsi="Arial" w:cs="Arial"/>
          <w:sz w:val="24"/>
          <w:szCs w:val="24"/>
        </w:rPr>
        <w:t>4. Calculations and results</w:t>
      </w:r>
    </w:p>
    <w:p w14:paraId="2DDE8085" w14:textId="77777777" w:rsidR="009111DE" w:rsidRPr="004E09C6" w:rsidRDefault="00891286" w:rsidP="004E09C6">
      <w:pPr>
        <w:rPr>
          <w:rFonts w:ascii="Arial" w:hAnsi="Arial" w:cs="Arial"/>
          <w:sz w:val="24"/>
          <w:szCs w:val="24"/>
        </w:rPr>
      </w:pPr>
      <w:r w:rsidRPr="004E09C6">
        <w:rPr>
          <w:rFonts w:ascii="Arial" w:hAnsi="Arial" w:cs="Arial"/>
          <w:sz w:val="24"/>
          <w:szCs w:val="24"/>
        </w:rPr>
        <w:t>For the quality top event, four contributing events were identified: substitution or contamination by an overseas supplier, a temperature or humidity excursi</w:t>
      </w:r>
      <w:r w:rsidRPr="004E09C6">
        <w:rPr>
          <w:rFonts w:ascii="Arial" w:hAnsi="Arial" w:cs="Arial"/>
          <w:sz w:val="24"/>
          <w:szCs w:val="24"/>
        </w:rPr>
        <w:t>on in transit, mishandling or mis-picking in the automated warehouses, and tampering with batch or formulation records through a cyber incident. Their estimated annual probabilities are shown in Table 2.</w:t>
      </w:r>
    </w:p>
    <w:p w14:paraId="4BF53A71" w14:textId="77777777" w:rsidR="009111DE" w:rsidRPr="004E09C6" w:rsidRDefault="00891286" w:rsidP="004E09C6">
      <w:pPr>
        <w:keepNext/>
        <w:spacing w:before="60" w:after="60"/>
        <w:rPr>
          <w:rFonts w:ascii="Arial" w:hAnsi="Arial" w:cs="Arial"/>
          <w:sz w:val="24"/>
          <w:szCs w:val="24"/>
        </w:rPr>
      </w:pPr>
      <w:r w:rsidRPr="004E09C6">
        <w:rPr>
          <w:rFonts w:ascii="Arial" w:hAnsi="Arial" w:cs="Arial"/>
          <w:b/>
          <w:bCs/>
          <w:color w:val="1F3864"/>
          <w:sz w:val="24"/>
          <w:szCs w:val="24"/>
        </w:rPr>
        <w:t>Table 2: Contributing events to loss of product 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9111DE" w:rsidRPr="004E09C6" w14:paraId="6FC18F46" w14:textId="77777777">
        <w:tblPrEx>
          <w:tblCellMar>
            <w:top w:w="0" w:type="dxa"/>
            <w:bottom w:w="0" w:type="dxa"/>
          </w:tblCellMar>
        </w:tblPrEx>
        <w:trPr>
          <w:cantSplit/>
          <w:tblHeader/>
        </w:trPr>
        <w:tc>
          <w:tcPr>
            <w:tcW w:w="73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19CFEFDF" w14:textId="77777777" w:rsidR="009111DE" w:rsidRPr="004E09C6" w:rsidRDefault="00891286" w:rsidP="004E09C6">
            <w:pPr>
              <w:rPr>
                <w:rFonts w:ascii="Arial" w:hAnsi="Arial" w:cs="Arial"/>
                <w:sz w:val="24"/>
                <w:szCs w:val="24"/>
              </w:rPr>
            </w:pPr>
            <w:r w:rsidRPr="004E09C6">
              <w:rPr>
                <w:rFonts w:ascii="Arial" w:hAnsi="Arial" w:cs="Arial"/>
                <w:b/>
                <w:bCs/>
                <w:color w:val="FFFFFF"/>
                <w:sz w:val="24"/>
                <w:szCs w:val="24"/>
              </w:rPr>
              <w:t>Event</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9320A4A" w14:textId="77777777" w:rsidR="009111DE" w:rsidRPr="004E09C6" w:rsidRDefault="00891286" w:rsidP="004E09C6">
            <w:pPr>
              <w:rPr>
                <w:rFonts w:ascii="Arial" w:hAnsi="Arial" w:cs="Arial"/>
                <w:sz w:val="24"/>
                <w:szCs w:val="24"/>
              </w:rPr>
            </w:pPr>
            <w:r w:rsidRPr="004E09C6">
              <w:rPr>
                <w:rFonts w:ascii="Arial" w:hAnsi="Arial" w:cs="Arial"/>
                <w:b/>
                <w:bCs/>
                <w:color w:val="FFFFFF"/>
                <w:sz w:val="24"/>
                <w:szCs w:val="24"/>
              </w:rPr>
              <w:t>Probability</w:t>
            </w:r>
          </w:p>
        </w:tc>
      </w:tr>
      <w:tr w:rsidR="009111DE" w:rsidRPr="004E09C6" w14:paraId="425A37F6" w14:textId="77777777">
        <w:tblPrEx>
          <w:tblCellMar>
            <w:top w:w="0" w:type="dxa"/>
            <w:bottom w:w="0" w:type="dxa"/>
          </w:tblCellMar>
        </w:tblPrEx>
        <w:trPr>
          <w:cantSplit/>
        </w:trPr>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A25AD3" w14:textId="77777777" w:rsidR="009111DE" w:rsidRPr="004E09C6" w:rsidRDefault="00891286" w:rsidP="004E09C6">
            <w:pPr>
              <w:rPr>
                <w:rFonts w:ascii="Arial" w:hAnsi="Arial" w:cs="Arial"/>
                <w:sz w:val="24"/>
                <w:szCs w:val="24"/>
              </w:rPr>
            </w:pPr>
            <w:r w:rsidRPr="004E09C6">
              <w:rPr>
                <w:rFonts w:ascii="Arial" w:hAnsi="Arial" w:cs="Arial"/>
                <w:sz w:val="24"/>
                <w:szCs w:val="24"/>
              </w:rPr>
              <w:t>Overseas supplier substitution or contamination</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834E28" w14:textId="77777777" w:rsidR="009111DE" w:rsidRPr="004E09C6" w:rsidRDefault="00891286" w:rsidP="004E09C6">
            <w:pPr>
              <w:rPr>
                <w:rFonts w:ascii="Arial" w:hAnsi="Arial" w:cs="Arial"/>
                <w:sz w:val="24"/>
                <w:szCs w:val="24"/>
              </w:rPr>
            </w:pPr>
            <w:r w:rsidRPr="004E09C6">
              <w:rPr>
                <w:rFonts w:ascii="Arial" w:hAnsi="Arial" w:cs="Arial"/>
                <w:sz w:val="24"/>
                <w:szCs w:val="24"/>
              </w:rPr>
              <w:t>0.04</w:t>
            </w:r>
          </w:p>
        </w:tc>
      </w:tr>
      <w:tr w:rsidR="009111DE" w:rsidRPr="004E09C6" w14:paraId="689F7568" w14:textId="77777777">
        <w:tblPrEx>
          <w:tblCellMar>
            <w:top w:w="0" w:type="dxa"/>
            <w:bottom w:w="0" w:type="dxa"/>
          </w:tblCellMar>
        </w:tblPrEx>
        <w:trPr>
          <w:cantSplit/>
        </w:trPr>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21B3A2" w14:textId="77777777" w:rsidR="009111DE" w:rsidRPr="004E09C6" w:rsidRDefault="00891286" w:rsidP="004E09C6">
            <w:pPr>
              <w:rPr>
                <w:rFonts w:ascii="Arial" w:hAnsi="Arial" w:cs="Arial"/>
                <w:sz w:val="24"/>
                <w:szCs w:val="24"/>
              </w:rPr>
            </w:pPr>
            <w:r w:rsidRPr="004E09C6">
              <w:rPr>
                <w:rFonts w:ascii="Arial" w:hAnsi="Arial" w:cs="Arial"/>
                <w:sz w:val="24"/>
                <w:szCs w:val="24"/>
              </w:rPr>
              <w:t>Transit temperature or humidity excursion</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F50A79" w14:textId="77777777" w:rsidR="009111DE" w:rsidRPr="004E09C6" w:rsidRDefault="00891286" w:rsidP="004E09C6">
            <w:pPr>
              <w:rPr>
                <w:rFonts w:ascii="Arial" w:hAnsi="Arial" w:cs="Arial"/>
                <w:sz w:val="24"/>
                <w:szCs w:val="24"/>
              </w:rPr>
            </w:pPr>
            <w:r w:rsidRPr="004E09C6">
              <w:rPr>
                <w:rFonts w:ascii="Arial" w:hAnsi="Arial" w:cs="Arial"/>
                <w:sz w:val="24"/>
                <w:szCs w:val="24"/>
              </w:rPr>
              <w:t>0.08</w:t>
            </w:r>
          </w:p>
        </w:tc>
      </w:tr>
      <w:tr w:rsidR="009111DE" w:rsidRPr="004E09C6" w14:paraId="4209D34B" w14:textId="77777777">
        <w:tblPrEx>
          <w:tblCellMar>
            <w:top w:w="0" w:type="dxa"/>
            <w:bottom w:w="0" w:type="dxa"/>
          </w:tblCellMar>
        </w:tblPrEx>
        <w:trPr>
          <w:cantSplit/>
        </w:trPr>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68127D" w14:textId="77777777" w:rsidR="009111DE" w:rsidRPr="004E09C6" w:rsidRDefault="00891286" w:rsidP="004E09C6">
            <w:pPr>
              <w:rPr>
                <w:rFonts w:ascii="Arial" w:hAnsi="Arial" w:cs="Arial"/>
                <w:sz w:val="24"/>
                <w:szCs w:val="24"/>
              </w:rPr>
            </w:pPr>
            <w:r w:rsidRPr="004E09C6">
              <w:rPr>
                <w:rFonts w:ascii="Arial" w:hAnsi="Arial" w:cs="Arial"/>
                <w:sz w:val="24"/>
                <w:szCs w:val="24"/>
              </w:rPr>
              <w:t>Automated warehouse mishandling or mis-picks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A1AFA" w14:textId="77777777" w:rsidR="009111DE" w:rsidRPr="004E09C6" w:rsidRDefault="00891286" w:rsidP="004E09C6">
            <w:pPr>
              <w:rPr>
                <w:rFonts w:ascii="Arial" w:hAnsi="Arial" w:cs="Arial"/>
                <w:sz w:val="24"/>
                <w:szCs w:val="24"/>
              </w:rPr>
            </w:pPr>
            <w:r w:rsidRPr="004E09C6">
              <w:rPr>
                <w:rFonts w:ascii="Arial" w:hAnsi="Arial" w:cs="Arial"/>
                <w:sz w:val="24"/>
                <w:szCs w:val="24"/>
              </w:rPr>
              <w:t>0.05</w:t>
            </w:r>
          </w:p>
        </w:tc>
      </w:tr>
      <w:tr w:rsidR="009111DE" w:rsidRPr="004E09C6" w14:paraId="79EA9DE9" w14:textId="77777777">
        <w:tblPrEx>
          <w:tblCellMar>
            <w:top w:w="0" w:type="dxa"/>
            <w:bottom w:w="0" w:type="dxa"/>
          </w:tblCellMar>
        </w:tblPrEx>
        <w:trPr>
          <w:cantSplit/>
        </w:trPr>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FBC25C" w14:textId="77777777" w:rsidR="009111DE" w:rsidRPr="004E09C6" w:rsidRDefault="00891286" w:rsidP="004E09C6">
            <w:pPr>
              <w:rPr>
                <w:rFonts w:ascii="Arial" w:hAnsi="Arial" w:cs="Arial"/>
                <w:sz w:val="24"/>
                <w:szCs w:val="24"/>
              </w:rPr>
            </w:pPr>
            <w:r w:rsidRPr="004E09C6">
              <w:rPr>
                <w:rFonts w:ascii="Arial" w:hAnsi="Arial" w:cs="Arial"/>
                <w:sz w:val="24"/>
                <w:szCs w:val="24"/>
              </w:rPr>
              <w:t>Cyber tampering with batch or formulation records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5BFC4C" w14:textId="77777777" w:rsidR="009111DE" w:rsidRPr="004E09C6" w:rsidRDefault="00891286" w:rsidP="004E09C6">
            <w:pPr>
              <w:rPr>
                <w:rFonts w:ascii="Arial" w:hAnsi="Arial" w:cs="Arial"/>
                <w:sz w:val="24"/>
                <w:szCs w:val="24"/>
              </w:rPr>
            </w:pPr>
            <w:r w:rsidRPr="004E09C6">
              <w:rPr>
                <w:rFonts w:ascii="Arial" w:hAnsi="Arial" w:cs="Arial"/>
                <w:sz w:val="24"/>
                <w:szCs w:val="24"/>
              </w:rPr>
              <w:t>0.01</w:t>
            </w:r>
          </w:p>
        </w:tc>
      </w:tr>
    </w:tbl>
    <w:p w14:paraId="38B8FD97" w14:textId="77777777" w:rsidR="009111DE" w:rsidRPr="004E09C6" w:rsidRDefault="009111DE" w:rsidP="004E09C6">
      <w:pPr>
        <w:spacing w:after="100"/>
        <w:rPr>
          <w:rFonts w:ascii="Arial" w:hAnsi="Arial" w:cs="Arial"/>
          <w:sz w:val="24"/>
          <w:szCs w:val="24"/>
        </w:rPr>
      </w:pPr>
    </w:p>
    <w:p w14:paraId="2BE54CC5" w14:textId="77777777" w:rsidR="009111DE" w:rsidRPr="004E09C6" w:rsidRDefault="00891286" w:rsidP="004E09C6">
      <w:pPr>
        <w:rPr>
          <w:rFonts w:ascii="Arial" w:hAnsi="Arial" w:cs="Arial"/>
          <w:sz w:val="24"/>
          <w:szCs w:val="24"/>
        </w:rPr>
      </w:pPr>
      <w:r w:rsidRPr="004E09C6">
        <w:rPr>
          <w:rFonts w:ascii="Arial" w:hAnsi="Arial" w:cs="Arial"/>
          <w:sz w:val="24"/>
          <w:szCs w:val="24"/>
        </w:rPr>
        <w:t>Because any one event triggers the top event, the probability of loss is one minus the probability that none occurs. This gives P(A) = 1 − (0.96 × 0</w:t>
      </w:r>
      <w:r w:rsidRPr="004E09C6">
        <w:rPr>
          <w:rFonts w:ascii="Arial" w:hAnsi="Arial" w:cs="Arial"/>
          <w:sz w:val="24"/>
          <w:szCs w:val="24"/>
        </w:rPr>
        <w:t xml:space="preserve">.92 × 0.95 × 0.99) = 1 − </w:t>
      </w:r>
      <w:r w:rsidRPr="004E09C6">
        <w:rPr>
          <w:rFonts w:ascii="Arial" w:hAnsi="Arial" w:cs="Arial"/>
          <w:sz w:val="24"/>
          <w:szCs w:val="24"/>
        </w:rPr>
        <w:lastRenderedPageBreak/>
        <w:t>0.8307 = 0.169, or about 17 per cent. The Monte Carlo run of 10,000 trials produced a mean of 18.3 per cent with a 90 per cent interval of 14.5 to 22.2 per cent. The mean sits above the deterministic value because the upper tail of</w:t>
      </w:r>
      <w:r w:rsidRPr="004E09C6">
        <w:rPr>
          <w:rFonts w:ascii="Arial" w:hAnsi="Arial" w:cs="Arial"/>
          <w:sz w:val="24"/>
          <w:szCs w:val="24"/>
        </w:rPr>
        <w:t xml:space="preserve"> each distribution is longer than the lower.</w:t>
      </w:r>
    </w:p>
    <w:p w14:paraId="16BEDCEA" w14:textId="77777777" w:rsidR="009111DE" w:rsidRPr="004E09C6" w:rsidRDefault="00891286" w:rsidP="004E09C6">
      <w:pPr>
        <w:rPr>
          <w:rFonts w:ascii="Arial" w:hAnsi="Arial" w:cs="Arial"/>
          <w:sz w:val="24"/>
          <w:szCs w:val="24"/>
        </w:rPr>
      </w:pPr>
      <w:r w:rsidRPr="004E09C6">
        <w:rPr>
          <w:rFonts w:ascii="Arial" w:hAnsi="Arial" w:cs="Arial"/>
          <w:sz w:val="24"/>
          <w:szCs w:val="24"/>
        </w:rPr>
        <w:t>For the availability top event, five contributing events were identified, shown in Table 3.</w:t>
      </w:r>
    </w:p>
    <w:p w14:paraId="332DAB17" w14:textId="77777777" w:rsidR="009111DE" w:rsidRPr="004E09C6" w:rsidRDefault="00891286" w:rsidP="004E09C6">
      <w:pPr>
        <w:keepNext/>
        <w:spacing w:before="60" w:after="60"/>
        <w:rPr>
          <w:rFonts w:ascii="Arial" w:hAnsi="Arial" w:cs="Arial"/>
          <w:sz w:val="24"/>
          <w:szCs w:val="24"/>
        </w:rPr>
      </w:pPr>
      <w:r w:rsidRPr="004E09C6">
        <w:rPr>
          <w:rFonts w:ascii="Arial" w:hAnsi="Arial" w:cs="Arial"/>
          <w:b/>
          <w:bCs/>
          <w:color w:val="1F3864"/>
          <w:sz w:val="24"/>
          <w:szCs w:val="24"/>
        </w:rPr>
        <w:t>Table 3: Contributing events to loss of availability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9111DE" w:rsidRPr="004E09C6" w14:paraId="60AFFF7F" w14:textId="77777777">
        <w:tblPrEx>
          <w:tblCellMar>
            <w:top w:w="0" w:type="dxa"/>
            <w:bottom w:w="0" w:type="dxa"/>
          </w:tblCellMar>
        </w:tblPrEx>
        <w:trPr>
          <w:cantSplit/>
          <w:tblHeader/>
        </w:trPr>
        <w:tc>
          <w:tcPr>
            <w:tcW w:w="73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7A096007" w14:textId="77777777" w:rsidR="009111DE" w:rsidRPr="004E09C6" w:rsidRDefault="00891286" w:rsidP="004E09C6">
            <w:pPr>
              <w:rPr>
                <w:rFonts w:ascii="Arial" w:hAnsi="Arial" w:cs="Arial"/>
                <w:sz w:val="24"/>
                <w:szCs w:val="24"/>
              </w:rPr>
            </w:pPr>
            <w:r w:rsidRPr="004E09C6">
              <w:rPr>
                <w:rFonts w:ascii="Arial" w:hAnsi="Arial" w:cs="Arial"/>
                <w:b/>
                <w:bCs/>
                <w:color w:val="FFFFFF"/>
                <w:sz w:val="24"/>
                <w:szCs w:val="24"/>
              </w:rPr>
              <w:t>Event</w:t>
            </w:r>
          </w:p>
        </w:tc>
        <w:tc>
          <w:tcPr>
            <w:tcW w:w="20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tcPr>
          <w:p w14:paraId="54B5E21B" w14:textId="77777777" w:rsidR="009111DE" w:rsidRPr="004E09C6" w:rsidRDefault="00891286" w:rsidP="004E09C6">
            <w:pPr>
              <w:rPr>
                <w:rFonts w:ascii="Arial" w:hAnsi="Arial" w:cs="Arial"/>
                <w:sz w:val="24"/>
                <w:szCs w:val="24"/>
              </w:rPr>
            </w:pPr>
            <w:r w:rsidRPr="004E09C6">
              <w:rPr>
                <w:rFonts w:ascii="Arial" w:hAnsi="Arial" w:cs="Arial"/>
                <w:b/>
                <w:bCs/>
                <w:color w:val="FFFFFF"/>
                <w:sz w:val="24"/>
                <w:szCs w:val="24"/>
              </w:rPr>
              <w:t>Probability</w:t>
            </w:r>
          </w:p>
        </w:tc>
      </w:tr>
      <w:tr w:rsidR="009111DE" w:rsidRPr="004E09C6" w14:paraId="30904970" w14:textId="77777777">
        <w:tblPrEx>
          <w:tblCellMar>
            <w:top w:w="0" w:type="dxa"/>
            <w:bottom w:w="0" w:type="dxa"/>
          </w:tblCellMar>
        </w:tblPrEx>
        <w:trPr>
          <w:cantSplit/>
        </w:trPr>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9953C" w14:textId="77777777" w:rsidR="009111DE" w:rsidRPr="004E09C6" w:rsidRDefault="00891286" w:rsidP="004E09C6">
            <w:pPr>
              <w:rPr>
                <w:rFonts w:ascii="Arial" w:hAnsi="Arial" w:cs="Arial"/>
                <w:sz w:val="24"/>
                <w:szCs w:val="24"/>
              </w:rPr>
            </w:pPr>
            <w:r w:rsidRPr="004E09C6">
              <w:rPr>
                <w:rFonts w:ascii="Arial" w:hAnsi="Arial" w:cs="Arial"/>
                <w:sz w:val="24"/>
                <w:szCs w:val="24"/>
              </w:rPr>
              <w:t>Port, shipping or transport disruption</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0F006E" w14:textId="77777777" w:rsidR="009111DE" w:rsidRPr="004E09C6" w:rsidRDefault="00891286" w:rsidP="004E09C6">
            <w:pPr>
              <w:rPr>
                <w:rFonts w:ascii="Arial" w:hAnsi="Arial" w:cs="Arial"/>
                <w:sz w:val="24"/>
                <w:szCs w:val="24"/>
              </w:rPr>
            </w:pPr>
            <w:r w:rsidRPr="004E09C6">
              <w:rPr>
                <w:rFonts w:ascii="Arial" w:hAnsi="Arial" w:cs="Arial"/>
                <w:sz w:val="24"/>
                <w:szCs w:val="24"/>
              </w:rPr>
              <w:t>0.15</w:t>
            </w:r>
          </w:p>
        </w:tc>
      </w:tr>
      <w:tr w:rsidR="009111DE" w:rsidRPr="004E09C6" w14:paraId="3FCE5F26" w14:textId="77777777">
        <w:tblPrEx>
          <w:tblCellMar>
            <w:top w:w="0" w:type="dxa"/>
            <w:bottom w:w="0" w:type="dxa"/>
          </w:tblCellMar>
        </w:tblPrEx>
        <w:trPr>
          <w:cantSplit/>
        </w:trPr>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5E207C" w14:textId="77777777" w:rsidR="009111DE" w:rsidRPr="004E09C6" w:rsidRDefault="00891286" w:rsidP="004E09C6">
            <w:pPr>
              <w:rPr>
                <w:rFonts w:ascii="Arial" w:hAnsi="Arial" w:cs="Arial"/>
                <w:sz w:val="24"/>
                <w:szCs w:val="24"/>
              </w:rPr>
            </w:pPr>
            <w:r w:rsidRPr="004E09C6">
              <w:rPr>
                <w:rFonts w:ascii="Arial" w:hAnsi="Arial" w:cs="Arial"/>
                <w:sz w:val="24"/>
                <w:szCs w:val="24"/>
              </w:rPr>
              <w:t>Single supplier failure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1103DE" w14:textId="77777777" w:rsidR="009111DE" w:rsidRPr="004E09C6" w:rsidRDefault="00891286" w:rsidP="004E09C6">
            <w:pPr>
              <w:rPr>
                <w:rFonts w:ascii="Arial" w:hAnsi="Arial" w:cs="Arial"/>
                <w:sz w:val="24"/>
                <w:szCs w:val="24"/>
              </w:rPr>
            </w:pPr>
            <w:r w:rsidRPr="004E09C6">
              <w:rPr>
                <w:rFonts w:ascii="Arial" w:hAnsi="Arial" w:cs="Arial"/>
                <w:sz w:val="24"/>
                <w:szCs w:val="24"/>
              </w:rPr>
              <w:t>0.06</w:t>
            </w:r>
          </w:p>
        </w:tc>
      </w:tr>
      <w:tr w:rsidR="009111DE" w:rsidRPr="004E09C6" w14:paraId="390989D2" w14:textId="77777777">
        <w:tblPrEx>
          <w:tblCellMar>
            <w:top w:w="0" w:type="dxa"/>
            <w:bottom w:w="0" w:type="dxa"/>
          </w:tblCellMar>
        </w:tblPrEx>
        <w:trPr>
          <w:cantSplit/>
        </w:trPr>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250640" w14:textId="77777777" w:rsidR="009111DE" w:rsidRPr="004E09C6" w:rsidRDefault="00891286" w:rsidP="004E09C6">
            <w:pPr>
              <w:rPr>
                <w:rFonts w:ascii="Arial" w:hAnsi="Arial" w:cs="Arial"/>
                <w:sz w:val="24"/>
                <w:szCs w:val="24"/>
              </w:rPr>
            </w:pPr>
            <w:r w:rsidRPr="004E09C6">
              <w:rPr>
                <w:rFonts w:ascii="Arial" w:hAnsi="Arial" w:cs="Arial"/>
                <w:sz w:val="24"/>
                <w:szCs w:val="24"/>
              </w:rPr>
              <w:t>Warehouse automation outage lasting over 24 hours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6DB01A" w14:textId="77777777" w:rsidR="009111DE" w:rsidRPr="004E09C6" w:rsidRDefault="00891286" w:rsidP="004E09C6">
            <w:pPr>
              <w:rPr>
                <w:rFonts w:ascii="Arial" w:hAnsi="Arial" w:cs="Arial"/>
                <w:sz w:val="24"/>
                <w:szCs w:val="24"/>
              </w:rPr>
            </w:pPr>
            <w:r w:rsidRPr="004E09C6">
              <w:rPr>
                <w:rFonts w:ascii="Arial" w:hAnsi="Arial" w:cs="Arial"/>
                <w:sz w:val="24"/>
                <w:szCs w:val="24"/>
              </w:rPr>
              <w:t>0.10</w:t>
            </w:r>
          </w:p>
        </w:tc>
      </w:tr>
      <w:tr w:rsidR="009111DE" w:rsidRPr="004E09C6" w14:paraId="786D0AA4" w14:textId="77777777">
        <w:tblPrEx>
          <w:tblCellMar>
            <w:top w:w="0" w:type="dxa"/>
            <w:bottom w:w="0" w:type="dxa"/>
          </w:tblCellMar>
        </w:tblPrEx>
        <w:trPr>
          <w:cantSplit/>
        </w:trPr>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915DB" w14:textId="77777777" w:rsidR="009111DE" w:rsidRPr="004E09C6" w:rsidRDefault="00891286" w:rsidP="004E09C6">
            <w:pPr>
              <w:rPr>
                <w:rFonts w:ascii="Arial" w:hAnsi="Arial" w:cs="Arial"/>
                <w:sz w:val="24"/>
                <w:szCs w:val="24"/>
              </w:rPr>
            </w:pPr>
            <w:r w:rsidRPr="004E09C6">
              <w:rPr>
                <w:rFonts w:ascii="Arial" w:hAnsi="Arial" w:cs="Arial"/>
                <w:sz w:val="24"/>
                <w:szCs w:val="24"/>
              </w:rPr>
              <w:t>Ransomware or cyberattack on operations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C840DD" w14:textId="77777777" w:rsidR="009111DE" w:rsidRPr="004E09C6" w:rsidRDefault="00891286" w:rsidP="004E09C6">
            <w:pPr>
              <w:rPr>
                <w:rFonts w:ascii="Arial" w:hAnsi="Arial" w:cs="Arial"/>
                <w:sz w:val="24"/>
                <w:szCs w:val="24"/>
              </w:rPr>
            </w:pPr>
            <w:r w:rsidRPr="004E09C6">
              <w:rPr>
                <w:rFonts w:ascii="Arial" w:hAnsi="Arial" w:cs="Arial"/>
                <w:sz w:val="24"/>
                <w:szCs w:val="24"/>
              </w:rPr>
              <w:t>0.05</w:t>
            </w:r>
          </w:p>
        </w:tc>
      </w:tr>
      <w:tr w:rsidR="009111DE" w:rsidRPr="004E09C6" w14:paraId="74990904" w14:textId="77777777">
        <w:tblPrEx>
          <w:tblCellMar>
            <w:top w:w="0" w:type="dxa"/>
            <w:bottom w:w="0" w:type="dxa"/>
          </w:tblCellMar>
        </w:tblPrEx>
        <w:trPr>
          <w:cantSplit/>
        </w:trPr>
        <w:tc>
          <w:tcPr>
            <w:tcW w:w="73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A3E23CD" w14:textId="77777777" w:rsidR="009111DE" w:rsidRPr="004E09C6" w:rsidRDefault="00891286" w:rsidP="004E09C6">
            <w:pPr>
              <w:rPr>
                <w:rFonts w:ascii="Arial" w:hAnsi="Arial" w:cs="Arial"/>
                <w:sz w:val="24"/>
                <w:szCs w:val="24"/>
              </w:rPr>
            </w:pPr>
            <w:r w:rsidRPr="004E09C6">
              <w:rPr>
                <w:rFonts w:ascii="Arial" w:hAnsi="Arial" w:cs="Arial"/>
                <w:sz w:val="24"/>
                <w:szCs w:val="24"/>
              </w:rPr>
              <w:t>Customs or regulatory delay</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F02A72" w14:textId="77777777" w:rsidR="009111DE" w:rsidRPr="004E09C6" w:rsidRDefault="00891286" w:rsidP="004E09C6">
            <w:pPr>
              <w:rPr>
                <w:rFonts w:ascii="Arial" w:hAnsi="Arial" w:cs="Arial"/>
                <w:sz w:val="24"/>
                <w:szCs w:val="24"/>
              </w:rPr>
            </w:pPr>
            <w:r w:rsidRPr="004E09C6">
              <w:rPr>
                <w:rFonts w:ascii="Arial" w:hAnsi="Arial" w:cs="Arial"/>
                <w:sz w:val="24"/>
                <w:szCs w:val="24"/>
              </w:rPr>
              <w:t>0.08</w:t>
            </w:r>
          </w:p>
        </w:tc>
      </w:tr>
    </w:tbl>
    <w:p w14:paraId="2DFBC1BC" w14:textId="77777777" w:rsidR="009111DE" w:rsidRPr="004E09C6" w:rsidRDefault="009111DE" w:rsidP="004E09C6">
      <w:pPr>
        <w:spacing w:after="100"/>
        <w:rPr>
          <w:rFonts w:ascii="Arial" w:hAnsi="Arial" w:cs="Arial"/>
          <w:sz w:val="24"/>
          <w:szCs w:val="24"/>
        </w:rPr>
      </w:pPr>
    </w:p>
    <w:p w14:paraId="2E4416B3" w14:textId="77777777" w:rsidR="009111DE" w:rsidRPr="004E09C6" w:rsidRDefault="00891286" w:rsidP="004E09C6">
      <w:pPr>
        <w:rPr>
          <w:rFonts w:ascii="Arial" w:hAnsi="Arial" w:cs="Arial"/>
          <w:sz w:val="24"/>
          <w:szCs w:val="24"/>
        </w:rPr>
      </w:pPr>
      <w:r w:rsidRPr="004E09C6">
        <w:rPr>
          <w:rFonts w:ascii="Arial" w:hAnsi="Arial" w:cs="Arial"/>
          <w:sz w:val="24"/>
          <w:szCs w:val="24"/>
        </w:rPr>
        <w:t>Applying the same logic, P(B) = 1 − (0.85 × 0.94 × 0.90 × 0.95 × 0.92) = 1 − 0.6285 = 0.372, or about 37 per cent. The simulation gave a mean of 39.7 per cent with a 90 per cent interval of 33.6 to 45.9 per cent. Shipping disruption and automation outage a</w:t>
      </w:r>
      <w:r w:rsidRPr="004E09C6">
        <w:rPr>
          <w:rFonts w:ascii="Arial" w:hAnsi="Arial" w:cs="Arial"/>
          <w:sz w:val="24"/>
          <w:szCs w:val="24"/>
        </w:rPr>
        <w:t>re the two largest contributors, which is consistent with the observation that long, tightly coupled chains are exposed to single points of failure, as Chopra and Sodhi (2004) observe.</w:t>
      </w:r>
    </w:p>
    <w:p w14:paraId="05279CDC" w14:textId="77777777" w:rsidR="009111DE" w:rsidRPr="004E09C6" w:rsidRDefault="00891286" w:rsidP="004E09C6">
      <w:pPr>
        <w:rPr>
          <w:rFonts w:ascii="Arial" w:hAnsi="Arial" w:cs="Arial"/>
          <w:sz w:val="24"/>
          <w:szCs w:val="24"/>
        </w:rPr>
      </w:pPr>
      <w:r w:rsidRPr="004E09C6">
        <w:rPr>
          <w:rFonts w:ascii="Arial" w:hAnsi="Arial" w:cs="Arial"/>
          <w:sz w:val="24"/>
          <w:szCs w:val="24"/>
        </w:rPr>
        <w:t xml:space="preserve">A sensitivity test shows the benefit of targeted mitigation. If dual sourcing, alternative routing and warehouse redundancy halve the supplier and transit-quality risks, reduce shipping and automation outage risk by a third, and halve the cyber risks, the </w:t>
      </w:r>
      <w:r w:rsidRPr="004E09C6">
        <w:rPr>
          <w:rFonts w:ascii="Arial" w:hAnsi="Arial" w:cs="Arial"/>
          <w:sz w:val="24"/>
          <w:szCs w:val="24"/>
        </w:rPr>
        <w:lastRenderedPageBreak/>
        <w:t>deterministic probability of quality loss falls to about 8.7 per cent and of availability loss to about 27.7 per cent. The corresponding simulation means are 9.5 per cent and 29.7 per cent. Quality risk therefore responds strongly to control, while availab</w:t>
      </w:r>
      <w:r w:rsidRPr="004E09C6">
        <w:rPr>
          <w:rFonts w:ascii="Arial" w:hAnsi="Arial" w:cs="Arial"/>
          <w:sz w:val="24"/>
          <w:szCs w:val="24"/>
        </w:rPr>
        <w:t>ility risk remains material because customs delay and residual shipping risk are largely outside the company's control. The expected financial consequence of each event should be added by multiplying the single loss expectancy by its annual rate of occurre</w:t>
      </w:r>
      <w:r w:rsidRPr="004E09C6">
        <w:rPr>
          <w:rFonts w:ascii="Arial" w:hAnsi="Arial" w:cs="Arial"/>
          <w:sz w:val="24"/>
          <w:szCs w:val="24"/>
        </w:rPr>
        <w:t>nce, an approach used in the economics of security investment, as discussed by Gordon and Loeb (2002), using cost figures from the scenario.</w:t>
      </w:r>
    </w:p>
    <w:p w14:paraId="5BB95081" w14:textId="77777777" w:rsidR="009111DE" w:rsidRPr="004E09C6" w:rsidRDefault="00891286" w:rsidP="004E09C6">
      <w:pPr>
        <w:pStyle w:val="Heading1"/>
        <w:rPr>
          <w:rFonts w:ascii="Arial" w:hAnsi="Arial" w:cs="Arial"/>
          <w:sz w:val="24"/>
          <w:szCs w:val="24"/>
        </w:rPr>
      </w:pPr>
      <w:r w:rsidRPr="004E09C6">
        <w:rPr>
          <w:rFonts w:ascii="Arial" w:hAnsi="Arial" w:cs="Arial"/>
          <w:sz w:val="24"/>
          <w:szCs w:val="24"/>
        </w:rPr>
        <w:t>5. Recommendations in order of commercial priority</w:t>
      </w:r>
    </w:p>
    <w:p w14:paraId="6F52419F" w14:textId="77777777" w:rsidR="009111DE" w:rsidRPr="004E09C6" w:rsidRDefault="00891286" w:rsidP="004E09C6">
      <w:pPr>
        <w:rPr>
          <w:rFonts w:ascii="Arial" w:hAnsi="Arial" w:cs="Arial"/>
          <w:sz w:val="24"/>
          <w:szCs w:val="24"/>
        </w:rPr>
      </w:pPr>
      <w:r w:rsidRPr="004E09C6">
        <w:rPr>
          <w:rFonts w:ascii="Arial" w:hAnsi="Arial" w:cs="Arial"/>
          <w:sz w:val="24"/>
          <w:szCs w:val="24"/>
        </w:rPr>
        <w:t>The first priority is security and data protection compliance, b</w:t>
      </w:r>
      <w:r w:rsidRPr="004E09C6">
        <w:rPr>
          <w:rFonts w:ascii="Arial" w:hAnsi="Arial" w:cs="Arial"/>
          <w:sz w:val="24"/>
          <w:szCs w:val="24"/>
        </w:rPr>
        <w:t>ecause failure carries legal penalties and reputational damage that would be especially severe with royal customers. The company should encrypt personal data at rest and in transit and apply role-based access with multi-factor authentication, which support</w:t>
      </w:r>
      <w:r w:rsidRPr="004E09C6">
        <w:rPr>
          <w:rFonts w:ascii="Arial" w:hAnsi="Arial" w:cs="Arial"/>
          <w:sz w:val="24"/>
          <w:szCs w:val="24"/>
        </w:rPr>
        <w:t>s the security of processing required by Article 32 of the General Data Protection Regulation of the European Union (2016). Where logistics partners or cloud providers handle personal data, written processor agreements are required under Article 28, and an</w:t>
      </w:r>
      <w:r w:rsidRPr="004E09C6">
        <w:rPr>
          <w:rFonts w:ascii="Arial" w:hAnsi="Arial" w:cs="Arial"/>
          <w:sz w:val="24"/>
          <w:szCs w:val="24"/>
        </w:rPr>
        <w:t xml:space="preserve">y transfer outside the European Economic Area must rely on a valid mechanism under Articles 44 to 49. A procedure capable of notifying the supervisory authority within 72 hours of a breach is required by Article 33, and a Data Protection Impact Assessment </w:t>
      </w:r>
      <w:r w:rsidRPr="004E09C6">
        <w:rPr>
          <w:rFonts w:ascii="Arial" w:hAnsi="Arial" w:cs="Arial"/>
          <w:sz w:val="24"/>
          <w:szCs w:val="24"/>
        </w:rPr>
        <w:t>under Article 35 is advisable given the profile of the customers and the volume of data the automated systems will generate.</w:t>
      </w:r>
    </w:p>
    <w:p w14:paraId="41AC6C05" w14:textId="77777777" w:rsidR="009111DE" w:rsidRPr="004E09C6" w:rsidRDefault="00891286" w:rsidP="004E09C6">
      <w:pPr>
        <w:rPr>
          <w:rFonts w:ascii="Arial" w:hAnsi="Arial" w:cs="Arial"/>
          <w:sz w:val="24"/>
          <w:szCs w:val="24"/>
        </w:rPr>
      </w:pPr>
      <w:r w:rsidRPr="004E09C6">
        <w:rPr>
          <w:rFonts w:ascii="Arial" w:hAnsi="Arial" w:cs="Arial"/>
          <w:sz w:val="24"/>
          <w:szCs w:val="24"/>
        </w:rPr>
        <w:t xml:space="preserve">The second priority is protection of quality, where the modelled probability is about 17 per cent. The most effective measures act </w:t>
      </w:r>
      <w:r w:rsidRPr="004E09C6">
        <w:rPr>
          <w:rFonts w:ascii="Arial" w:hAnsi="Arial" w:cs="Arial"/>
          <w:sz w:val="24"/>
          <w:szCs w:val="24"/>
        </w:rPr>
        <w:t xml:space="preserve">at the points of greatest exposure: audited and certified overseas suppliers, tamper-evident packaging linked to batch traceability, </w:t>
      </w:r>
      <w:r w:rsidRPr="004E09C6">
        <w:rPr>
          <w:rFonts w:ascii="Arial" w:hAnsi="Arial" w:cs="Arial"/>
          <w:sz w:val="24"/>
          <w:szCs w:val="24"/>
        </w:rPr>
        <w:lastRenderedPageBreak/>
        <w:t xml:space="preserve">and environmental sensors with automatic alerts during transit and storage. Human spot-checks should be retained alongside </w:t>
      </w:r>
      <w:r w:rsidRPr="004E09C6">
        <w:rPr>
          <w:rFonts w:ascii="Arial" w:hAnsi="Arial" w:cs="Arial"/>
          <w:sz w:val="24"/>
          <w:szCs w:val="24"/>
        </w:rPr>
        <w:t>automated picking, because automation can repeat an error at scale before it is noticed. Batch and formulation records should be protected with integrity controls such as cryptographic hashing and write-once logging so that tampering is detectable.</w:t>
      </w:r>
    </w:p>
    <w:p w14:paraId="0EB8CE04" w14:textId="77777777" w:rsidR="009111DE" w:rsidRPr="004E09C6" w:rsidRDefault="00891286" w:rsidP="004E09C6">
      <w:pPr>
        <w:rPr>
          <w:rFonts w:ascii="Arial" w:hAnsi="Arial" w:cs="Arial"/>
          <w:sz w:val="24"/>
          <w:szCs w:val="24"/>
        </w:rPr>
      </w:pPr>
      <w:r w:rsidRPr="004E09C6">
        <w:rPr>
          <w:rFonts w:ascii="Arial" w:hAnsi="Arial" w:cs="Arial"/>
          <w:sz w:val="24"/>
          <w:szCs w:val="24"/>
        </w:rPr>
        <w:t>The thi</w:t>
      </w:r>
      <w:r w:rsidRPr="004E09C6">
        <w:rPr>
          <w:rFonts w:ascii="Arial" w:hAnsi="Arial" w:cs="Arial"/>
          <w:sz w:val="24"/>
          <w:szCs w:val="24"/>
        </w:rPr>
        <w:t>rd priority is supply chain resilience, where the modelled probability is about 37 per cent. Chopra and Sodhi (2004) show that every mitigation carries a cost, so redundancy should be concentrated where it removes the largest contribution to risk. Dual sou</w:t>
      </w:r>
      <w:r w:rsidRPr="004E09C6">
        <w:rPr>
          <w:rFonts w:ascii="Arial" w:hAnsi="Arial" w:cs="Arial"/>
          <w:sz w:val="24"/>
          <w:szCs w:val="24"/>
        </w:rPr>
        <w:t xml:space="preserve">rcing of critical inputs, multiple carriers and routes, and safety stock reserved for the royal customers address the biggest drivers in the model. </w:t>
      </w:r>
      <w:proofErr w:type="spellStart"/>
      <w:r w:rsidRPr="004E09C6">
        <w:rPr>
          <w:rFonts w:ascii="Arial" w:hAnsi="Arial" w:cs="Arial"/>
          <w:sz w:val="24"/>
          <w:szCs w:val="24"/>
        </w:rPr>
        <w:t>Sheffi</w:t>
      </w:r>
      <w:proofErr w:type="spellEnd"/>
      <w:r w:rsidRPr="004E09C6">
        <w:rPr>
          <w:rFonts w:ascii="Arial" w:hAnsi="Arial" w:cs="Arial"/>
          <w:sz w:val="24"/>
          <w:szCs w:val="24"/>
        </w:rPr>
        <w:t xml:space="preserve"> (2005) emphasises that resilient firms combine redundancy with flexibility and early detection, so su</w:t>
      </w:r>
      <w:r w:rsidRPr="004E09C6">
        <w:rPr>
          <w:rFonts w:ascii="Arial" w:hAnsi="Arial" w:cs="Arial"/>
          <w:sz w:val="24"/>
          <w:szCs w:val="24"/>
        </w:rPr>
        <w:t>pply visibility tools should be introduced alongside stock buffers. The warehouse operational technology network should be separated from corporate systems, with a documented manual fallback so that picking can continue if automation fails, and insurance s</w:t>
      </w:r>
      <w:r w:rsidRPr="004E09C6">
        <w:rPr>
          <w:rFonts w:ascii="Arial" w:hAnsi="Arial" w:cs="Arial"/>
          <w:sz w:val="24"/>
          <w:szCs w:val="24"/>
        </w:rPr>
        <w:t>hould be reviewed to cover the residual exposure.</w:t>
      </w:r>
    </w:p>
    <w:p w14:paraId="62C42CE4" w14:textId="77777777" w:rsidR="009111DE" w:rsidRPr="004E09C6" w:rsidRDefault="00891286" w:rsidP="004E09C6">
      <w:pPr>
        <w:pStyle w:val="Heading1"/>
        <w:rPr>
          <w:rFonts w:ascii="Arial" w:hAnsi="Arial" w:cs="Arial"/>
          <w:sz w:val="24"/>
          <w:szCs w:val="24"/>
        </w:rPr>
      </w:pPr>
      <w:r w:rsidRPr="004E09C6">
        <w:rPr>
          <w:rFonts w:ascii="Arial" w:hAnsi="Arial" w:cs="Arial"/>
          <w:sz w:val="24"/>
          <w:szCs w:val="24"/>
        </w:rPr>
        <w:t>6. Business continuity and disaster recovery</w:t>
      </w:r>
    </w:p>
    <w:p w14:paraId="1AFB24EF" w14:textId="77777777" w:rsidR="009111DE" w:rsidRPr="004E09C6" w:rsidRDefault="00891286" w:rsidP="004E09C6">
      <w:pPr>
        <w:rPr>
          <w:rFonts w:ascii="Arial" w:hAnsi="Arial" w:cs="Arial"/>
          <w:sz w:val="24"/>
          <w:szCs w:val="24"/>
        </w:rPr>
      </w:pPr>
      <w:r w:rsidRPr="004E09C6">
        <w:rPr>
          <w:rFonts w:ascii="Arial" w:hAnsi="Arial" w:cs="Arial"/>
          <w:sz w:val="24"/>
          <w:szCs w:val="24"/>
        </w:rPr>
        <w:t xml:space="preserve">Ms </w:t>
      </w:r>
      <w:proofErr w:type="spellStart"/>
      <w:r w:rsidRPr="004E09C6">
        <w:rPr>
          <w:rFonts w:ascii="Arial" w:hAnsi="Arial" w:cs="Arial"/>
          <w:sz w:val="24"/>
          <w:szCs w:val="24"/>
        </w:rPr>
        <w:t>O'dour</w:t>
      </w:r>
      <w:proofErr w:type="spellEnd"/>
      <w:r w:rsidRPr="004E09C6">
        <w:rPr>
          <w:rFonts w:ascii="Arial" w:hAnsi="Arial" w:cs="Arial"/>
          <w:sz w:val="24"/>
          <w:szCs w:val="24"/>
        </w:rPr>
        <w:t xml:space="preserve"> requires the online shop to be available at all times with a changeover under one minute and a loss of no more than one minute of data. In the vocabula</w:t>
      </w:r>
      <w:r w:rsidRPr="004E09C6">
        <w:rPr>
          <w:rFonts w:ascii="Arial" w:hAnsi="Arial" w:cs="Arial"/>
          <w:sz w:val="24"/>
          <w:szCs w:val="24"/>
        </w:rPr>
        <w:t>ry of contingency planning these are a recovery time objective and a recovery point objective of one minute each, terms defined in the contingency planning guidance of the National Institute of Standards and Technology (2010), and a continuity programme sh</w:t>
      </w:r>
      <w:r w:rsidRPr="004E09C6">
        <w:rPr>
          <w:rFonts w:ascii="Arial" w:hAnsi="Arial" w:cs="Arial"/>
          <w:sz w:val="24"/>
          <w:szCs w:val="24"/>
        </w:rPr>
        <w:t xml:space="preserve">ould be aligned with ISO 22301, published by the International Organization for Standardization (2019). Traditional warm or cold standby designs cannot meet a one-minute recovery </w:t>
      </w:r>
      <w:r w:rsidRPr="004E09C6">
        <w:rPr>
          <w:rFonts w:ascii="Arial" w:hAnsi="Arial" w:cs="Arial"/>
          <w:sz w:val="24"/>
          <w:szCs w:val="24"/>
        </w:rPr>
        <w:lastRenderedPageBreak/>
        <w:t>time because the standby environment must be started, synchronised and reache</w:t>
      </w:r>
      <w:r w:rsidRPr="004E09C6">
        <w:rPr>
          <w:rFonts w:ascii="Arial" w:hAnsi="Arial" w:cs="Arial"/>
          <w:sz w:val="24"/>
          <w:szCs w:val="24"/>
        </w:rPr>
        <w:t>d through DNS changes that may take longer than the target.</w:t>
      </w:r>
    </w:p>
    <w:p w14:paraId="2FC4B333" w14:textId="77777777" w:rsidR="009111DE" w:rsidRPr="004E09C6" w:rsidRDefault="00891286" w:rsidP="004E09C6">
      <w:pPr>
        <w:rPr>
          <w:rFonts w:ascii="Arial" w:hAnsi="Arial" w:cs="Arial"/>
          <w:sz w:val="24"/>
          <w:szCs w:val="24"/>
        </w:rPr>
      </w:pPr>
      <w:r w:rsidRPr="004E09C6">
        <w:rPr>
          <w:rFonts w:ascii="Arial" w:hAnsi="Arial" w:cs="Arial"/>
          <w:sz w:val="24"/>
          <w:szCs w:val="24"/>
        </w:rPr>
        <w:t>The recommended design is therefore active-active, in which two cloud regions, and ideally three, serve live traffic simultaneously. A global load balancer with continuous health checks directs us</w:t>
      </w:r>
      <w:r w:rsidRPr="004E09C6">
        <w:rPr>
          <w:rFonts w:ascii="Arial" w:hAnsi="Arial" w:cs="Arial"/>
          <w:sz w:val="24"/>
          <w:szCs w:val="24"/>
        </w:rPr>
        <w:t xml:space="preserve">ers to a healthy region, using anycast addressing or very short time-to-live values to avoid slow DNS propagation. Application services run as stateless containers in every region so that no cold start is needed. The data tier uses a multi-region database </w:t>
      </w:r>
      <w:r w:rsidRPr="004E09C6">
        <w:rPr>
          <w:rFonts w:ascii="Arial" w:hAnsi="Arial" w:cs="Arial"/>
          <w:sz w:val="24"/>
          <w:szCs w:val="24"/>
        </w:rPr>
        <w:t xml:space="preserve">with synchronous or near-synchronous replication. </w:t>
      </w:r>
      <w:proofErr w:type="spellStart"/>
      <w:r w:rsidRPr="004E09C6">
        <w:rPr>
          <w:rFonts w:ascii="Arial" w:hAnsi="Arial" w:cs="Arial"/>
          <w:sz w:val="24"/>
          <w:szCs w:val="24"/>
        </w:rPr>
        <w:t>Kleppmann</w:t>
      </w:r>
      <w:proofErr w:type="spellEnd"/>
      <w:r w:rsidRPr="004E09C6">
        <w:rPr>
          <w:rFonts w:ascii="Arial" w:hAnsi="Arial" w:cs="Arial"/>
          <w:sz w:val="24"/>
          <w:szCs w:val="24"/>
        </w:rPr>
        <w:t xml:space="preserve"> (2017) explains that asynchronous replication risks losing recently acknowledged writes during failover, while synchronous replication avoids this at the price of higher write latency, so the reco</w:t>
      </w:r>
      <w:r w:rsidRPr="004E09C6">
        <w:rPr>
          <w:rFonts w:ascii="Arial" w:hAnsi="Arial" w:cs="Arial"/>
          <w:sz w:val="24"/>
          <w:szCs w:val="24"/>
        </w:rPr>
        <w:t xml:space="preserve">very point objective of one minute is met comfortably but latency between regions must be tested against the shop's performance needs. Because replication also copies corruption and ransomware, immutable backups held in a separate account should be added, </w:t>
      </w:r>
      <w:r w:rsidRPr="004E09C6">
        <w:rPr>
          <w:rFonts w:ascii="Arial" w:hAnsi="Arial" w:cs="Arial"/>
          <w:sz w:val="24"/>
          <w:szCs w:val="24"/>
        </w:rPr>
        <w:t>and failover should be rehearsed through scheduled game-day exercises rather than assumed to work.</w:t>
      </w:r>
    </w:p>
    <w:p w14:paraId="281B8538" w14:textId="77777777" w:rsidR="009111DE" w:rsidRPr="004E09C6" w:rsidRDefault="00891286" w:rsidP="004E09C6">
      <w:pPr>
        <w:rPr>
          <w:rFonts w:ascii="Arial" w:hAnsi="Arial" w:cs="Arial"/>
          <w:sz w:val="24"/>
          <w:szCs w:val="24"/>
        </w:rPr>
      </w:pPr>
      <w:r w:rsidRPr="004E09C6">
        <w:rPr>
          <w:rFonts w:ascii="Arial" w:hAnsi="Arial" w:cs="Arial"/>
          <w:sz w:val="24"/>
          <w:szCs w:val="24"/>
        </w:rPr>
        <w:t>All three leading hyperscale providers, Amazon Web Services, Microsoft Azure and Google Cloud, offer multi-region databases and global load balancing capable</w:t>
      </w:r>
      <w:r w:rsidRPr="004E09C6">
        <w:rPr>
          <w:rFonts w:ascii="Arial" w:hAnsi="Arial" w:cs="Arial"/>
          <w:sz w:val="24"/>
          <w:szCs w:val="24"/>
        </w:rPr>
        <w:t xml:space="preserve"> of supporting this design, but their specific services, service level agreements and prices change often and must be verified at the time of selection. The recommendation is to shortlist one provider with strong European regions and to decide on four crit</w:t>
      </w:r>
      <w:r w:rsidRPr="004E09C6">
        <w:rPr>
          <w:rFonts w:ascii="Arial" w:hAnsi="Arial" w:cs="Arial"/>
          <w:sz w:val="24"/>
          <w:szCs w:val="24"/>
        </w:rPr>
        <w:t xml:space="preserve">eria: data residency options that support GDPR obligations, the published availability commitment, the cost of cross-region data transfer, and the existing skills of the team. The final choice should be supported by current provider documentation cited in </w:t>
      </w:r>
      <w:r w:rsidRPr="004E09C6">
        <w:rPr>
          <w:rFonts w:ascii="Arial" w:hAnsi="Arial" w:cs="Arial"/>
          <w:sz w:val="24"/>
          <w:szCs w:val="24"/>
        </w:rPr>
        <w:t>the final report.</w:t>
      </w:r>
    </w:p>
    <w:p w14:paraId="42D27914" w14:textId="6E730BB0" w:rsidR="009111DE" w:rsidRPr="004E09C6" w:rsidRDefault="00891286" w:rsidP="004E09C6">
      <w:pPr>
        <w:rPr>
          <w:rFonts w:ascii="Arial" w:hAnsi="Arial" w:cs="Arial"/>
          <w:sz w:val="24"/>
          <w:szCs w:val="24"/>
        </w:rPr>
      </w:pPr>
      <w:r w:rsidRPr="004E09C6">
        <w:rPr>
          <w:rFonts w:ascii="Arial" w:hAnsi="Arial" w:cs="Arial"/>
          <w:sz w:val="24"/>
          <w:szCs w:val="24"/>
        </w:rPr>
        <w:t xml:space="preserve">Vendor lock-in is a genuine strategic risk. </w:t>
      </w:r>
      <w:proofErr w:type="spellStart"/>
      <w:r w:rsidRPr="004E09C6">
        <w:rPr>
          <w:rFonts w:ascii="Arial" w:hAnsi="Arial" w:cs="Arial"/>
          <w:sz w:val="24"/>
          <w:szCs w:val="24"/>
        </w:rPr>
        <w:t>Opara</w:t>
      </w:r>
      <w:proofErr w:type="spellEnd"/>
      <w:r w:rsidRPr="004E09C6">
        <w:rPr>
          <w:rFonts w:ascii="Arial" w:hAnsi="Arial" w:cs="Arial"/>
          <w:sz w:val="24"/>
          <w:szCs w:val="24"/>
        </w:rPr>
        <w:t xml:space="preserve">-Martins et al. (2016) describe lock-in as arising when data formats, interfaces and proprietary services make migration technically </w:t>
      </w:r>
      <w:r w:rsidRPr="004E09C6">
        <w:rPr>
          <w:rFonts w:ascii="Arial" w:hAnsi="Arial" w:cs="Arial"/>
          <w:sz w:val="24"/>
          <w:szCs w:val="24"/>
        </w:rPr>
        <w:lastRenderedPageBreak/>
        <w:t>or financially prohibitive. The company can limit this b</w:t>
      </w:r>
      <w:r w:rsidRPr="004E09C6">
        <w:rPr>
          <w:rFonts w:ascii="Arial" w:hAnsi="Arial" w:cs="Arial"/>
          <w:sz w:val="24"/>
          <w:szCs w:val="24"/>
        </w:rPr>
        <w:t xml:space="preserve">y packaging applications as containers orchestrated by Kubernetes, defining infrastructure as code so it can be recreated elsewhere, and preferring open-standard databases such as PostgreSQL-compatible engines over proprietary ones, accepting some loss of </w:t>
      </w:r>
      <w:r w:rsidRPr="004E09C6">
        <w:rPr>
          <w:rFonts w:ascii="Arial" w:hAnsi="Arial" w:cs="Arial"/>
          <w:sz w:val="24"/>
          <w:szCs w:val="24"/>
        </w:rPr>
        <w:t>convenience in exchange for portability. A documented exit plan and tested data export routes should be maintained. A full multi-cloud failover would reduce dependence further but adds cost and operational complexity, so it should be adopted only if the co</w:t>
      </w:r>
      <w:r w:rsidRPr="004E09C6">
        <w:rPr>
          <w:rFonts w:ascii="Arial" w:hAnsi="Arial" w:cs="Arial"/>
          <w:sz w:val="24"/>
          <w:szCs w:val="24"/>
        </w:rPr>
        <w:t>mmercial value of the extra protection is demonstrated.</w:t>
      </w:r>
    </w:p>
    <w:p w14:paraId="4E944FEE" w14:textId="2ACB3401" w:rsidR="004E09C6" w:rsidRPr="004E09C6" w:rsidRDefault="004E09C6" w:rsidP="004E09C6">
      <w:pPr>
        <w:rPr>
          <w:rFonts w:ascii="Arial" w:hAnsi="Arial" w:cs="Arial"/>
          <w:sz w:val="24"/>
          <w:szCs w:val="24"/>
        </w:rPr>
      </w:pPr>
    </w:p>
    <w:p w14:paraId="5096DC56" w14:textId="4D5373D5" w:rsidR="004E09C6" w:rsidRDefault="004E09C6" w:rsidP="004E09C6">
      <w:pPr>
        <w:rPr>
          <w:rFonts w:ascii="Arial" w:hAnsi="Arial" w:cs="Arial"/>
          <w:sz w:val="24"/>
          <w:szCs w:val="24"/>
        </w:rPr>
      </w:pPr>
    </w:p>
    <w:p w14:paraId="158F98F5" w14:textId="40EBBC08" w:rsidR="004E09C6" w:rsidRDefault="004E09C6" w:rsidP="004E09C6">
      <w:pPr>
        <w:rPr>
          <w:rFonts w:ascii="Arial" w:hAnsi="Arial" w:cs="Arial"/>
          <w:sz w:val="24"/>
          <w:szCs w:val="24"/>
        </w:rPr>
      </w:pPr>
    </w:p>
    <w:p w14:paraId="2E994E42" w14:textId="4A5BFB2A" w:rsidR="004E09C6" w:rsidRDefault="004E09C6" w:rsidP="004E09C6">
      <w:pPr>
        <w:rPr>
          <w:rFonts w:ascii="Arial" w:hAnsi="Arial" w:cs="Arial"/>
          <w:sz w:val="24"/>
          <w:szCs w:val="24"/>
        </w:rPr>
      </w:pPr>
    </w:p>
    <w:p w14:paraId="45BF5525" w14:textId="583252F1" w:rsidR="004E09C6" w:rsidRDefault="004E09C6" w:rsidP="004E09C6">
      <w:pPr>
        <w:rPr>
          <w:rFonts w:ascii="Arial" w:hAnsi="Arial" w:cs="Arial"/>
          <w:sz w:val="24"/>
          <w:szCs w:val="24"/>
        </w:rPr>
      </w:pPr>
    </w:p>
    <w:p w14:paraId="1DA4D3F9" w14:textId="5764CAED" w:rsidR="004E09C6" w:rsidRDefault="004E09C6" w:rsidP="004E09C6">
      <w:pPr>
        <w:rPr>
          <w:rFonts w:ascii="Arial" w:hAnsi="Arial" w:cs="Arial"/>
          <w:sz w:val="24"/>
          <w:szCs w:val="24"/>
        </w:rPr>
      </w:pPr>
    </w:p>
    <w:p w14:paraId="50C9CD46" w14:textId="68D4D4D6" w:rsidR="004E09C6" w:rsidRDefault="004E09C6" w:rsidP="004E09C6">
      <w:pPr>
        <w:rPr>
          <w:rFonts w:ascii="Arial" w:hAnsi="Arial" w:cs="Arial"/>
          <w:sz w:val="24"/>
          <w:szCs w:val="24"/>
        </w:rPr>
      </w:pPr>
    </w:p>
    <w:p w14:paraId="47F610D9" w14:textId="45F13F61" w:rsidR="004E09C6" w:rsidRDefault="004E09C6" w:rsidP="004E09C6">
      <w:pPr>
        <w:rPr>
          <w:rFonts w:ascii="Arial" w:hAnsi="Arial" w:cs="Arial"/>
          <w:sz w:val="24"/>
          <w:szCs w:val="24"/>
        </w:rPr>
      </w:pPr>
    </w:p>
    <w:p w14:paraId="53195151" w14:textId="0D516B8B" w:rsidR="004E09C6" w:rsidRDefault="004E09C6" w:rsidP="004E09C6">
      <w:pPr>
        <w:rPr>
          <w:rFonts w:ascii="Arial" w:hAnsi="Arial" w:cs="Arial"/>
          <w:sz w:val="24"/>
          <w:szCs w:val="24"/>
        </w:rPr>
      </w:pPr>
    </w:p>
    <w:p w14:paraId="0797622E" w14:textId="559E3868" w:rsidR="004E09C6" w:rsidRDefault="004E09C6" w:rsidP="004E09C6">
      <w:pPr>
        <w:rPr>
          <w:rFonts w:ascii="Arial" w:hAnsi="Arial" w:cs="Arial"/>
          <w:sz w:val="24"/>
          <w:szCs w:val="24"/>
        </w:rPr>
      </w:pPr>
    </w:p>
    <w:p w14:paraId="31E6C260" w14:textId="7CBBB97C" w:rsidR="004E09C6" w:rsidRDefault="004E09C6" w:rsidP="004E09C6">
      <w:pPr>
        <w:rPr>
          <w:rFonts w:ascii="Arial" w:hAnsi="Arial" w:cs="Arial"/>
          <w:sz w:val="24"/>
          <w:szCs w:val="24"/>
        </w:rPr>
      </w:pPr>
    </w:p>
    <w:p w14:paraId="48C7B75E" w14:textId="30D26B97" w:rsidR="004E09C6" w:rsidRDefault="004E09C6" w:rsidP="004E09C6">
      <w:pPr>
        <w:rPr>
          <w:rFonts w:ascii="Arial" w:hAnsi="Arial" w:cs="Arial"/>
          <w:sz w:val="24"/>
          <w:szCs w:val="24"/>
        </w:rPr>
      </w:pPr>
    </w:p>
    <w:p w14:paraId="263A2E4A" w14:textId="77777777" w:rsidR="004E09C6" w:rsidRPr="004E09C6" w:rsidRDefault="004E09C6" w:rsidP="004E09C6">
      <w:pPr>
        <w:rPr>
          <w:rFonts w:ascii="Arial" w:hAnsi="Arial" w:cs="Arial"/>
          <w:sz w:val="24"/>
          <w:szCs w:val="24"/>
        </w:rPr>
      </w:pPr>
    </w:p>
    <w:p w14:paraId="1F7BD5E6" w14:textId="77777777" w:rsidR="009111DE" w:rsidRPr="004E09C6" w:rsidRDefault="00891286" w:rsidP="004E09C6">
      <w:pPr>
        <w:pStyle w:val="Heading1"/>
        <w:rPr>
          <w:rFonts w:ascii="Arial" w:hAnsi="Arial" w:cs="Arial"/>
          <w:sz w:val="24"/>
          <w:szCs w:val="24"/>
        </w:rPr>
      </w:pPr>
      <w:r w:rsidRPr="004E09C6">
        <w:rPr>
          <w:rFonts w:ascii="Arial" w:hAnsi="Arial" w:cs="Arial"/>
          <w:sz w:val="24"/>
          <w:szCs w:val="24"/>
        </w:rPr>
        <w:lastRenderedPageBreak/>
        <w:t>7. Conclusion</w:t>
      </w:r>
    </w:p>
    <w:p w14:paraId="6CC9A607" w14:textId="77777777" w:rsidR="009111DE" w:rsidRPr="004E09C6" w:rsidRDefault="00891286" w:rsidP="004E09C6">
      <w:pPr>
        <w:rPr>
          <w:rFonts w:ascii="Arial" w:hAnsi="Arial" w:cs="Arial"/>
          <w:sz w:val="24"/>
          <w:szCs w:val="24"/>
        </w:rPr>
      </w:pPr>
      <w:r w:rsidRPr="004E09C6">
        <w:rPr>
          <w:rFonts w:ascii="Arial" w:hAnsi="Arial" w:cs="Arial"/>
          <w:sz w:val="24"/>
          <w:szCs w:val="24"/>
        </w:rPr>
        <w:t>The analysis shows that digitalisation exposes the company to a material probability of both quality and availability failures, estimated at about 17 and 37 per cent a year before mitiga</w:t>
      </w:r>
      <w:r w:rsidRPr="004E09C6">
        <w:rPr>
          <w:rFonts w:ascii="Arial" w:hAnsi="Arial" w:cs="Arial"/>
          <w:sz w:val="24"/>
          <w:szCs w:val="24"/>
        </w:rPr>
        <w:t>tion. The recommended programme, led by GDPR compliance, then quality controls at supplier and warehouse level, then targeted supply chain redundancy and an active-active disaster recovery platform, is expected to reduce the quality risk roughly by half an</w:t>
      </w:r>
      <w:r w:rsidRPr="004E09C6">
        <w:rPr>
          <w:rFonts w:ascii="Arial" w:hAnsi="Arial" w:cs="Arial"/>
          <w:sz w:val="24"/>
          <w:szCs w:val="24"/>
        </w:rPr>
        <w:t xml:space="preserve">d the availability risk by about a quarter. These findings depend on assumed inputs, so the model should be recalibrated as operating data are collected and reviewed at least annually, consistent with the view of </w:t>
      </w:r>
      <w:proofErr w:type="spellStart"/>
      <w:r w:rsidRPr="004E09C6">
        <w:rPr>
          <w:rFonts w:ascii="Arial" w:hAnsi="Arial" w:cs="Arial"/>
          <w:sz w:val="24"/>
          <w:szCs w:val="24"/>
        </w:rPr>
        <w:t>Aven</w:t>
      </w:r>
      <w:proofErr w:type="spellEnd"/>
      <w:r w:rsidRPr="004E09C6">
        <w:rPr>
          <w:rFonts w:ascii="Arial" w:hAnsi="Arial" w:cs="Arial"/>
          <w:sz w:val="24"/>
          <w:szCs w:val="24"/>
        </w:rPr>
        <w:t xml:space="preserve"> and </w:t>
      </w:r>
      <w:proofErr w:type="spellStart"/>
      <w:r w:rsidRPr="004E09C6">
        <w:rPr>
          <w:rFonts w:ascii="Arial" w:hAnsi="Arial" w:cs="Arial"/>
          <w:sz w:val="24"/>
          <w:szCs w:val="24"/>
        </w:rPr>
        <w:t>Thekdi</w:t>
      </w:r>
      <w:proofErr w:type="spellEnd"/>
      <w:r w:rsidRPr="004E09C6">
        <w:rPr>
          <w:rFonts w:ascii="Arial" w:hAnsi="Arial" w:cs="Arial"/>
          <w:sz w:val="24"/>
          <w:szCs w:val="24"/>
        </w:rPr>
        <w:t xml:space="preserve"> (2025) that assessments mus</w:t>
      </w:r>
      <w:r w:rsidRPr="004E09C6">
        <w:rPr>
          <w:rFonts w:ascii="Arial" w:hAnsi="Arial" w:cs="Arial"/>
          <w:sz w:val="24"/>
          <w:szCs w:val="24"/>
        </w:rPr>
        <w:t>t be updated as knowledge changes. Doing so will give the royal customers evidence of continuing control rather than a single point-in-time assurance.</w:t>
      </w:r>
    </w:p>
    <w:p w14:paraId="0EF353B5" w14:textId="77777777" w:rsidR="009111DE" w:rsidRPr="004E09C6" w:rsidRDefault="00891286" w:rsidP="004E09C6">
      <w:pPr>
        <w:pStyle w:val="Heading1"/>
        <w:rPr>
          <w:rFonts w:ascii="Arial" w:hAnsi="Arial" w:cs="Arial"/>
          <w:sz w:val="24"/>
          <w:szCs w:val="24"/>
        </w:rPr>
      </w:pPr>
      <w:r w:rsidRPr="004E09C6">
        <w:rPr>
          <w:rFonts w:ascii="Arial" w:hAnsi="Arial" w:cs="Arial"/>
          <w:sz w:val="24"/>
          <w:szCs w:val="24"/>
        </w:rPr>
        <w:t>References</w:t>
      </w:r>
    </w:p>
    <w:p w14:paraId="27DEEF4B" w14:textId="77777777" w:rsidR="009111DE" w:rsidRPr="004E09C6" w:rsidRDefault="00891286" w:rsidP="004E09C6">
      <w:pPr>
        <w:spacing w:after="100"/>
        <w:ind w:left="567" w:hanging="567"/>
        <w:rPr>
          <w:rFonts w:ascii="Arial" w:hAnsi="Arial" w:cs="Arial"/>
          <w:sz w:val="24"/>
          <w:szCs w:val="24"/>
        </w:rPr>
      </w:pPr>
      <w:proofErr w:type="spellStart"/>
      <w:r w:rsidRPr="004E09C6">
        <w:rPr>
          <w:rFonts w:ascii="Arial" w:hAnsi="Arial" w:cs="Arial"/>
          <w:sz w:val="24"/>
          <w:szCs w:val="24"/>
        </w:rPr>
        <w:t>Aven</w:t>
      </w:r>
      <w:proofErr w:type="spellEnd"/>
      <w:r w:rsidRPr="004E09C6">
        <w:rPr>
          <w:rFonts w:ascii="Arial" w:hAnsi="Arial" w:cs="Arial"/>
          <w:sz w:val="24"/>
          <w:szCs w:val="24"/>
        </w:rPr>
        <w:t xml:space="preserve">, T. and </w:t>
      </w:r>
      <w:proofErr w:type="spellStart"/>
      <w:r w:rsidRPr="004E09C6">
        <w:rPr>
          <w:rFonts w:ascii="Arial" w:hAnsi="Arial" w:cs="Arial"/>
          <w:sz w:val="24"/>
          <w:szCs w:val="24"/>
        </w:rPr>
        <w:t>Thekdi</w:t>
      </w:r>
      <w:proofErr w:type="spellEnd"/>
      <w:r w:rsidRPr="004E09C6">
        <w:rPr>
          <w:rFonts w:ascii="Arial" w:hAnsi="Arial" w:cs="Arial"/>
          <w:sz w:val="24"/>
          <w:szCs w:val="24"/>
        </w:rPr>
        <w:t xml:space="preserve">, S. (2025) </w:t>
      </w:r>
      <w:r w:rsidRPr="004E09C6">
        <w:rPr>
          <w:rFonts w:ascii="Arial" w:hAnsi="Arial" w:cs="Arial"/>
          <w:i/>
          <w:iCs/>
          <w:sz w:val="24"/>
          <w:szCs w:val="24"/>
        </w:rPr>
        <w:t>Risk science: an introduction</w:t>
      </w:r>
      <w:r w:rsidRPr="004E09C6">
        <w:rPr>
          <w:rFonts w:ascii="Arial" w:hAnsi="Arial" w:cs="Arial"/>
          <w:sz w:val="24"/>
          <w:szCs w:val="24"/>
        </w:rPr>
        <w:t xml:space="preserve">. 2nd </w:t>
      </w:r>
      <w:proofErr w:type="spellStart"/>
      <w:r w:rsidRPr="004E09C6">
        <w:rPr>
          <w:rFonts w:ascii="Arial" w:hAnsi="Arial" w:cs="Arial"/>
          <w:sz w:val="24"/>
          <w:szCs w:val="24"/>
        </w:rPr>
        <w:t>edn</w:t>
      </w:r>
      <w:proofErr w:type="spellEnd"/>
      <w:r w:rsidRPr="004E09C6">
        <w:rPr>
          <w:rFonts w:ascii="Arial" w:hAnsi="Arial" w:cs="Arial"/>
          <w:sz w:val="24"/>
          <w:szCs w:val="24"/>
        </w:rPr>
        <w:t>. Oxon: Routledge.</w:t>
      </w:r>
    </w:p>
    <w:p w14:paraId="2E8ECDFD"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t>Chopra</w:t>
      </w:r>
      <w:r w:rsidRPr="004E09C6">
        <w:rPr>
          <w:rFonts w:ascii="Arial" w:hAnsi="Arial" w:cs="Arial"/>
          <w:sz w:val="24"/>
          <w:szCs w:val="24"/>
        </w:rPr>
        <w:t xml:space="preserve">, S. and Sodhi, M.S. (2004) 'Managing risk to avoid supply-chain breakdown', </w:t>
      </w:r>
      <w:r w:rsidRPr="004E09C6">
        <w:rPr>
          <w:rFonts w:ascii="Arial" w:hAnsi="Arial" w:cs="Arial"/>
          <w:i/>
          <w:iCs/>
          <w:sz w:val="24"/>
          <w:szCs w:val="24"/>
        </w:rPr>
        <w:t>MIT Sloan Management Review</w:t>
      </w:r>
      <w:r w:rsidRPr="004E09C6">
        <w:rPr>
          <w:rFonts w:ascii="Arial" w:hAnsi="Arial" w:cs="Arial"/>
          <w:sz w:val="24"/>
          <w:szCs w:val="24"/>
        </w:rPr>
        <w:t>, 46(1), pp. 53–61.</w:t>
      </w:r>
    </w:p>
    <w:p w14:paraId="37813029"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t xml:space="preserve">Christopher, M. (2016) </w:t>
      </w:r>
      <w:r w:rsidRPr="004E09C6">
        <w:rPr>
          <w:rFonts w:ascii="Arial" w:hAnsi="Arial" w:cs="Arial"/>
          <w:i/>
          <w:iCs/>
          <w:sz w:val="24"/>
          <w:szCs w:val="24"/>
        </w:rPr>
        <w:t>Logistics and supply chain management</w:t>
      </w:r>
      <w:r w:rsidRPr="004E09C6">
        <w:rPr>
          <w:rFonts w:ascii="Arial" w:hAnsi="Arial" w:cs="Arial"/>
          <w:sz w:val="24"/>
          <w:szCs w:val="24"/>
        </w:rPr>
        <w:t xml:space="preserve">. 5th </w:t>
      </w:r>
      <w:proofErr w:type="spellStart"/>
      <w:r w:rsidRPr="004E09C6">
        <w:rPr>
          <w:rFonts w:ascii="Arial" w:hAnsi="Arial" w:cs="Arial"/>
          <w:sz w:val="24"/>
          <w:szCs w:val="24"/>
        </w:rPr>
        <w:t>edn</w:t>
      </w:r>
      <w:proofErr w:type="spellEnd"/>
      <w:r w:rsidRPr="004E09C6">
        <w:rPr>
          <w:rFonts w:ascii="Arial" w:hAnsi="Arial" w:cs="Arial"/>
          <w:sz w:val="24"/>
          <w:szCs w:val="24"/>
        </w:rPr>
        <w:t>. Harlow: Pearson.</w:t>
      </w:r>
    </w:p>
    <w:p w14:paraId="72217925"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t xml:space="preserve">European Union (2016) </w:t>
      </w:r>
      <w:r w:rsidRPr="004E09C6">
        <w:rPr>
          <w:rFonts w:ascii="Arial" w:hAnsi="Arial" w:cs="Arial"/>
          <w:i/>
          <w:iCs/>
          <w:sz w:val="24"/>
          <w:szCs w:val="24"/>
        </w:rPr>
        <w:t>Regulation (EU) 2016/6</w:t>
      </w:r>
      <w:r w:rsidRPr="004E09C6">
        <w:rPr>
          <w:rFonts w:ascii="Arial" w:hAnsi="Arial" w:cs="Arial"/>
          <w:i/>
          <w:iCs/>
          <w:sz w:val="24"/>
          <w:szCs w:val="24"/>
        </w:rPr>
        <w:t>79 of the European Parliament and of the Council (General Data Protection Regulation)</w:t>
      </w:r>
      <w:r w:rsidRPr="004E09C6">
        <w:rPr>
          <w:rFonts w:ascii="Arial" w:hAnsi="Arial" w:cs="Arial"/>
          <w:sz w:val="24"/>
          <w:szCs w:val="24"/>
        </w:rPr>
        <w:t>. Official Journal of the European Union, L119, pp. 1–88.</w:t>
      </w:r>
    </w:p>
    <w:p w14:paraId="093181FF"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t xml:space="preserve">Gordon, L.A. and Loeb, M.P. (2002) 'The economics of information security investment', </w:t>
      </w:r>
      <w:r w:rsidRPr="004E09C6">
        <w:rPr>
          <w:rFonts w:ascii="Arial" w:hAnsi="Arial" w:cs="Arial"/>
          <w:i/>
          <w:iCs/>
          <w:sz w:val="24"/>
          <w:szCs w:val="24"/>
        </w:rPr>
        <w:t>ACM Transactions on Inform</w:t>
      </w:r>
      <w:r w:rsidRPr="004E09C6">
        <w:rPr>
          <w:rFonts w:ascii="Arial" w:hAnsi="Arial" w:cs="Arial"/>
          <w:i/>
          <w:iCs/>
          <w:sz w:val="24"/>
          <w:szCs w:val="24"/>
        </w:rPr>
        <w:t>ation and System Security</w:t>
      </w:r>
      <w:r w:rsidRPr="004E09C6">
        <w:rPr>
          <w:rFonts w:ascii="Arial" w:hAnsi="Arial" w:cs="Arial"/>
          <w:sz w:val="24"/>
          <w:szCs w:val="24"/>
        </w:rPr>
        <w:t>, 5(4), pp. 438–457.</w:t>
      </w:r>
    </w:p>
    <w:p w14:paraId="4B54C95C"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lastRenderedPageBreak/>
        <w:t xml:space="preserve">Hubbard, D.W. (2009) </w:t>
      </w:r>
      <w:r w:rsidRPr="004E09C6">
        <w:rPr>
          <w:rFonts w:ascii="Arial" w:hAnsi="Arial" w:cs="Arial"/>
          <w:i/>
          <w:iCs/>
          <w:sz w:val="24"/>
          <w:szCs w:val="24"/>
        </w:rPr>
        <w:t>The failure of risk management: why it's broken and how to fix it</w:t>
      </w:r>
      <w:r w:rsidRPr="004E09C6">
        <w:rPr>
          <w:rFonts w:ascii="Arial" w:hAnsi="Arial" w:cs="Arial"/>
          <w:sz w:val="24"/>
          <w:szCs w:val="24"/>
        </w:rPr>
        <w:t>. Hoboken, NJ: Wiley.</w:t>
      </w:r>
    </w:p>
    <w:p w14:paraId="0EBDB155"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t xml:space="preserve">International Organization for Standardization (2018) </w:t>
      </w:r>
      <w:r w:rsidRPr="004E09C6">
        <w:rPr>
          <w:rFonts w:ascii="Arial" w:hAnsi="Arial" w:cs="Arial"/>
          <w:i/>
          <w:iCs/>
          <w:sz w:val="24"/>
          <w:szCs w:val="24"/>
        </w:rPr>
        <w:t>ISO 31000:2018 Risk management: guidelines</w:t>
      </w:r>
      <w:r w:rsidRPr="004E09C6">
        <w:rPr>
          <w:rFonts w:ascii="Arial" w:hAnsi="Arial" w:cs="Arial"/>
          <w:sz w:val="24"/>
          <w:szCs w:val="24"/>
        </w:rPr>
        <w:t>. Gene</w:t>
      </w:r>
      <w:r w:rsidRPr="004E09C6">
        <w:rPr>
          <w:rFonts w:ascii="Arial" w:hAnsi="Arial" w:cs="Arial"/>
          <w:sz w:val="24"/>
          <w:szCs w:val="24"/>
        </w:rPr>
        <w:t>va: ISO.</w:t>
      </w:r>
    </w:p>
    <w:p w14:paraId="1E48B45E"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t xml:space="preserve">International Organization for Standardization (2019) </w:t>
      </w:r>
      <w:r w:rsidRPr="004E09C6">
        <w:rPr>
          <w:rFonts w:ascii="Arial" w:hAnsi="Arial" w:cs="Arial"/>
          <w:i/>
          <w:iCs/>
          <w:sz w:val="24"/>
          <w:szCs w:val="24"/>
        </w:rPr>
        <w:t>ISO 22301:2019 Security and resilience: business continuity management systems: requirements</w:t>
      </w:r>
      <w:r w:rsidRPr="004E09C6">
        <w:rPr>
          <w:rFonts w:ascii="Arial" w:hAnsi="Arial" w:cs="Arial"/>
          <w:sz w:val="24"/>
          <w:szCs w:val="24"/>
        </w:rPr>
        <w:t>. Geneva: ISO.</w:t>
      </w:r>
    </w:p>
    <w:p w14:paraId="663C2D3F" w14:textId="77777777" w:rsidR="009111DE" w:rsidRPr="004E09C6" w:rsidRDefault="00891286" w:rsidP="004E09C6">
      <w:pPr>
        <w:spacing w:after="100"/>
        <w:ind w:left="567" w:hanging="567"/>
        <w:rPr>
          <w:rFonts w:ascii="Arial" w:hAnsi="Arial" w:cs="Arial"/>
          <w:sz w:val="24"/>
          <w:szCs w:val="24"/>
        </w:rPr>
      </w:pPr>
      <w:proofErr w:type="spellStart"/>
      <w:r w:rsidRPr="004E09C6">
        <w:rPr>
          <w:rFonts w:ascii="Arial" w:hAnsi="Arial" w:cs="Arial"/>
          <w:sz w:val="24"/>
          <w:szCs w:val="24"/>
        </w:rPr>
        <w:t>Kleppmann</w:t>
      </w:r>
      <w:proofErr w:type="spellEnd"/>
      <w:r w:rsidRPr="004E09C6">
        <w:rPr>
          <w:rFonts w:ascii="Arial" w:hAnsi="Arial" w:cs="Arial"/>
          <w:sz w:val="24"/>
          <w:szCs w:val="24"/>
        </w:rPr>
        <w:t xml:space="preserve">, M. (2017) </w:t>
      </w:r>
      <w:r w:rsidRPr="004E09C6">
        <w:rPr>
          <w:rFonts w:ascii="Arial" w:hAnsi="Arial" w:cs="Arial"/>
          <w:i/>
          <w:iCs/>
          <w:sz w:val="24"/>
          <w:szCs w:val="24"/>
        </w:rPr>
        <w:t>Designing data-intensive applications</w:t>
      </w:r>
      <w:r w:rsidRPr="004E09C6">
        <w:rPr>
          <w:rFonts w:ascii="Arial" w:hAnsi="Arial" w:cs="Arial"/>
          <w:sz w:val="24"/>
          <w:szCs w:val="24"/>
        </w:rPr>
        <w:t>. Sebastopol, CA: O'Reilly Media.</w:t>
      </w:r>
    </w:p>
    <w:p w14:paraId="2DA0C572"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t xml:space="preserve">Metropolis, N. and </w:t>
      </w:r>
      <w:proofErr w:type="spellStart"/>
      <w:r w:rsidRPr="004E09C6">
        <w:rPr>
          <w:rFonts w:ascii="Arial" w:hAnsi="Arial" w:cs="Arial"/>
          <w:sz w:val="24"/>
          <w:szCs w:val="24"/>
        </w:rPr>
        <w:t>Ulam</w:t>
      </w:r>
      <w:proofErr w:type="spellEnd"/>
      <w:r w:rsidRPr="004E09C6">
        <w:rPr>
          <w:rFonts w:ascii="Arial" w:hAnsi="Arial" w:cs="Arial"/>
          <w:sz w:val="24"/>
          <w:szCs w:val="24"/>
        </w:rPr>
        <w:t xml:space="preserve">, S. (1949) 'The Monte Carlo method', </w:t>
      </w:r>
      <w:r w:rsidRPr="004E09C6">
        <w:rPr>
          <w:rFonts w:ascii="Arial" w:hAnsi="Arial" w:cs="Arial"/>
          <w:i/>
          <w:iCs/>
          <w:sz w:val="24"/>
          <w:szCs w:val="24"/>
        </w:rPr>
        <w:t>Journal of the American Statistical Association</w:t>
      </w:r>
      <w:r w:rsidRPr="004E09C6">
        <w:rPr>
          <w:rFonts w:ascii="Arial" w:hAnsi="Arial" w:cs="Arial"/>
          <w:sz w:val="24"/>
          <w:szCs w:val="24"/>
        </w:rPr>
        <w:t>, 44(247), pp. 335–341.</w:t>
      </w:r>
    </w:p>
    <w:p w14:paraId="0BC36E0D"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t>National Institute of Standards and Technology (2010)</w:t>
      </w:r>
      <w:r w:rsidRPr="004E09C6">
        <w:rPr>
          <w:rFonts w:ascii="Arial" w:hAnsi="Arial" w:cs="Arial"/>
          <w:sz w:val="24"/>
          <w:szCs w:val="24"/>
        </w:rPr>
        <w:t xml:space="preserve"> </w:t>
      </w:r>
      <w:r w:rsidRPr="004E09C6">
        <w:rPr>
          <w:rFonts w:ascii="Arial" w:hAnsi="Arial" w:cs="Arial"/>
          <w:i/>
          <w:iCs/>
          <w:sz w:val="24"/>
          <w:szCs w:val="24"/>
        </w:rPr>
        <w:t>Contingency planning guide for federal information systems</w:t>
      </w:r>
      <w:r w:rsidRPr="004E09C6">
        <w:rPr>
          <w:rFonts w:ascii="Arial" w:hAnsi="Arial" w:cs="Arial"/>
          <w:sz w:val="24"/>
          <w:szCs w:val="24"/>
        </w:rPr>
        <w:t>. NIST Special Publication 800-34 Rev. 1. Gaithersburg, MD: NIST.</w:t>
      </w:r>
    </w:p>
    <w:p w14:paraId="63618EB6" w14:textId="77777777" w:rsidR="009111DE" w:rsidRPr="004E09C6" w:rsidRDefault="00891286" w:rsidP="004E09C6">
      <w:pPr>
        <w:spacing w:after="100"/>
        <w:ind w:left="567" w:hanging="567"/>
        <w:rPr>
          <w:rFonts w:ascii="Arial" w:hAnsi="Arial" w:cs="Arial"/>
          <w:sz w:val="24"/>
          <w:szCs w:val="24"/>
        </w:rPr>
      </w:pPr>
      <w:proofErr w:type="spellStart"/>
      <w:r w:rsidRPr="004E09C6">
        <w:rPr>
          <w:rFonts w:ascii="Arial" w:hAnsi="Arial" w:cs="Arial"/>
          <w:sz w:val="24"/>
          <w:szCs w:val="24"/>
        </w:rPr>
        <w:t>Opara</w:t>
      </w:r>
      <w:proofErr w:type="spellEnd"/>
      <w:r w:rsidRPr="004E09C6">
        <w:rPr>
          <w:rFonts w:ascii="Arial" w:hAnsi="Arial" w:cs="Arial"/>
          <w:sz w:val="24"/>
          <w:szCs w:val="24"/>
        </w:rPr>
        <w:t xml:space="preserve">-Martins, J., </w:t>
      </w:r>
      <w:proofErr w:type="spellStart"/>
      <w:r w:rsidRPr="004E09C6">
        <w:rPr>
          <w:rFonts w:ascii="Arial" w:hAnsi="Arial" w:cs="Arial"/>
          <w:sz w:val="24"/>
          <w:szCs w:val="24"/>
        </w:rPr>
        <w:t>Sahandi</w:t>
      </w:r>
      <w:proofErr w:type="spellEnd"/>
      <w:r w:rsidRPr="004E09C6">
        <w:rPr>
          <w:rFonts w:ascii="Arial" w:hAnsi="Arial" w:cs="Arial"/>
          <w:sz w:val="24"/>
          <w:szCs w:val="24"/>
        </w:rPr>
        <w:t>, R. and Tian, F. (2016) 'Critical analysis of vendor lock-in and its impact on cloud computing migration</w:t>
      </w:r>
      <w:r w:rsidRPr="004E09C6">
        <w:rPr>
          <w:rFonts w:ascii="Arial" w:hAnsi="Arial" w:cs="Arial"/>
          <w:sz w:val="24"/>
          <w:szCs w:val="24"/>
        </w:rPr>
        <w:t xml:space="preserve">: a business perspective', </w:t>
      </w:r>
      <w:r w:rsidRPr="004E09C6">
        <w:rPr>
          <w:rFonts w:ascii="Arial" w:hAnsi="Arial" w:cs="Arial"/>
          <w:i/>
          <w:iCs/>
          <w:sz w:val="24"/>
          <w:szCs w:val="24"/>
        </w:rPr>
        <w:t>Journal of Cloud Computing</w:t>
      </w:r>
      <w:r w:rsidRPr="004E09C6">
        <w:rPr>
          <w:rFonts w:ascii="Arial" w:hAnsi="Arial" w:cs="Arial"/>
          <w:sz w:val="24"/>
          <w:szCs w:val="24"/>
        </w:rPr>
        <w:t>, 5(4).</w:t>
      </w:r>
    </w:p>
    <w:p w14:paraId="30ACB97B" w14:textId="77777777" w:rsidR="009111DE" w:rsidRPr="004E09C6" w:rsidRDefault="00891286" w:rsidP="004E09C6">
      <w:pPr>
        <w:spacing w:after="100"/>
        <w:ind w:left="567" w:hanging="567"/>
        <w:rPr>
          <w:rFonts w:ascii="Arial" w:hAnsi="Arial" w:cs="Arial"/>
          <w:sz w:val="24"/>
          <w:szCs w:val="24"/>
        </w:rPr>
      </w:pPr>
      <w:proofErr w:type="spellStart"/>
      <w:r w:rsidRPr="004E09C6">
        <w:rPr>
          <w:rFonts w:ascii="Arial" w:hAnsi="Arial" w:cs="Arial"/>
          <w:sz w:val="24"/>
          <w:szCs w:val="24"/>
        </w:rPr>
        <w:t>Sheffi</w:t>
      </w:r>
      <w:proofErr w:type="spellEnd"/>
      <w:r w:rsidRPr="004E09C6">
        <w:rPr>
          <w:rFonts w:ascii="Arial" w:hAnsi="Arial" w:cs="Arial"/>
          <w:sz w:val="24"/>
          <w:szCs w:val="24"/>
        </w:rPr>
        <w:t xml:space="preserve">, Y. (2005) </w:t>
      </w:r>
      <w:r w:rsidRPr="004E09C6">
        <w:rPr>
          <w:rFonts w:ascii="Arial" w:hAnsi="Arial" w:cs="Arial"/>
          <w:i/>
          <w:iCs/>
          <w:sz w:val="24"/>
          <w:szCs w:val="24"/>
        </w:rPr>
        <w:t>The resilient enterprise: overcoming vulnerability for competitive advantage</w:t>
      </w:r>
      <w:r w:rsidRPr="004E09C6">
        <w:rPr>
          <w:rFonts w:ascii="Arial" w:hAnsi="Arial" w:cs="Arial"/>
          <w:sz w:val="24"/>
          <w:szCs w:val="24"/>
        </w:rPr>
        <w:t>. Cambridge, MA: MIT Press.</w:t>
      </w:r>
    </w:p>
    <w:p w14:paraId="6D546398"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t xml:space="preserve">Tang, C.S. (2006) 'Perspectives in supply chain risk management', </w:t>
      </w:r>
      <w:r w:rsidRPr="004E09C6">
        <w:rPr>
          <w:rFonts w:ascii="Arial" w:hAnsi="Arial" w:cs="Arial"/>
          <w:i/>
          <w:iCs/>
          <w:sz w:val="24"/>
          <w:szCs w:val="24"/>
        </w:rPr>
        <w:t>International Journal of Production Economics</w:t>
      </w:r>
      <w:r w:rsidRPr="004E09C6">
        <w:rPr>
          <w:rFonts w:ascii="Arial" w:hAnsi="Arial" w:cs="Arial"/>
          <w:sz w:val="24"/>
          <w:szCs w:val="24"/>
        </w:rPr>
        <w:t>, 103(2), pp. 451–488.</w:t>
      </w:r>
    </w:p>
    <w:p w14:paraId="597DBC19" w14:textId="77777777" w:rsidR="009111DE" w:rsidRPr="004E09C6" w:rsidRDefault="00891286" w:rsidP="004E09C6">
      <w:pPr>
        <w:spacing w:after="100"/>
        <w:ind w:left="567" w:hanging="567"/>
        <w:rPr>
          <w:rFonts w:ascii="Arial" w:hAnsi="Arial" w:cs="Arial"/>
          <w:sz w:val="24"/>
          <w:szCs w:val="24"/>
        </w:rPr>
      </w:pPr>
      <w:r w:rsidRPr="004E09C6">
        <w:rPr>
          <w:rFonts w:ascii="Arial" w:hAnsi="Arial" w:cs="Arial"/>
          <w:sz w:val="24"/>
          <w:szCs w:val="24"/>
        </w:rPr>
        <w:t xml:space="preserve">Vesely, W.E., Goldberg, F.F., Roberts, N.H. and </w:t>
      </w:r>
      <w:proofErr w:type="spellStart"/>
      <w:r w:rsidRPr="004E09C6">
        <w:rPr>
          <w:rFonts w:ascii="Arial" w:hAnsi="Arial" w:cs="Arial"/>
          <w:sz w:val="24"/>
          <w:szCs w:val="24"/>
        </w:rPr>
        <w:t>Haasl</w:t>
      </w:r>
      <w:proofErr w:type="spellEnd"/>
      <w:r w:rsidRPr="004E09C6">
        <w:rPr>
          <w:rFonts w:ascii="Arial" w:hAnsi="Arial" w:cs="Arial"/>
          <w:sz w:val="24"/>
          <w:szCs w:val="24"/>
        </w:rPr>
        <w:t xml:space="preserve">, D.F. (1981) </w:t>
      </w:r>
      <w:r w:rsidRPr="004E09C6">
        <w:rPr>
          <w:rFonts w:ascii="Arial" w:hAnsi="Arial" w:cs="Arial"/>
          <w:i/>
          <w:iCs/>
          <w:sz w:val="24"/>
          <w:szCs w:val="24"/>
        </w:rPr>
        <w:t>Fault tree handbook</w:t>
      </w:r>
      <w:r w:rsidRPr="004E09C6">
        <w:rPr>
          <w:rFonts w:ascii="Arial" w:hAnsi="Arial" w:cs="Arial"/>
          <w:sz w:val="24"/>
          <w:szCs w:val="24"/>
        </w:rPr>
        <w:t>. NUREG-0492. Washington, DC: U.S. N</w:t>
      </w:r>
      <w:r w:rsidRPr="004E09C6">
        <w:rPr>
          <w:rFonts w:ascii="Arial" w:hAnsi="Arial" w:cs="Arial"/>
          <w:sz w:val="24"/>
          <w:szCs w:val="24"/>
        </w:rPr>
        <w:t>uclear Regulatory Commission.</w:t>
      </w:r>
    </w:p>
    <w:sectPr w:rsidR="009111DE" w:rsidRPr="004E09C6">
      <w:footerReference w:type="default" r:id="rId7"/>
      <w:pgSz w:w="11906" w:h="16838"/>
      <w:pgMar w:top="1440" w:right="1304" w:bottom="1440" w:left="130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3F3BE" w14:textId="77777777" w:rsidR="00891286" w:rsidRDefault="00891286">
      <w:pPr>
        <w:spacing w:after="0" w:line="240" w:lineRule="auto"/>
      </w:pPr>
      <w:r>
        <w:separator/>
      </w:r>
    </w:p>
  </w:endnote>
  <w:endnote w:type="continuationSeparator" w:id="0">
    <w:p w14:paraId="3313F8E4" w14:textId="77777777" w:rsidR="00891286" w:rsidRDefault="008912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9AACAC" w14:textId="77777777" w:rsidR="009111DE" w:rsidRDefault="00891286">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4E09C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8D1086" w14:textId="77777777" w:rsidR="00891286" w:rsidRDefault="00891286">
      <w:pPr>
        <w:spacing w:after="0" w:line="240" w:lineRule="auto"/>
      </w:pPr>
      <w:r>
        <w:separator/>
      </w:r>
    </w:p>
  </w:footnote>
  <w:footnote w:type="continuationSeparator" w:id="0">
    <w:p w14:paraId="542D4CC5" w14:textId="77777777" w:rsidR="00891286" w:rsidRDefault="008912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401E99"/>
    <w:multiLevelType w:val="hybridMultilevel"/>
    <w:tmpl w:val="105E4298"/>
    <w:lvl w:ilvl="0" w:tplc="452E42EE">
      <w:start w:val="1"/>
      <w:numFmt w:val="bullet"/>
      <w:lvlText w:val="●"/>
      <w:lvlJc w:val="left"/>
      <w:pPr>
        <w:ind w:left="720" w:hanging="360"/>
      </w:pPr>
    </w:lvl>
    <w:lvl w:ilvl="1" w:tplc="068EE75E">
      <w:start w:val="1"/>
      <w:numFmt w:val="bullet"/>
      <w:lvlText w:val="○"/>
      <w:lvlJc w:val="left"/>
      <w:pPr>
        <w:ind w:left="1440" w:hanging="360"/>
      </w:pPr>
    </w:lvl>
    <w:lvl w:ilvl="2" w:tplc="B8F29A48">
      <w:start w:val="1"/>
      <w:numFmt w:val="bullet"/>
      <w:lvlText w:val="■"/>
      <w:lvlJc w:val="left"/>
      <w:pPr>
        <w:ind w:left="2160" w:hanging="360"/>
      </w:pPr>
    </w:lvl>
    <w:lvl w:ilvl="3" w:tplc="45041D80">
      <w:start w:val="1"/>
      <w:numFmt w:val="bullet"/>
      <w:lvlText w:val="●"/>
      <w:lvlJc w:val="left"/>
      <w:pPr>
        <w:ind w:left="2880" w:hanging="360"/>
      </w:pPr>
    </w:lvl>
    <w:lvl w:ilvl="4" w:tplc="3286B3E8">
      <w:start w:val="1"/>
      <w:numFmt w:val="bullet"/>
      <w:lvlText w:val="○"/>
      <w:lvlJc w:val="left"/>
      <w:pPr>
        <w:ind w:left="3600" w:hanging="360"/>
      </w:pPr>
    </w:lvl>
    <w:lvl w:ilvl="5" w:tplc="67F492A6">
      <w:start w:val="1"/>
      <w:numFmt w:val="bullet"/>
      <w:lvlText w:val="■"/>
      <w:lvlJc w:val="left"/>
      <w:pPr>
        <w:ind w:left="4320" w:hanging="360"/>
      </w:pPr>
    </w:lvl>
    <w:lvl w:ilvl="6" w:tplc="90D22B82">
      <w:start w:val="1"/>
      <w:numFmt w:val="bullet"/>
      <w:lvlText w:val="●"/>
      <w:lvlJc w:val="left"/>
      <w:pPr>
        <w:ind w:left="5040" w:hanging="360"/>
      </w:pPr>
    </w:lvl>
    <w:lvl w:ilvl="7" w:tplc="805E385A">
      <w:start w:val="1"/>
      <w:numFmt w:val="bullet"/>
      <w:lvlText w:val="●"/>
      <w:lvlJc w:val="left"/>
      <w:pPr>
        <w:ind w:left="5760" w:hanging="360"/>
      </w:pPr>
    </w:lvl>
    <w:lvl w:ilvl="8" w:tplc="63D8EC6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1DE"/>
    <w:rsid w:val="004E09C6"/>
    <w:rsid w:val="00891286"/>
    <w:rsid w:val="009111DE"/>
    <w:rsid w:val="00D131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1004D"/>
  <w15:docId w15:val="{9C58386A-C1BF-414C-A958-E6177A6FF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GB" w:bidi="ar-SA"/>
      </w:rPr>
    </w:rPrDefault>
    <w:pPrDefault>
      <w:pPr>
        <w:spacing w:after="1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2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2574</Words>
  <Characters>14678</Characters>
  <Application>Microsoft Office Word</Application>
  <DocSecurity>0</DocSecurity>
  <Lines>122</Lines>
  <Paragraphs>34</Paragraphs>
  <ScaleCrop>false</ScaleCrop>
  <Company/>
  <LinksUpToDate>false</LinksUpToDate>
  <CharactersWithSpaces>17218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etemesi</cp:lastModifiedBy>
  <cp:revision>2</cp:revision>
  <dcterms:created xsi:type="dcterms:W3CDTF">2026-10-08T07:27:00Z</dcterms:created>
  <dcterms:modified xsi:type="dcterms:W3CDTF">2026-10-08T07:27:00Z</dcterms:modified>
</cp:coreProperties>
</file>