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</w:tblGrid>
      <w:tr w:rsidR="00A820F5" w14:paraId="7D440709" w14:textId="77777777" w:rsidTr="00CD4A72">
        <w:trPr>
          <w:trHeight w:val="620"/>
        </w:trPr>
        <w:tc>
          <w:tcPr>
            <w:tcW w:w="2221" w:type="dxa"/>
          </w:tcPr>
          <w:p w14:paraId="435B39CD" w14:textId="719D44EC" w:rsidR="00A820F5" w:rsidRDefault="00CD4A72">
            <w:r>
              <w:t>Biophysical p</w:t>
            </w:r>
            <w:r w:rsidR="00A820F5">
              <w:t>roperties (</w:t>
            </w:r>
            <w:proofErr w:type="spellStart"/>
            <w:r w:rsidR="00A820F5">
              <w:t>mean±S</w:t>
            </w:r>
            <w:r w:rsidR="0032553C">
              <w:t>D</w:t>
            </w:r>
            <w:proofErr w:type="spellEnd"/>
            <w:r w:rsidR="00A820F5">
              <w:t>)</w:t>
            </w:r>
          </w:p>
        </w:tc>
        <w:tc>
          <w:tcPr>
            <w:tcW w:w="2221" w:type="dxa"/>
          </w:tcPr>
          <w:p w14:paraId="1DC543F1" w14:textId="2421843E" w:rsidR="00A820F5" w:rsidRDefault="00A820F5">
            <w:r>
              <w:t>SST</w:t>
            </w:r>
            <w:r w:rsidR="0032553C">
              <w:t xml:space="preserve"> (n=15)</w:t>
            </w:r>
          </w:p>
        </w:tc>
        <w:tc>
          <w:tcPr>
            <w:tcW w:w="2221" w:type="dxa"/>
          </w:tcPr>
          <w:p w14:paraId="33CC3F8E" w14:textId="5D2BB34D" w:rsidR="00A820F5" w:rsidRDefault="00A820F5">
            <w:r>
              <w:t>PV</w:t>
            </w:r>
            <w:r w:rsidR="0032553C">
              <w:t xml:space="preserve"> (n=15)</w:t>
            </w:r>
          </w:p>
        </w:tc>
        <w:tc>
          <w:tcPr>
            <w:tcW w:w="2221" w:type="dxa"/>
          </w:tcPr>
          <w:p w14:paraId="3DAEFD9B" w14:textId="239C9EC3" w:rsidR="00A820F5" w:rsidRPr="00A820F5" w:rsidRDefault="0032553C">
            <w:proofErr w:type="spellStart"/>
            <w:r>
              <w:t>Pyr</w:t>
            </w:r>
            <w:proofErr w:type="spellEnd"/>
            <w:r>
              <w:t xml:space="preserve"> L2/3</w:t>
            </w:r>
            <w:r w:rsidR="00CD4A72">
              <w:t xml:space="preserve"> (n=14)</w:t>
            </w:r>
          </w:p>
        </w:tc>
      </w:tr>
      <w:tr w:rsidR="00A820F5" w14:paraId="4DC3B8D5" w14:textId="77777777" w:rsidTr="00CD4A72">
        <w:trPr>
          <w:trHeight w:val="317"/>
        </w:trPr>
        <w:tc>
          <w:tcPr>
            <w:tcW w:w="2221" w:type="dxa"/>
          </w:tcPr>
          <w:p w14:paraId="35CEDB68" w14:textId="6058B4AC" w:rsidR="00A820F5" w:rsidRDefault="00A820F5">
            <w:r>
              <w:t>RMP (mV)</w:t>
            </w:r>
          </w:p>
        </w:tc>
        <w:tc>
          <w:tcPr>
            <w:tcW w:w="2221" w:type="dxa"/>
          </w:tcPr>
          <w:p w14:paraId="5BC3F747" w14:textId="7946D5A8" w:rsidR="00A820F5" w:rsidRDefault="00A820F5">
            <w:r>
              <w:t>-</w:t>
            </w:r>
            <w:r w:rsidR="0032553C">
              <w:t>65</w:t>
            </w:r>
            <w:r>
              <w:t>.</w:t>
            </w:r>
            <w:r w:rsidR="0032553C">
              <w:t>75</w:t>
            </w:r>
            <w:r>
              <w:t>±</w:t>
            </w:r>
            <w:r w:rsidR="0032553C">
              <w:t>3.76</w:t>
            </w:r>
            <w:r>
              <w:t xml:space="preserve"> </w:t>
            </w:r>
          </w:p>
        </w:tc>
        <w:tc>
          <w:tcPr>
            <w:tcW w:w="2221" w:type="dxa"/>
          </w:tcPr>
          <w:p w14:paraId="07F2381C" w14:textId="1DE63933" w:rsidR="00A820F5" w:rsidRDefault="00A820F5">
            <w:r>
              <w:t>-71.25+</w:t>
            </w:r>
            <w:r w:rsidR="0032553C">
              <w:t>5</w:t>
            </w:r>
            <w:r>
              <w:t>.</w:t>
            </w:r>
            <w:r w:rsidR="0032553C">
              <w:t>6</w:t>
            </w:r>
          </w:p>
        </w:tc>
        <w:tc>
          <w:tcPr>
            <w:tcW w:w="2221" w:type="dxa"/>
          </w:tcPr>
          <w:p w14:paraId="725F516D" w14:textId="3526602A" w:rsidR="00A820F5" w:rsidRDefault="0032553C">
            <w:r>
              <w:t>-74.97±7.89</w:t>
            </w:r>
          </w:p>
        </w:tc>
      </w:tr>
      <w:tr w:rsidR="00A820F5" w14:paraId="75DDF61A" w14:textId="77777777" w:rsidTr="00CD4A72">
        <w:trPr>
          <w:trHeight w:val="303"/>
        </w:trPr>
        <w:tc>
          <w:tcPr>
            <w:tcW w:w="2221" w:type="dxa"/>
          </w:tcPr>
          <w:p w14:paraId="6896B558" w14:textId="5ECBB996" w:rsidR="00A820F5" w:rsidRDefault="00A820F5">
            <w:r>
              <w:t>Rm (</w:t>
            </w:r>
            <w:proofErr w:type="spellStart"/>
            <w:r>
              <w:t>MOhm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78B7D55F" w14:textId="0A5B587E" w:rsidR="00A820F5" w:rsidRDefault="00A820F5">
            <w:r>
              <w:t>188.7±</w:t>
            </w:r>
            <w:r w:rsidR="0032553C">
              <w:t>9736</w:t>
            </w:r>
          </w:p>
        </w:tc>
        <w:tc>
          <w:tcPr>
            <w:tcW w:w="2221" w:type="dxa"/>
          </w:tcPr>
          <w:p w14:paraId="3F8186A3" w14:textId="0D574C6C" w:rsidR="00A820F5" w:rsidRDefault="00A820F5">
            <w:r>
              <w:t>88.97±</w:t>
            </w:r>
            <w:r w:rsidR="0032553C">
              <w:t>36.3</w:t>
            </w:r>
          </w:p>
        </w:tc>
        <w:tc>
          <w:tcPr>
            <w:tcW w:w="2221" w:type="dxa"/>
          </w:tcPr>
          <w:p w14:paraId="6716EF0F" w14:textId="42DA39FD" w:rsidR="00A820F5" w:rsidRPr="0032553C" w:rsidRDefault="0032553C">
            <w:r>
              <w:t>68.35±35.94</w:t>
            </w:r>
          </w:p>
        </w:tc>
      </w:tr>
      <w:tr w:rsidR="00A820F5" w14:paraId="69429A88" w14:textId="77777777" w:rsidTr="00CD4A72">
        <w:trPr>
          <w:trHeight w:val="317"/>
        </w:trPr>
        <w:tc>
          <w:tcPr>
            <w:tcW w:w="2221" w:type="dxa"/>
          </w:tcPr>
          <w:p w14:paraId="5F37339D" w14:textId="60B9C3C8" w:rsidR="00A820F5" w:rsidRDefault="00A820F5">
            <w:r>
              <w:t>Cm (pF)</w:t>
            </w:r>
          </w:p>
        </w:tc>
        <w:tc>
          <w:tcPr>
            <w:tcW w:w="2221" w:type="dxa"/>
          </w:tcPr>
          <w:p w14:paraId="63C3E4BA" w14:textId="04EC6588" w:rsidR="00A820F5" w:rsidRPr="00A820F5" w:rsidRDefault="00A820F5">
            <w:pPr>
              <w:rPr>
                <w:vertAlign w:val="superscript"/>
              </w:rPr>
            </w:pPr>
            <w:r>
              <w:t>96.46±</w:t>
            </w:r>
            <w:r w:rsidR="0032553C">
              <w:t>50</w:t>
            </w:r>
            <w:r>
              <w:t>.</w:t>
            </w:r>
            <w:r w:rsidR="0032553C">
              <w:t>01</w:t>
            </w:r>
          </w:p>
        </w:tc>
        <w:tc>
          <w:tcPr>
            <w:tcW w:w="2221" w:type="dxa"/>
          </w:tcPr>
          <w:p w14:paraId="6D2A937A" w14:textId="41DFA070" w:rsidR="00A820F5" w:rsidRDefault="00A820F5">
            <w:r>
              <w:t>78±</w:t>
            </w:r>
            <w:r w:rsidR="0032553C">
              <w:t>50</w:t>
            </w:r>
            <w:r>
              <w:t>.</w:t>
            </w:r>
            <w:r w:rsidR="0032553C">
              <w:t>18</w:t>
            </w:r>
          </w:p>
        </w:tc>
        <w:tc>
          <w:tcPr>
            <w:tcW w:w="2221" w:type="dxa"/>
          </w:tcPr>
          <w:p w14:paraId="15689C58" w14:textId="171BEEFA" w:rsidR="00A820F5" w:rsidRDefault="00CD4A72">
            <w:r>
              <w:t>152±65.09</w:t>
            </w:r>
          </w:p>
        </w:tc>
      </w:tr>
      <w:tr w:rsidR="00A820F5" w14:paraId="1C9C8284" w14:textId="77777777" w:rsidTr="00CD4A72">
        <w:trPr>
          <w:trHeight w:val="317"/>
        </w:trPr>
        <w:tc>
          <w:tcPr>
            <w:tcW w:w="2221" w:type="dxa"/>
          </w:tcPr>
          <w:p w14:paraId="20BF2E0C" w14:textId="3DF44C6D" w:rsidR="00A820F5" w:rsidRDefault="00A820F5">
            <w:r>
              <w:t>Tau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6156396E" w14:textId="50BC8BA1" w:rsidR="00A820F5" w:rsidRDefault="00A820F5">
            <w:r>
              <w:t>15.6±</w:t>
            </w:r>
            <w:r w:rsidR="0032553C">
              <w:t>8</w:t>
            </w:r>
            <w:r>
              <w:t>.</w:t>
            </w:r>
            <w:r w:rsidR="0032553C">
              <w:t>6</w:t>
            </w:r>
          </w:p>
        </w:tc>
        <w:tc>
          <w:tcPr>
            <w:tcW w:w="2221" w:type="dxa"/>
          </w:tcPr>
          <w:p w14:paraId="43E61E35" w14:textId="16C45907" w:rsidR="00A820F5" w:rsidRDefault="00A820F5">
            <w:r>
              <w:t>5.9±</w:t>
            </w:r>
            <w:r w:rsidR="0032553C">
              <w:t>2</w:t>
            </w:r>
            <w:r>
              <w:t>.</w:t>
            </w:r>
            <w:r w:rsidR="0032553C">
              <w:t>9</w:t>
            </w:r>
          </w:p>
        </w:tc>
        <w:tc>
          <w:tcPr>
            <w:tcW w:w="2221" w:type="dxa"/>
          </w:tcPr>
          <w:p w14:paraId="6E21AAA6" w14:textId="7795F957" w:rsidR="00A820F5" w:rsidRDefault="0032553C">
            <w:r>
              <w:t>8.997±2.8</w:t>
            </w:r>
          </w:p>
        </w:tc>
      </w:tr>
      <w:tr w:rsidR="00A820F5" w14:paraId="044389AB" w14:textId="77777777" w:rsidTr="00CD4A72">
        <w:trPr>
          <w:trHeight w:val="303"/>
        </w:trPr>
        <w:tc>
          <w:tcPr>
            <w:tcW w:w="2221" w:type="dxa"/>
          </w:tcPr>
          <w:p w14:paraId="17B7D256" w14:textId="692C8B99" w:rsidR="00A820F5" w:rsidRDefault="00A820F5">
            <w:r>
              <w:t>Sag ratio</w:t>
            </w:r>
          </w:p>
        </w:tc>
        <w:tc>
          <w:tcPr>
            <w:tcW w:w="2221" w:type="dxa"/>
          </w:tcPr>
          <w:p w14:paraId="020CE7EA" w14:textId="07B5FFC3" w:rsidR="00A820F5" w:rsidRDefault="00A820F5">
            <w:r>
              <w:t>0.8</w:t>
            </w:r>
            <w:r w:rsidR="0032553C">
              <w:t>5</w:t>
            </w:r>
            <w:r>
              <w:t>±0.0</w:t>
            </w:r>
            <w:r w:rsidR="0032553C">
              <w:t>9</w:t>
            </w:r>
          </w:p>
        </w:tc>
        <w:tc>
          <w:tcPr>
            <w:tcW w:w="2221" w:type="dxa"/>
          </w:tcPr>
          <w:p w14:paraId="4429B81A" w14:textId="1D27F097" w:rsidR="00A820F5" w:rsidRDefault="00A820F5">
            <w:r>
              <w:t>0.9</w:t>
            </w:r>
            <w:r w:rsidR="0032553C">
              <w:t>6</w:t>
            </w:r>
            <w:r>
              <w:t>±0.0</w:t>
            </w:r>
            <w:r w:rsidR="0032553C">
              <w:t>2</w:t>
            </w:r>
          </w:p>
        </w:tc>
        <w:tc>
          <w:tcPr>
            <w:tcW w:w="2221" w:type="dxa"/>
          </w:tcPr>
          <w:p w14:paraId="0F888ADA" w14:textId="6F51DA58" w:rsidR="00A820F5" w:rsidRDefault="0032553C">
            <w:r>
              <w:t>0.98±0.05</w:t>
            </w:r>
          </w:p>
        </w:tc>
      </w:tr>
      <w:tr w:rsidR="00A820F5" w14:paraId="119CC9E8" w14:textId="77777777" w:rsidTr="00CD4A72">
        <w:trPr>
          <w:trHeight w:val="317"/>
        </w:trPr>
        <w:tc>
          <w:tcPr>
            <w:tcW w:w="2221" w:type="dxa"/>
          </w:tcPr>
          <w:p w14:paraId="7C89DF0B" w14:textId="57153FE1" w:rsidR="00A820F5" w:rsidRDefault="00A820F5">
            <w:r>
              <w:t>Rheobase</w:t>
            </w:r>
            <w:r w:rsidR="00CD4A72">
              <w:t xml:space="preserve"> (</w:t>
            </w:r>
            <w:proofErr w:type="spellStart"/>
            <w:r w:rsidR="00CD4A72">
              <w:t>pA</w:t>
            </w:r>
            <w:proofErr w:type="spellEnd"/>
            <w:r w:rsidR="00CD4A72">
              <w:t>)</w:t>
            </w:r>
          </w:p>
        </w:tc>
        <w:tc>
          <w:tcPr>
            <w:tcW w:w="2221" w:type="dxa"/>
          </w:tcPr>
          <w:p w14:paraId="503EB470" w14:textId="30C047C1" w:rsidR="00A820F5" w:rsidRDefault="00A820F5">
            <w:r>
              <w:t>90±</w:t>
            </w:r>
            <w:r w:rsidR="0032553C">
              <w:t>38</w:t>
            </w:r>
            <w:r>
              <w:t>.</w:t>
            </w:r>
            <w:r w:rsidR="0032553C">
              <w:t>25</w:t>
            </w:r>
          </w:p>
        </w:tc>
        <w:tc>
          <w:tcPr>
            <w:tcW w:w="2221" w:type="dxa"/>
          </w:tcPr>
          <w:p w14:paraId="109D07E1" w14:textId="4A3E819B" w:rsidR="00A820F5" w:rsidRDefault="00A820F5">
            <w:r>
              <w:t>225±</w:t>
            </w:r>
            <w:r w:rsidR="0032553C">
              <w:t>112.2</w:t>
            </w:r>
          </w:p>
        </w:tc>
        <w:tc>
          <w:tcPr>
            <w:tcW w:w="2221" w:type="dxa"/>
          </w:tcPr>
          <w:p w14:paraId="7343F862" w14:textId="28947CB8" w:rsidR="00A820F5" w:rsidRDefault="00CD4A72">
            <w:r>
              <w:t>155.8±73.71</w:t>
            </w:r>
          </w:p>
        </w:tc>
      </w:tr>
      <w:tr w:rsidR="00A820F5" w14:paraId="3562F9DF" w14:textId="77777777" w:rsidTr="00CD4A72">
        <w:trPr>
          <w:trHeight w:val="303"/>
        </w:trPr>
        <w:tc>
          <w:tcPr>
            <w:tcW w:w="2221" w:type="dxa"/>
          </w:tcPr>
          <w:p w14:paraId="543AFEBE" w14:textId="6007F164" w:rsidR="00A820F5" w:rsidRDefault="00A820F5">
            <w:r>
              <w:t>Rin (</w:t>
            </w:r>
            <w:proofErr w:type="spellStart"/>
            <w:r>
              <w:t>MOhm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764BA273" w14:textId="477C71ED" w:rsidR="00A820F5" w:rsidRDefault="00A820F5">
            <w:r>
              <w:t>195.4±</w:t>
            </w:r>
            <w:r w:rsidR="0032553C">
              <w:t>75</w:t>
            </w:r>
            <w:r>
              <w:t>.</w:t>
            </w:r>
            <w:r w:rsidR="0032553C">
              <w:t>93</w:t>
            </w:r>
          </w:p>
        </w:tc>
        <w:tc>
          <w:tcPr>
            <w:tcW w:w="2221" w:type="dxa"/>
          </w:tcPr>
          <w:p w14:paraId="4EA41767" w14:textId="2A251892" w:rsidR="00A820F5" w:rsidRDefault="00A820F5">
            <w:r>
              <w:t>98.9±</w:t>
            </w:r>
            <w:r w:rsidR="0032553C">
              <w:t>34.48</w:t>
            </w:r>
          </w:p>
        </w:tc>
        <w:tc>
          <w:tcPr>
            <w:tcW w:w="2221" w:type="dxa"/>
          </w:tcPr>
          <w:p w14:paraId="0822AD67" w14:textId="61502575" w:rsidR="00A820F5" w:rsidRPr="0032553C" w:rsidRDefault="0032553C">
            <w:r>
              <w:t>105.4±29.77</w:t>
            </w:r>
          </w:p>
        </w:tc>
      </w:tr>
    </w:tbl>
    <w:p w14:paraId="63428BE5" w14:textId="77777777" w:rsidR="00F11B75" w:rsidRDefault="00F11B75"/>
    <w:p w14:paraId="16EDDC55" w14:textId="12B68D7F" w:rsidR="00140EA9" w:rsidRDefault="00140EA9">
      <w:r>
        <w:rPr>
          <w:noProof/>
        </w:rPr>
        <w:drawing>
          <wp:anchor distT="0" distB="0" distL="114300" distR="114300" simplePos="0" relativeHeight="251658240" behindDoc="1" locked="0" layoutInCell="1" allowOverlap="1" wp14:anchorId="677D0866" wp14:editId="0C6D4C1F">
            <wp:simplePos x="0" y="0"/>
            <wp:positionH relativeFrom="margin">
              <wp:posOffset>2894965</wp:posOffset>
            </wp:positionH>
            <wp:positionV relativeFrom="paragraph">
              <wp:posOffset>197485</wp:posOffset>
            </wp:positionV>
            <wp:extent cx="30956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34" y="21384"/>
                <wp:lineTo x="21534" y="0"/>
                <wp:lineTo x="0" y="0"/>
              </wp:wrapPolygon>
            </wp:wrapTight>
            <wp:docPr id="21415091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B63274-F4EC-701A-EABE-E1F73D69A7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93DC37" wp14:editId="3BB778D0">
            <wp:simplePos x="0" y="0"/>
            <wp:positionH relativeFrom="column">
              <wp:posOffset>-171450</wp:posOffset>
            </wp:positionH>
            <wp:positionV relativeFrom="paragraph">
              <wp:posOffset>245110</wp:posOffset>
            </wp:positionV>
            <wp:extent cx="279082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5633571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D15443-EDBF-93A3-3F44-314990764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79626985" w14:textId="15F0EFAF" w:rsidR="00140EA9" w:rsidRDefault="00140EA9"/>
    <w:p w14:paraId="19E12B31" w14:textId="6EFB2A21" w:rsidR="00CD4A72" w:rsidRDefault="00CD4A7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</w:tblGrid>
      <w:tr w:rsidR="00025332" w14:paraId="0C9F9E59" w14:textId="77777777" w:rsidTr="001921AF">
        <w:trPr>
          <w:trHeight w:val="620"/>
        </w:trPr>
        <w:tc>
          <w:tcPr>
            <w:tcW w:w="2221" w:type="dxa"/>
          </w:tcPr>
          <w:p w14:paraId="2B570B03" w14:textId="5CF96E22" w:rsidR="00025332" w:rsidRDefault="00B57C14" w:rsidP="001921AF">
            <w:r>
              <w:t xml:space="preserve">Unitary </w:t>
            </w:r>
            <w:r w:rsidR="00025332">
              <w:t>EPSP kinetics (</w:t>
            </w:r>
            <w:proofErr w:type="spellStart"/>
            <w:r w:rsidR="00025332">
              <w:t>mean±STD</w:t>
            </w:r>
            <w:proofErr w:type="spellEnd"/>
            <w:r w:rsidR="00025332">
              <w:t>)</w:t>
            </w:r>
          </w:p>
        </w:tc>
        <w:tc>
          <w:tcPr>
            <w:tcW w:w="2221" w:type="dxa"/>
          </w:tcPr>
          <w:p w14:paraId="454E4E8D" w14:textId="182EB438" w:rsidR="00025332" w:rsidRDefault="00025332" w:rsidP="001921AF">
            <w:r>
              <w:t>SST</w:t>
            </w:r>
          </w:p>
        </w:tc>
        <w:tc>
          <w:tcPr>
            <w:tcW w:w="2221" w:type="dxa"/>
          </w:tcPr>
          <w:p w14:paraId="6828569B" w14:textId="4CC38B2D" w:rsidR="00025332" w:rsidRDefault="00025332" w:rsidP="001921AF">
            <w:r>
              <w:t>PV</w:t>
            </w:r>
          </w:p>
        </w:tc>
      </w:tr>
      <w:tr w:rsidR="00025332" w14:paraId="2B803650" w14:textId="77777777" w:rsidTr="001921AF">
        <w:trPr>
          <w:trHeight w:val="317"/>
        </w:trPr>
        <w:tc>
          <w:tcPr>
            <w:tcW w:w="2221" w:type="dxa"/>
          </w:tcPr>
          <w:p w14:paraId="64EC2A25" w14:textId="5E869F2F" w:rsidR="00025332" w:rsidRDefault="00025332" w:rsidP="001921AF">
            <w:r>
              <w:t>Rise time (10-90%)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5319AF86" w14:textId="7E0E9295" w:rsidR="00025332" w:rsidRPr="00283EC9" w:rsidRDefault="00025332" w:rsidP="001921AF">
            <w:r>
              <w:t>4.5±2.87</w:t>
            </w:r>
          </w:p>
        </w:tc>
        <w:tc>
          <w:tcPr>
            <w:tcW w:w="2221" w:type="dxa"/>
          </w:tcPr>
          <w:p w14:paraId="1B6F789B" w14:textId="588EEC5D" w:rsidR="00025332" w:rsidRDefault="00025332" w:rsidP="001921AF">
            <w:r>
              <w:t>2.9±1.16</w:t>
            </w:r>
          </w:p>
        </w:tc>
      </w:tr>
      <w:tr w:rsidR="00025332" w14:paraId="2E447678" w14:textId="77777777" w:rsidTr="001921AF">
        <w:trPr>
          <w:trHeight w:val="317"/>
        </w:trPr>
        <w:tc>
          <w:tcPr>
            <w:tcW w:w="2221" w:type="dxa"/>
          </w:tcPr>
          <w:p w14:paraId="70B06311" w14:textId="2B1A3C78" w:rsidR="00025332" w:rsidRDefault="00025332" w:rsidP="001921AF">
            <w:r>
              <w:t>Half-width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39D5725F" w14:textId="2B6399F7" w:rsidR="00025332" w:rsidRDefault="00025332" w:rsidP="001921AF">
            <w:r>
              <w:t>11.35±5.1</w:t>
            </w:r>
          </w:p>
        </w:tc>
        <w:tc>
          <w:tcPr>
            <w:tcW w:w="2221" w:type="dxa"/>
          </w:tcPr>
          <w:p w14:paraId="4C916F44" w14:textId="61BEE239" w:rsidR="00025332" w:rsidRDefault="00025332" w:rsidP="001921AF">
            <w:r>
              <w:t>5.9±2.5</w:t>
            </w:r>
          </w:p>
        </w:tc>
      </w:tr>
      <w:tr w:rsidR="00025332" w14:paraId="3A0C8671" w14:textId="77777777" w:rsidTr="001921AF">
        <w:trPr>
          <w:trHeight w:val="303"/>
        </w:trPr>
        <w:tc>
          <w:tcPr>
            <w:tcW w:w="2221" w:type="dxa"/>
          </w:tcPr>
          <w:p w14:paraId="13819F22" w14:textId="6B9B5999" w:rsidR="00025332" w:rsidRDefault="00025332" w:rsidP="001921AF">
            <w:r>
              <w:t>Decay time constant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6EC2950B" w14:textId="01E156F0" w:rsidR="00025332" w:rsidRDefault="00025332" w:rsidP="001921AF">
            <w:r>
              <w:t>7.9±4.6</w:t>
            </w:r>
          </w:p>
        </w:tc>
        <w:tc>
          <w:tcPr>
            <w:tcW w:w="2221" w:type="dxa"/>
          </w:tcPr>
          <w:p w14:paraId="39DCC1F4" w14:textId="025BF443" w:rsidR="00025332" w:rsidRDefault="00025332" w:rsidP="001921AF">
            <w:r>
              <w:t>4.5±2.42</w:t>
            </w:r>
          </w:p>
        </w:tc>
      </w:tr>
      <w:tr w:rsidR="00025332" w14:paraId="3EC892C2" w14:textId="77777777" w:rsidTr="001921AF">
        <w:trPr>
          <w:trHeight w:val="303"/>
        </w:trPr>
        <w:tc>
          <w:tcPr>
            <w:tcW w:w="2221" w:type="dxa"/>
          </w:tcPr>
          <w:p w14:paraId="295AEAA6" w14:textId="661B5884" w:rsidR="00025332" w:rsidRDefault="00D02165" w:rsidP="001921AF">
            <w:r>
              <w:t>Amplitude (mV)</w:t>
            </w:r>
          </w:p>
        </w:tc>
        <w:tc>
          <w:tcPr>
            <w:tcW w:w="2221" w:type="dxa"/>
          </w:tcPr>
          <w:p w14:paraId="1FE8BD0C" w14:textId="354E7895" w:rsidR="00025332" w:rsidRDefault="00B57C14" w:rsidP="001921AF">
            <w:r>
              <w:t>0.86±0.15</w:t>
            </w:r>
          </w:p>
        </w:tc>
        <w:tc>
          <w:tcPr>
            <w:tcW w:w="2221" w:type="dxa"/>
          </w:tcPr>
          <w:p w14:paraId="3EA92790" w14:textId="65D6F1EA" w:rsidR="00025332" w:rsidRDefault="00B57C14" w:rsidP="001921AF">
            <w:r>
              <w:t>1.6±0.23</w:t>
            </w:r>
          </w:p>
        </w:tc>
      </w:tr>
      <w:tr w:rsidR="00823B1C" w14:paraId="0DA4F9B9" w14:textId="77777777" w:rsidTr="001921AF">
        <w:trPr>
          <w:trHeight w:val="303"/>
        </w:trPr>
        <w:tc>
          <w:tcPr>
            <w:tcW w:w="2221" w:type="dxa"/>
          </w:tcPr>
          <w:p w14:paraId="7107277D" w14:textId="77777777" w:rsidR="00823B1C" w:rsidRDefault="00823B1C" w:rsidP="001921AF"/>
        </w:tc>
        <w:tc>
          <w:tcPr>
            <w:tcW w:w="2221" w:type="dxa"/>
          </w:tcPr>
          <w:p w14:paraId="3A82CC17" w14:textId="77777777" w:rsidR="00823B1C" w:rsidRDefault="00823B1C" w:rsidP="001921AF"/>
        </w:tc>
        <w:tc>
          <w:tcPr>
            <w:tcW w:w="2221" w:type="dxa"/>
          </w:tcPr>
          <w:p w14:paraId="46DC5490" w14:textId="77777777" w:rsidR="00823B1C" w:rsidRDefault="00823B1C" w:rsidP="001921AF"/>
        </w:tc>
      </w:tr>
    </w:tbl>
    <w:p w14:paraId="77212DA7" w14:textId="77777777" w:rsidR="00823B1C" w:rsidRDefault="00823B1C" w:rsidP="00025332"/>
    <w:p w14:paraId="14D62959" w14:textId="77EB0022" w:rsidR="00823B1C" w:rsidRDefault="00823B1C" w:rsidP="00025332">
      <w:r>
        <w:t>Jian et al, 2015</w:t>
      </w:r>
    </w:p>
    <w:p w14:paraId="29636326" w14:textId="37F3921E" w:rsidR="00823B1C" w:rsidRDefault="00823B1C" w:rsidP="00025332">
      <w:r>
        <w:t>Gonzalez-Burgos et al 2004</w:t>
      </w:r>
    </w:p>
    <w:p w14:paraId="30ECF116" w14:textId="5F15C2C5" w:rsidR="00823B1C" w:rsidRDefault="00823B1C" w:rsidP="00025332">
      <w:r>
        <w:t>Morabito et al 2024</w:t>
      </w:r>
    </w:p>
    <w:p w14:paraId="50C0E64D" w14:textId="77777777" w:rsidR="00864E85" w:rsidRDefault="00864E85" w:rsidP="00025332"/>
    <w:p w14:paraId="5CF2B6B7" w14:textId="1D148A5A" w:rsidR="00864E85" w:rsidRDefault="00864E85" w:rsidP="00864E85">
      <w:r>
        <w:t xml:space="preserve">The sites seem to have trouble loading on </w:t>
      </w:r>
      <w:proofErr w:type="spellStart"/>
      <w:r>
        <w:t>allen</w:t>
      </w:r>
      <w:proofErr w:type="spellEnd"/>
      <w:r>
        <w:t xml:space="preserve"> for some reason, but when they are back up here the links where we got the cells. The number at the end of the </w:t>
      </w:r>
      <w:proofErr w:type="spellStart"/>
      <w:r>
        <w:t>url</w:t>
      </w:r>
      <w:proofErr w:type="spellEnd"/>
      <w:r>
        <w:t xml:space="preserve"> is the specimen ID.</w:t>
      </w:r>
    </w:p>
    <w:p w14:paraId="482E5CB4" w14:textId="77777777" w:rsidR="00864E85" w:rsidRDefault="00864E85" w:rsidP="00025332"/>
    <w:p w14:paraId="502E6050" w14:textId="6D9C81B2" w:rsidR="00864E85" w:rsidRDefault="00864E85" w:rsidP="00025332">
      <w:r>
        <w:t xml:space="preserve">PV is from: </w:t>
      </w:r>
      <w:hyperlink r:id="rId7" w:history="1">
        <w:r w:rsidRPr="00766AC2">
          <w:rPr>
            <w:rStyle w:val="Hyperlink"/>
          </w:rPr>
          <w:t>https://celltypes.brain-map.org/experiment/electrophysiology/484635029</w:t>
        </w:r>
      </w:hyperlink>
    </w:p>
    <w:p w14:paraId="14A341E6" w14:textId="77777777" w:rsidR="00864E85" w:rsidRDefault="00864E85" w:rsidP="00025332"/>
    <w:p w14:paraId="23287A03" w14:textId="77777777" w:rsidR="00A42C87" w:rsidRPr="00A42C87" w:rsidRDefault="00864E85" w:rsidP="00A42C87">
      <w:pPr>
        <w:rPr>
          <w:rStyle w:val="Hyperlink"/>
          <w:lang w:val="en-US"/>
        </w:rPr>
      </w:pPr>
      <w:r>
        <w:lastRenderedPageBreak/>
        <w:t xml:space="preserve">SST is from: </w:t>
      </w:r>
      <w:r>
        <w:fldChar w:fldCharType="begin"/>
      </w:r>
      <w:r>
        <w:instrText>HYPERLINK "https://celltypes.brain-map.org/experiment/electrophysiology/485466109"</w:instrText>
      </w:r>
      <w:r>
        <w:fldChar w:fldCharType="separate"/>
      </w:r>
      <w:r w:rsidRPr="00A42C87">
        <w:rPr>
          <w:rStyle w:val="Hyperlink"/>
        </w:rPr>
        <w:t>https://celltypes.brain-map.org/experiment/electrophysiology/</w:t>
      </w:r>
      <w:r w:rsidR="00A42C87" w:rsidRPr="00A42C87">
        <w:rPr>
          <w:rStyle w:val="Hyperlink"/>
          <w:lang w:val="en-US"/>
        </w:rPr>
        <w:t>476686112</w:t>
      </w:r>
    </w:p>
    <w:p w14:paraId="694C900F" w14:textId="62DD7CFC" w:rsidR="00864E85" w:rsidRDefault="00864E85" w:rsidP="00025332">
      <w:r>
        <w:rPr>
          <w:rStyle w:val="Hyperlink"/>
        </w:rPr>
        <w:fldChar w:fldCharType="end"/>
      </w:r>
    </w:p>
    <w:p w14:paraId="0327C9D5" w14:textId="77777777" w:rsidR="00864E85" w:rsidRDefault="00864E85" w:rsidP="00025332"/>
    <w:p w14:paraId="7ECB5569" w14:textId="77777777" w:rsidR="00864E85" w:rsidRDefault="00864E85" w:rsidP="00025332"/>
    <w:p w14:paraId="4D15E575" w14:textId="3B2E7981" w:rsidR="00864E85" w:rsidRDefault="00864E85" w:rsidP="00025332">
      <w:r>
        <w:t>Our models: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</w:tblGrid>
      <w:tr w:rsidR="00864E85" w14:paraId="50E3F984" w14:textId="77777777" w:rsidTr="00417F46">
        <w:trPr>
          <w:trHeight w:val="620"/>
        </w:trPr>
        <w:tc>
          <w:tcPr>
            <w:tcW w:w="2221" w:type="dxa"/>
          </w:tcPr>
          <w:p w14:paraId="7E257F70" w14:textId="4CB2D68A" w:rsidR="00864E85" w:rsidRDefault="00864E85" w:rsidP="00417F46">
            <w:r>
              <w:t xml:space="preserve">Biophysical properties </w:t>
            </w:r>
          </w:p>
        </w:tc>
        <w:tc>
          <w:tcPr>
            <w:tcW w:w="2221" w:type="dxa"/>
          </w:tcPr>
          <w:p w14:paraId="7F96E930" w14:textId="03DD3DF5" w:rsidR="00864E85" w:rsidRDefault="00864E85" w:rsidP="00417F46">
            <w:r>
              <w:t xml:space="preserve">SST </w:t>
            </w:r>
          </w:p>
        </w:tc>
        <w:tc>
          <w:tcPr>
            <w:tcW w:w="2221" w:type="dxa"/>
          </w:tcPr>
          <w:p w14:paraId="5B7CE03B" w14:textId="599EA0F7" w:rsidR="00864E85" w:rsidRDefault="00864E85" w:rsidP="00417F46">
            <w:r>
              <w:t xml:space="preserve">PV </w:t>
            </w:r>
          </w:p>
        </w:tc>
      </w:tr>
      <w:tr w:rsidR="00864E85" w14:paraId="7A559B51" w14:textId="77777777" w:rsidTr="00417F46">
        <w:trPr>
          <w:trHeight w:val="317"/>
        </w:trPr>
        <w:tc>
          <w:tcPr>
            <w:tcW w:w="2221" w:type="dxa"/>
          </w:tcPr>
          <w:p w14:paraId="54E810A6" w14:textId="77777777" w:rsidR="00864E85" w:rsidRDefault="00864E85" w:rsidP="00417F46">
            <w:r>
              <w:t>RMP (mV)</w:t>
            </w:r>
          </w:p>
        </w:tc>
        <w:tc>
          <w:tcPr>
            <w:tcW w:w="2221" w:type="dxa"/>
          </w:tcPr>
          <w:p w14:paraId="65D38605" w14:textId="29C779C0" w:rsidR="00864E85" w:rsidRDefault="00783CFE" w:rsidP="00417F46">
            <w:r>
              <w:t>-70.5116</w:t>
            </w:r>
          </w:p>
        </w:tc>
        <w:tc>
          <w:tcPr>
            <w:tcW w:w="2221" w:type="dxa"/>
          </w:tcPr>
          <w:p w14:paraId="7EC96639" w14:textId="44616F01" w:rsidR="00864E85" w:rsidRDefault="00783CFE" w:rsidP="00417F46">
            <w:r>
              <w:t>-75.6089</w:t>
            </w:r>
          </w:p>
        </w:tc>
      </w:tr>
      <w:tr w:rsidR="00864E85" w14:paraId="51F0A508" w14:textId="77777777" w:rsidTr="00417F46">
        <w:trPr>
          <w:trHeight w:val="303"/>
        </w:trPr>
        <w:tc>
          <w:tcPr>
            <w:tcW w:w="2221" w:type="dxa"/>
          </w:tcPr>
          <w:p w14:paraId="4134745A" w14:textId="77777777" w:rsidR="00864E85" w:rsidRDefault="00864E85" w:rsidP="00417F46">
            <w:r>
              <w:t>Rm (</w:t>
            </w:r>
            <w:proofErr w:type="spellStart"/>
            <w:r>
              <w:t>MOhm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14607957" w14:textId="63AF18BA" w:rsidR="00140EA9" w:rsidRDefault="00783CFE" w:rsidP="00417F46">
            <w:r>
              <w:t>992.7878</w:t>
            </w:r>
          </w:p>
        </w:tc>
        <w:tc>
          <w:tcPr>
            <w:tcW w:w="2221" w:type="dxa"/>
          </w:tcPr>
          <w:p w14:paraId="541BAD82" w14:textId="5D929DE8" w:rsidR="00864E85" w:rsidRDefault="00783CFE" w:rsidP="00417F46">
            <w:r>
              <w:t>426.6647</w:t>
            </w:r>
          </w:p>
        </w:tc>
      </w:tr>
      <w:tr w:rsidR="00864E85" w14:paraId="50EE0FD2" w14:textId="77777777" w:rsidTr="00417F46">
        <w:trPr>
          <w:trHeight w:val="317"/>
        </w:trPr>
        <w:tc>
          <w:tcPr>
            <w:tcW w:w="2221" w:type="dxa"/>
          </w:tcPr>
          <w:p w14:paraId="17F801A5" w14:textId="77777777" w:rsidR="00864E85" w:rsidRDefault="00864E85" w:rsidP="00417F46">
            <w:r>
              <w:t>Cm (pF)</w:t>
            </w:r>
          </w:p>
        </w:tc>
        <w:tc>
          <w:tcPr>
            <w:tcW w:w="2221" w:type="dxa"/>
          </w:tcPr>
          <w:p w14:paraId="2063D356" w14:textId="78555427" w:rsidR="00140EA9" w:rsidRPr="00140EA9" w:rsidRDefault="00783CFE" w:rsidP="00417F46">
            <w:r>
              <w:t>14.831</w:t>
            </w:r>
          </w:p>
        </w:tc>
        <w:tc>
          <w:tcPr>
            <w:tcW w:w="2221" w:type="dxa"/>
          </w:tcPr>
          <w:p w14:paraId="30AF4D28" w14:textId="21F6837B" w:rsidR="00864E85" w:rsidRDefault="00783CFE" w:rsidP="00417F46">
            <w:r>
              <w:t>13.1451</w:t>
            </w:r>
          </w:p>
        </w:tc>
      </w:tr>
      <w:tr w:rsidR="00864E85" w14:paraId="26F92BA9" w14:textId="77777777" w:rsidTr="00417F46">
        <w:trPr>
          <w:trHeight w:val="317"/>
        </w:trPr>
        <w:tc>
          <w:tcPr>
            <w:tcW w:w="2221" w:type="dxa"/>
          </w:tcPr>
          <w:p w14:paraId="57E1B9F6" w14:textId="77777777" w:rsidR="00864E85" w:rsidRDefault="00864E85" w:rsidP="00417F46">
            <w:r>
              <w:t>Tau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09A807EF" w14:textId="3D58F10B" w:rsidR="00864E85" w:rsidRDefault="00783CFE" w:rsidP="00417F46">
            <w:r>
              <w:t>14.724</w:t>
            </w:r>
          </w:p>
        </w:tc>
        <w:tc>
          <w:tcPr>
            <w:tcW w:w="2221" w:type="dxa"/>
          </w:tcPr>
          <w:p w14:paraId="0E450F14" w14:textId="31C7E42E" w:rsidR="00864E85" w:rsidRDefault="00783CFE" w:rsidP="00417F46">
            <w:r>
              <w:t>5.6086</w:t>
            </w:r>
          </w:p>
        </w:tc>
      </w:tr>
      <w:tr w:rsidR="00864E85" w14:paraId="6FA42AF3" w14:textId="77777777" w:rsidTr="00417F46">
        <w:trPr>
          <w:trHeight w:val="303"/>
        </w:trPr>
        <w:tc>
          <w:tcPr>
            <w:tcW w:w="2221" w:type="dxa"/>
          </w:tcPr>
          <w:p w14:paraId="400CBF7F" w14:textId="77777777" w:rsidR="00864E85" w:rsidRDefault="00864E85" w:rsidP="00417F46">
            <w:r>
              <w:t>Sag ratio</w:t>
            </w:r>
          </w:p>
        </w:tc>
        <w:tc>
          <w:tcPr>
            <w:tcW w:w="2221" w:type="dxa"/>
          </w:tcPr>
          <w:p w14:paraId="441B4174" w14:textId="31A77F24" w:rsidR="00864E85" w:rsidRDefault="00783CFE" w:rsidP="00417F46">
            <w:r>
              <w:t>0.9766</w:t>
            </w:r>
          </w:p>
        </w:tc>
        <w:tc>
          <w:tcPr>
            <w:tcW w:w="2221" w:type="dxa"/>
          </w:tcPr>
          <w:p w14:paraId="64AAE292" w14:textId="6D95D361" w:rsidR="00864E85" w:rsidRDefault="00783CFE" w:rsidP="00417F46">
            <w:r>
              <w:t>0.9889</w:t>
            </w:r>
          </w:p>
        </w:tc>
      </w:tr>
      <w:tr w:rsidR="00864E85" w14:paraId="0D3FFC29" w14:textId="77777777" w:rsidTr="00417F46">
        <w:trPr>
          <w:trHeight w:val="317"/>
        </w:trPr>
        <w:tc>
          <w:tcPr>
            <w:tcW w:w="2221" w:type="dxa"/>
          </w:tcPr>
          <w:p w14:paraId="0810AA76" w14:textId="77777777" w:rsidR="00864E85" w:rsidRDefault="00864E85" w:rsidP="00417F46">
            <w:r>
              <w:t>Rheobase (</w:t>
            </w:r>
            <w:proofErr w:type="spellStart"/>
            <w:r>
              <w:t>pA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02681FDA" w14:textId="08C97CC8" w:rsidR="00864E85" w:rsidRDefault="00783CFE" w:rsidP="00417F46">
            <w:r>
              <w:t>10</w:t>
            </w:r>
          </w:p>
        </w:tc>
        <w:tc>
          <w:tcPr>
            <w:tcW w:w="2221" w:type="dxa"/>
          </w:tcPr>
          <w:p w14:paraId="6F9A9D66" w14:textId="5EF7D2EB" w:rsidR="00864E85" w:rsidRDefault="00783CFE" w:rsidP="00417F46">
            <w:r>
              <w:t>110</w:t>
            </w:r>
          </w:p>
        </w:tc>
      </w:tr>
      <w:tr w:rsidR="00864E85" w14:paraId="37A8402D" w14:textId="77777777" w:rsidTr="00417F46">
        <w:trPr>
          <w:trHeight w:val="303"/>
        </w:trPr>
        <w:tc>
          <w:tcPr>
            <w:tcW w:w="2221" w:type="dxa"/>
          </w:tcPr>
          <w:p w14:paraId="6AB960B2" w14:textId="77777777" w:rsidR="00864E85" w:rsidRDefault="00864E85" w:rsidP="00417F46">
            <w:r>
              <w:t>Rin (</w:t>
            </w:r>
            <w:proofErr w:type="spellStart"/>
            <w:r>
              <w:t>MOhm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64BF8885" w14:textId="4544B418" w:rsidR="00864E85" w:rsidRDefault="00783CFE" w:rsidP="00417F46">
            <w:r>
              <w:t>291.1031</w:t>
            </w:r>
          </w:p>
        </w:tc>
        <w:tc>
          <w:tcPr>
            <w:tcW w:w="2221" w:type="dxa"/>
          </w:tcPr>
          <w:p w14:paraId="22E539D3" w14:textId="3F56E074" w:rsidR="00864E85" w:rsidRDefault="00783CFE" w:rsidP="00417F46">
            <w:r>
              <w:t>105.7324</w:t>
            </w:r>
          </w:p>
        </w:tc>
      </w:tr>
    </w:tbl>
    <w:p w14:paraId="3ADC3F8F" w14:textId="77777777" w:rsidR="00864E85" w:rsidRDefault="00864E85" w:rsidP="00025332"/>
    <w:p w14:paraId="11F61D23" w14:textId="3ABA90F6" w:rsidR="00140EA9" w:rsidRDefault="00140EA9" w:rsidP="00140EA9">
      <w:pPr>
        <w:ind w:left="720" w:firstLine="720"/>
      </w:pPr>
      <w:r>
        <w:t>FI – Curve for SST</w:t>
      </w:r>
      <w:r w:rsidR="00DB78F1">
        <w:tab/>
      </w:r>
      <w:r w:rsidR="00DB78F1">
        <w:tab/>
      </w:r>
      <w:r w:rsidR="00DB78F1">
        <w:tab/>
      </w:r>
      <w:r w:rsidR="00DB78F1">
        <w:tab/>
        <w:t>FI – Curve for PV</w:t>
      </w:r>
    </w:p>
    <w:p w14:paraId="364C1E10" w14:textId="3E21F29B" w:rsidR="00864E85" w:rsidRDefault="00783CFE" w:rsidP="00025332">
      <w:r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drawing>
          <wp:anchor distT="0" distB="0" distL="114300" distR="114300" simplePos="0" relativeHeight="251660288" behindDoc="1" locked="0" layoutInCell="1" allowOverlap="1" wp14:anchorId="7D0751F3" wp14:editId="3D7345B9">
            <wp:simplePos x="0" y="0"/>
            <wp:positionH relativeFrom="column">
              <wp:posOffset>3094990</wp:posOffset>
            </wp:positionH>
            <wp:positionV relativeFrom="paragraph">
              <wp:posOffset>150495</wp:posOffset>
            </wp:positionV>
            <wp:extent cx="278701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408" y="21443"/>
                <wp:lineTo x="21408" y="0"/>
                <wp:lineTo x="0" y="0"/>
              </wp:wrapPolygon>
            </wp:wrapTight>
            <wp:docPr id="1388989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24C10" w14:textId="3A03C824" w:rsidR="00DB78F1" w:rsidRPr="00DB78F1" w:rsidRDefault="00A42C87" w:rsidP="00DB78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69476" wp14:editId="15384F87">
            <wp:extent cx="2667000" cy="2001360"/>
            <wp:effectExtent l="0" t="0" r="0" b="0"/>
            <wp:docPr id="154528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30" cy="20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8F1" w:rsidRPr="00DB78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294E2F91" w14:textId="60EE7550" w:rsidR="00140EA9" w:rsidRPr="00140EA9" w:rsidRDefault="00140EA9" w:rsidP="00140EA9">
      <w:pPr>
        <w:rPr>
          <w:lang w:val="en-US"/>
        </w:rPr>
      </w:pPr>
    </w:p>
    <w:p w14:paraId="66894525" w14:textId="49E8E50B" w:rsidR="00864E85" w:rsidRDefault="00864E85" w:rsidP="00025332"/>
    <w:sectPr w:rsidR="0086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A820F5"/>
    <w:rsid w:val="00011745"/>
    <w:rsid w:val="00012BAA"/>
    <w:rsid w:val="000136FA"/>
    <w:rsid w:val="00020A22"/>
    <w:rsid w:val="00025332"/>
    <w:rsid w:val="0004301E"/>
    <w:rsid w:val="00045D62"/>
    <w:rsid w:val="00051129"/>
    <w:rsid w:val="00051B87"/>
    <w:rsid w:val="000532EC"/>
    <w:rsid w:val="000763AD"/>
    <w:rsid w:val="0008606C"/>
    <w:rsid w:val="000936BB"/>
    <w:rsid w:val="000A7B69"/>
    <w:rsid w:val="000B461D"/>
    <w:rsid w:val="000C4C75"/>
    <w:rsid w:val="000C65D7"/>
    <w:rsid w:val="000C69DC"/>
    <w:rsid w:val="000D1035"/>
    <w:rsid w:val="000D4313"/>
    <w:rsid w:val="000E6A9C"/>
    <w:rsid w:val="000F4A5C"/>
    <w:rsid w:val="00104535"/>
    <w:rsid w:val="001049C9"/>
    <w:rsid w:val="00105212"/>
    <w:rsid w:val="00112A8D"/>
    <w:rsid w:val="00123C45"/>
    <w:rsid w:val="00140EA9"/>
    <w:rsid w:val="0014535F"/>
    <w:rsid w:val="001471F2"/>
    <w:rsid w:val="00147FAD"/>
    <w:rsid w:val="00164413"/>
    <w:rsid w:val="00171DFE"/>
    <w:rsid w:val="00174F78"/>
    <w:rsid w:val="001762E4"/>
    <w:rsid w:val="00176BF5"/>
    <w:rsid w:val="0018464C"/>
    <w:rsid w:val="001A4FAE"/>
    <w:rsid w:val="001C1C8E"/>
    <w:rsid w:val="001C4462"/>
    <w:rsid w:val="001D7538"/>
    <w:rsid w:val="001E5B57"/>
    <w:rsid w:val="00202297"/>
    <w:rsid w:val="00205A23"/>
    <w:rsid w:val="00211F90"/>
    <w:rsid w:val="00212FAC"/>
    <w:rsid w:val="00215BC1"/>
    <w:rsid w:val="00232ADF"/>
    <w:rsid w:val="0024568A"/>
    <w:rsid w:val="00245B5D"/>
    <w:rsid w:val="00267AB4"/>
    <w:rsid w:val="00283EC9"/>
    <w:rsid w:val="002867E9"/>
    <w:rsid w:val="002A4325"/>
    <w:rsid w:val="002B0CE9"/>
    <w:rsid w:val="002B4A61"/>
    <w:rsid w:val="002B5358"/>
    <w:rsid w:val="002C4204"/>
    <w:rsid w:val="002D72B8"/>
    <w:rsid w:val="002D74DC"/>
    <w:rsid w:val="003060CD"/>
    <w:rsid w:val="00310A23"/>
    <w:rsid w:val="00317BED"/>
    <w:rsid w:val="0032553C"/>
    <w:rsid w:val="0032668E"/>
    <w:rsid w:val="003331BD"/>
    <w:rsid w:val="00334564"/>
    <w:rsid w:val="00335F0B"/>
    <w:rsid w:val="0034067C"/>
    <w:rsid w:val="00361CFC"/>
    <w:rsid w:val="0036724C"/>
    <w:rsid w:val="00367673"/>
    <w:rsid w:val="003A2EBF"/>
    <w:rsid w:val="003B01BA"/>
    <w:rsid w:val="003C06D2"/>
    <w:rsid w:val="003C71EB"/>
    <w:rsid w:val="003D1256"/>
    <w:rsid w:val="00416711"/>
    <w:rsid w:val="00426FB1"/>
    <w:rsid w:val="00433788"/>
    <w:rsid w:val="0044690A"/>
    <w:rsid w:val="00461D4E"/>
    <w:rsid w:val="0046546F"/>
    <w:rsid w:val="00476E9E"/>
    <w:rsid w:val="00491BD7"/>
    <w:rsid w:val="00493FBA"/>
    <w:rsid w:val="004A6047"/>
    <w:rsid w:val="004A6999"/>
    <w:rsid w:val="004D219A"/>
    <w:rsid w:val="004E2A1F"/>
    <w:rsid w:val="004E729F"/>
    <w:rsid w:val="00517B0C"/>
    <w:rsid w:val="00530C9E"/>
    <w:rsid w:val="00531584"/>
    <w:rsid w:val="005349D9"/>
    <w:rsid w:val="005367FE"/>
    <w:rsid w:val="00590A37"/>
    <w:rsid w:val="00590AFB"/>
    <w:rsid w:val="005A19B0"/>
    <w:rsid w:val="005A73E8"/>
    <w:rsid w:val="005A7B0D"/>
    <w:rsid w:val="005B44B4"/>
    <w:rsid w:val="005B6843"/>
    <w:rsid w:val="005B6F0C"/>
    <w:rsid w:val="005C7A6A"/>
    <w:rsid w:val="005D5D7E"/>
    <w:rsid w:val="005E057D"/>
    <w:rsid w:val="005E6312"/>
    <w:rsid w:val="005F5885"/>
    <w:rsid w:val="006029DF"/>
    <w:rsid w:val="00610EE3"/>
    <w:rsid w:val="006144F4"/>
    <w:rsid w:val="00624082"/>
    <w:rsid w:val="00642581"/>
    <w:rsid w:val="00645777"/>
    <w:rsid w:val="006460FB"/>
    <w:rsid w:val="00646E05"/>
    <w:rsid w:val="006663C3"/>
    <w:rsid w:val="00680C74"/>
    <w:rsid w:val="006829CE"/>
    <w:rsid w:val="00683C9E"/>
    <w:rsid w:val="006876D0"/>
    <w:rsid w:val="0069245A"/>
    <w:rsid w:val="00696122"/>
    <w:rsid w:val="0069748F"/>
    <w:rsid w:val="006A466A"/>
    <w:rsid w:val="006B5B88"/>
    <w:rsid w:val="006C47F8"/>
    <w:rsid w:val="006D178F"/>
    <w:rsid w:val="006D7F3E"/>
    <w:rsid w:val="006E0C96"/>
    <w:rsid w:val="00704A47"/>
    <w:rsid w:val="00714AB8"/>
    <w:rsid w:val="00715071"/>
    <w:rsid w:val="0071603D"/>
    <w:rsid w:val="00721B74"/>
    <w:rsid w:val="00742501"/>
    <w:rsid w:val="007453F2"/>
    <w:rsid w:val="007708FB"/>
    <w:rsid w:val="00782BE8"/>
    <w:rsid w:val="00783CFE"/>
    <w:rsid w:val="00790896"/>
    <w:rsid w:val="00794668"/>
    <w:rsid w:val="00795138"/>
    <w:rsid w:val="00797D24"/>
    <w:rsid w:val="007B33FC"/>
    <w:rsid w:val="007C28C2"/>
    <w:rsid w:val="007D66C9"/>
    <w:rsid w:val="007E26FA"/>
    <w:rsid w:val="007E50DD"/>
    <w:rsid w:val="007E70B1"/>
    <w:rsid w:val="007F040E"/>
    <w:rsid w:val="007F3335"/>
    <w:rsid w:val="007F4991"/>
    <w:rsid w:val="008037B2"/>
    <w:rsid w:val="00804AE3"/>
    <w:rsid w:val="00806190"/>
    <w:rsid w:val="008122B1"/>
    <w:rsid w:val="00823B1C"/>
    <w:rsid w:val="00834CF0"/>
    <w:rsid w:val="008423B6"/>
    <w:rsid w:val="00844442"/>
    <w:rsid w:val="008507E7"/>
    <w:rsid w:val="00862D2A"/>
    <w:rsid w:val="00862F54"/>
    <w:rsid w:val="00864E85"/>
    <w:rsid w:val="0087770B"/>
    <w:rsid w:val="00884B8D"/>
    <w:rsid w:val="00892338"/>
    <w:rsid w:val="008C18F2"/>
    <w:rsid w:val="008C49E9"/>
    <w:rsid w:val="008D7E73"/>
    <w:rsid w:val="008E491C"/>
    <w:rsid w:val="00904736"/>
    <w:rsid w:val="00945B93"/>
    <w:rsid w:val="00953B14"/>
    <w:rsid w:val="009733BC"/>
    <w:rsid w:val="00973FCA"/>
    <w:rsid w:val="00986E0D"/>
    <w:rsid w:val="00992633"/>
    <w:rsid w:val="009948E6"/>
    <w:rsid w:val="009A0D10"/>
    <w:rsid w:val="009A45FB"/>
    <w:rsid w:val="009A6D59"/>
    <w:rsid w:val="009B7D2D"/>
    <w:rsid w:val="009C7488"/>
    <w:rsid w:val="009D267E"/>
    <w:rsid w:val="009D49E7"/>
    <w:rsid w:val="009E5DB8"/>
    <w:rsid w:val="00A01D1B"/>
    <w:rsid w:val="00A13B32"/>
    <w:rsid w:val="00A4040A"/>
    <w:rsid w:val="00A42C87"/>
    <w:rsid w:val="00A45038"/>
    <w:rsid w:val="00A67443"/>
    <w:rsid w:val="00A72F29"/>
    <w:rsid w:val="00A81E7C"/>
    <w:rsid w:val="00A820F5"/>
    <w:rsid w:val="00A82EBD"/>
    <w:rsid w:val="00A8385B"/>
    <w:rsid w:val="00A84905"/>
    <w:rsid w:val="00A93259"/>
    <w:rsid w:val="00A9527C"/>
    <w:rsid w:val="00A964D1"/>
    <w:rsid w:val="00AA70ED"/>
    <w:rsid w:val="00AD5C4B"/>
    <w:rsid w:val="00AE32AA"/>
    <w:rsid w:val="00B01619"/>
    <w:rsid w:val="00B01A86"/>
    <w:rsid w:val="00B0436E"/>
    <w:rsid w:val="00B14561"/>
    <w:rsid w:val="00B22B3A"/>
    <w:rsid w:val="00B23E8E"/>
    <w:rsid w:val="00B376B1"/>
    <w:rsid w:val="00B57C14"/>
    <w:rsid w:val="00B77286"/>
    <w:rsid w:val="00B96A78"/>
    <w:rsid w:val="00BA3F72"/>
    <w:rsid w:val="00BA7055"/>
    <w:rsid w:val="00BB56C1"/>
    <w:rsid w:val="00BC36B6"/>
    <w:rsid w:val="00BC662B"/>
    <w:rsid w:val="00BF3C9B"/>
    <w:rsid w:val="00BF5DE7"/>
    <w:rsid w:val="00BF6A71"/>
    <w:rsid w:val="00C10541"/>
    <w:rsid w:val="00C178C3"/>
    <w:rsid w:val="00C20C6A"/>
    <w:rsid w:val="00C26A88"/>
    <w:rsid w:val="00C323A3"/>
    <w:rsid w:val="00C34D73"/>
    <w:rsid w:val="00C3552B"/>
    <w:rsid w:val="00C443C2"/>
    <w:rsid w:val="00C50621"/>
    <w:rsid w:val="00C50896"/>
    <w:rsid w:val="00C66CA9"/>
    <w:rsid w:val="00C67A1F"/>
    <w:rsid w:val="00C67A29"/>
    <w:rsid w:val="00C8618F"/>
    <w:rsid w:val="00CA056D"/>
    <w:rsid w:val="00CA51FC"/>
    <w:rsid w:val="00CC32F1"/>
    <w:rsid w:val="00CC377C"/>
    <w:rsid w:val="00CD4A72"/>
    <w:rsid w:val="00D02165"/>
    <w:rsid w:val="00D0330F"/>
    <w:rsid w:val="00D12A8C"/>
    <w:rsid w:val="00D1691C"/>
    <w:rsid w:val="00D270CF"/>
    <w:rsid w:val="00D300C7"/>
    <w:rsid w:val="00D318F5"/>
    <w:rsid w:val="00D34441"/>
    <w:rsid w:val="00D35548"/>
    <w:rsid w:val="00D81B3C"/>
    <w:rsid w:val="00D9328D"/>
    <w:rsid w:val="00D9407C"/>
    <w:rsid w:val="00D959AE"/>
    <w:rsid w:val="00D95E6E"/>
    <w:rsid w:val="00D9666A"/>
    <w:rsid w:val="00DA2FF3"/>
    <w:rsid w:val="00DB78F1"/>
    <w:rsid w:val="00DC19F4"/>
    <w:rsid w:val="00DC39E8"/>
    <w:rsid w:val="00DC68FC"/>
    <w:rsid w:val="00DC728E"/>
    <w:rsid w:val="00DF15B4"/>
    <w:rsid w:val="00DF3775"/>
    <w:rsid w:val="00E04356"/>
    <w:rsid w:val="00E11A31"/>
    <w:rsid w:val="00E13DEF"/>
    <w:rsid w:val="00E20C42"/>
    <w:rsid w:val="00E2125B"/>
    <w:rsid w:val="00E2610C"/>
    <w:rsid w:val="00E322E8"/>
    <w:rsid w:val="00E476D2"/>
    <w:rsid w:val="00E81760"/>
    <w:rsid w:val="00E9032E"/>
    <w:rsid w:val="00E924FF"/>
    <w:rsid w:val="00E95F4A"/>
    <w:rsid w:val="00E97FF4"/>
    <w:rsid w:val="00EA4FEA"/>
    <w:rsid w:val="00EC3217"/>
    <w:rsid w:val="00EC50B2"/>
    <w:rsid w:val="00ED3197"/>
    <w:rsid w:val="00ED4E86"/>
    <w:rsid w:val="00EE26AA"/>
    <w:rsid w:val="00EF0785"/>
    <w:rsid w:val="00EF119A"/>
    <w:rsid w:val="00EF14B6"/>
    <w:rsid w:val="00F11B75"/>
    <w:rsid w:val="00F14CEE"/>
    <w:rsid w:val="00F43A48"/>
    <w:rsid w:val="00F45EF6"/>
    <w:rsid w:val="00F50294"/>
    <w:rsid w:val="00F516FF"/>
    <w:rsid w:val="00F82A6C"/>
    <w:rsid w:val="00F86C28"/>
    <w:rsid w:val="00FB100B"/>
    <w:rsid w:val="00FB676C"/>
    <w:rsid w:val="00FB6A10"/>
    <w:rsid w:val="00FB7D19"/>
    <w:rsid w:val="00FC320A"/>
    <w:rsid w:val="00FD28A2"/>
    <w:rsid w:val="00FE4532"/>
    <w:rsid w:val="00F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113"/>
  <w15:chartTrackingRefBased/>
  <w15:docId w15:val="{F48BFCE6-2C8B-B147-AE8C-8E67C78D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2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E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78F1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42C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elltypes.brain-map.org/experiment/electrophysiology/4846350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dopp\Everything_Grad\Binocular%20Integration\from_Madhu\I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dopp\Everything_Grad\Binocular%20Integration\from_Madhu\I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PV FI curve</a:t>
            </a:r>
          </a:p>
        </c:rich>
      </c:tx>
      <c:layout>
        <c:manualLayout>
          <c:xMode val="edge"/>
          <c:yMode val="edge"/>
          <c:x val="0.4313123359580052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IV!$E$4:$E$20</c:f>
              <c:numCache>
                <c:formatCode>General</c:formatCode>
                <c:ptCount val="17"/>
                <c:pt idx="0">
                  <c:v>-100</c:v>
                </c:pt>
                <c:pt idx="1">
                  <c:v>-75</c:v>
                </c:pt>
                <c:pt idx="2">
                  <c:v>-50</c:v>
                </c:pt>
                <c:pt idx="3">
                  <c:v>-25</c:v>
                </c:pt>
                <c:pt idx="4">
                  <c:v>0</c:v>
                </c:pt>
                <c:pt idx="5">
                  <c:v>25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175</c:v>
                </c:pt>
                <c:pt idx="12">
                  <c:v>200</c:v>
                </c:pt>
                <c:pt idx="13">
                  <c:v>225</c:v>
                </c:pt>
                <c:pt idx="14">
                  <c:v>250</c:v>
                </c:pt>
                <c:pt idx="15">
                  <c:v>275</c:v>
                </c:pt>
                <c:pt idx="16">
                  <c:v>300</c:v>
                </c:pt>
              </c:numCache>
            </c:numRef>
          </c:xVal>
          <c:yVal>
            <c:numRef>
              <c:f>IV!$F$4:$F$20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8.3333333333333301E-2</c:v>
                </c:pt>
                <c:pt idx="8">
                  <c:v>3.25</c:v>
                </c:pt>
                <c:pt idx="9">
                  <c:v>6.1666666666666696</c:v>
                </c:pt>
                <c:pt idx="10">
                  <c:v>12.9166666666667</c:v>
                </c:pt>
                <c:pt idx="11">
                  <c:v>19.6666666666667</c:v>
                </c:pt>
                <c:pt idx="12">
                  <c:v>27.9166666666667</c:v>
                </c:pt>
                <c:pt idx="13">
                  <c:v>35.1666666666667</c:v>
                </c:pt>
                <c:pt idx="14">
                  <c:v>44.8333333333333</c:v>
                </c:pt>
                <c:pt idx="15">
                  <c:v>55.5</c:v>
                </c:pt>
                <c:pt idx="16">
                  <c:v>57.363636363636402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73-497A-B646-9BB1F73B7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259423"/>
        <c:axId val="438261823"/>
      </c:scatterChart>
      <c:valAx>
        <c:axId val="438259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261823"/>
        <c:crosses val="autoZero"/>
        <c:crossBetween val="midCat"/>
      </c:valAx>
      <c:valAx>
        <c:axId val="43826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259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SST FI</a:t>
            </a:r>
            <a:r>
              <a:rPr lang="en-US" baseline="0"/>
              <a:t>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IV!$A$4:$A$20</c:f>
              <c:numCache>
                <c:formatCode>General</c:formatCode>
                <c:ptCount val="17"/>
                <c:pt idx="0">
                  <c:v>-100</c:v>
                </c:pt>
                <c:pt idx="1">
                  <c:v>-75</c:v>
                </c:pt>
                <c:pt idx="2">
                  <c:v>-50</c:v>
                </c:pt>
                <c:pt idx="3">
                  <c:v>-25</c:v>
                </c:pt>
                <c:pt idx="4">
                  <c:v>0</c:v>
                </c:pt>
                <c:pt idx="5">
                  <c:v>25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175</c:v>
                </c:pt>
                <c:pt idx="12">
                  <c:v>200</c:v>
                </c:pt>
                <c:pt idx="13">
                  <c:v>225</c:v>
                </c:pt>
                <c:pt idx="14">
                  <c:v>250</c:v>
                </c:pt>
                <c:pt idx="15">
                  <c:v>275</c:v>
                </c:pt>
                <c:pt idx="16">
                  <c:v>300</c:v>
                </c:pt>
              </c:numCache>
            </c:numRef>
          </c:xVal>
          <c:yVal>
            <c:numRef>
              <c:f>IV!$B$4:$B$20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5.0769230769230802</c:v>
                </c:pt>
                <c:pt idx="7">
                  <c:v>9.4615384615384599</c:v>
                </c:pt>
                <c:pt idx="8">
                  <c:v>15.692307692307701</c:v>
                </c:pt>
                <c:pt idx="9">
                  <c:v>23.923076923076898</c:v>
                </c:pt>
                <c:pt idx="10">
                  <c:v>33</c:v>
                </c:pt>
                <c:pt idx="11">
                  <c:v>41.692307692307701</c:v>
                </c:pt>
                <c:pt idx="12">
                  <c:v>48.538461538461497</c:v>
                </c:pt>
                <c:pt idx="13">
                  <c:v>54.230769230769198</c:v>
                </c:pt>
                <c:pt idx="14">
                  <c:v>59.076923076923102</c:v>
                </c:pt>
                <c:pt idx="15">
                  <c:v>64.5833333333333</c:v>
                </c:pt>
                <c:pt idx="16">
                  <c:v>67.2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8A-4C41-8513-A51E1654C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971535"/>
        <c:axId val="277972015"/>
      </c:scatterChart>
      <c:valAx>
        <c:axId val="277971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972015"/>
        <c:crosses val="autoZero"/>
        <c:crossBetween val="midCat"/>
      </c:valAx>
      <c:valAx>
        <c:axId val="27797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971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1AE2CB-C8A1-114E-9EEA-67BC637A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Perumal</dc:creator>
  <cp:keywords/>
  <dc:description/>
  <cp:lastModifiedBy>Omelyusik, Vladimir (MU-Student)</cp:lastModifiedBy>
  <cp:revision>2</cp:revision>
  <dcterms:created xsi:type="dcterms:W3CDTF">2025-02-17T01:49:00Z</dcterms:created>
  <dcterms:modified xsi:type="dcterms:W3CDTF">2025-02-17T01:49:00Z</dcterms:modified>
</cp:coreProperties>
</file>