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-ipv6 rip rip-as enable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Habilita el protocolo rip ipv6 en la interfaz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-show ipv6 protocols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Muestra los protocolos ipv6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-show ipv6 route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Muestra las rutas ipv6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