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rPr>
        <w:t xml:space="preserve">LIAS — Comprehensive User Guide</w:t>
      </w:r>
    </w:p>
    <w:p>
      <w:pPr>
        <w:spacing w:after="120"/>
      </w:pPr>
      <w:r>
        <w:rPr>
          <w:rFonts w:ascii="Arial" w:cs="Arial" w:eastAsia="Arial" w:hAnsi="Arial"/>
          <w:sz w:val="22"/>
          <w:szCs w:val="22"/>
        </w:rPr>
        <w:t xml:space="preserve">Legal case-management system: automated downloads from Net-HaMishpat, the Rabbinical Courts (BDR) and the Enforcement Authority (ECA), a dashboard, a document viewer and transcription. Current as of July 2026.</w:t>
      </w:r>
    </w:p>
    <w:p>
      <w:pPr>
        <w:pStyle w:val="Heading1"/>
        <w:spacing w:after="120"/>
      </w:pPr>
      <w:r>
        <w:rPr>
          <w:rFonts w:ascii="Arial" w:cs="Arial" w:eastAsia="Arial" w:hAnsi="Arial"/>
        </w:rPr>
        <w:t xml:space="preserve">1. Running the app</w:t>
      </w:r>
    </w:p>
    <w:p>
      <w:pPr>
        <w:spacing w:after="120"/>
      </w:pPr>
      <w:r>
        <w:rPr>
          <w:rFonts w:ascii="Arial" w:cs="Arial" w:eastAsia="Arial" w:hAnsi="Arial"/>
          <w:sz w:val="22"/>
          <w:szCs w:val="22"/>
        </w:rPr>
        <w:t xml:space="preserve">From the legal-AI-app folder run:</w:t>
      </w:r>
    </w:p>
    <w:p>
      <w:pPr>
        <w:shd w:fill="F2F2F2" w:val="clear"/>
        <w:spacing w:after="120"/>
      </w:pPr>
      <w:r>
        <w:rPr>
          <w:rFonts w:ascii="Courier New" w:cs="Courier New" w:eastAsia="Courier New" w:hAnsi="Courier New"/>
          <w:sz w:val="20"/>
          <w:szCs w:val="20"/>
        </w:rPr>
        <w:t xml:space="preserve">python3 app.py</w:t>
      </w:r>
    </w:p>
    <w:p>
      <w:pPr>
        <w:spacing w:after="120"/>
      </w:pPr>
      <w:r>
        <w:rPr>
          <w:rFonts w:ascii="Arial" w:cs="Arial" w:eastAsia="Arial" w:hAnsi="Arial"/>
          <w:sz w:val="22"/>
          <w:szCs w:val="22"/>
        </w:rPr>
        <w:t xml:space="preserve">The app opens at http://localhost:8500. Everything runs in a single process — the sync engine (automation browsers + job queue) starts automatically in the background on first use. Automation browsers are hidden by default; the 🖥 button reveals them, or start with:</w:t>
      </w:r>
    </w:p>
    <w:p>
      <w:pPr>
        <w:shd w:fill="F2F2F2" w:val="clear"/>
        <w:spacing w:after="120"/>
      </w:pPr>
      <w:r>
        <w:rPr>
          <w:rFonts w:ascii="Courier New" w:cs="Courier New" w:eastAsia="Courier New" w:hAnsi="Courier New"/>
          <w:sz w:val="20"/>
          <w:szCs w:val="20"/>
        </w:rPr>
        <w:t xml:space="preserve">LIAS_HEADFUL=1 python3 app.py</w:t>
      </w:r>
    </w:p>
    <w:p>
      <w:pPr>
        <w:pStyle w:val="ListParagraph"/>
        <w:numPr>
          <w:ilvl w:val="0"/>
          <w:numId w:val="2"/>
        </w:numPr>
        <w:spacing w:after="120"/>
      </w:pPr>
      <w:r>
        <w:rPr>
          <w:rFonts w:ascii="Arial" w:cs="Arial" w:eastAsia="Arial" w:hAnsi="Arial"/>
          <w:sz w:val="22"/>
          <w:szCs w:val="22"/>
        </w:rPr>
        <w:t xml:space="preserve">Requirements: Python 3.9+, Playwright (pip install playwright &amp;&amp; playwright install chromium), ffmpeg (transcription), faster-whisper (transcription), LibreOffice (Word preview).</w:t>
      </w:r>
    </w:p>
    <w:p>
      <w:pPr>
        <w:pStyle w:val="ListParagraph"/>
        <w:numPr>
          <w:ilvl w:val="0"/>
          <w:numId w:val="2"/>
        </w:numPr>
        <w:spacing w:after="120"/>
      </w:pPr>
      <w:r>
        <w:rPr>
          <w:rFonts w:ascii="Arial" w:cs="Arial" w:eastAsia="Arial" w:hAnsi="Arial"/>
          <w:sz w:val="22"/>
          <w:szCs w:val="22"/>
        </w:rPr>
        <w:t xml:space="preserve">Login: pick a user type (lawyer / rabbinical pleader / client), name and email. gov.il credentials are stored locally only (Keychain).</w:t>
      </w:r>
    </w:p>
    <w:p>
      <w:pPr>
        <w:pStyle w:val="Heading1"/>
        <w:spacing w:after="120"/>
      </w:pPr>
      <w:r>
        <w:rPr>
          <w:rFonts w:ascii="Arial" w:cs="Arial" w:eastAsia="Arial" w:hAnsi="Arial"/>
        </w:rPr>
        <w:t xml:space="preserve">2. Screens</w:t>
      </w:r>
    </w:p>
    <w:p>
      <w:pPr>
        <w:pStyle w:val="ListParagraph"/>
        <w:numPr>
          <w:ilvl w:val="0"/>
          <w:numId w:val="2"/>
        </w:numPr>
        <w:spacing w:after="120"/>
      </w:pPr>
      <w:r>
        <w:rPr>
          <w:rFonts w:ascii="Arial" w:cs="Arial" w:eastAsia="Arial" w:hAnsi="Arial"/>
          <w:sz w:val="22"/>
          <w:szCs w:val="22"/>
        </w:rPr>
        <w:t xml:space="preserve">Dashboard — KPIs (clients, cases, documents), charts, recent documents. In the client dashboard every KPI card opens its own filtered list, and cases are organized hierarchically: court instance → main case → sub-cases. Groups start collapsed and remember what you open.</w:t>
      </w:r>
    </w:p>
    <w:p>
      <w:pPr>
        <w:pStyle w:val="ListParagraph"/>
        <w:numPr>
          <w:ilvl w:val="0"/>
          <w:numId w:val="2"/>
        </w:numPr>
        <w:spacing w:after="120"/>
      </w:pPr>
      <w:r>
        <w:rPr>
          <w:rFonts w:ascii="Arial" w:cs="Arial" w:eastAsia="Arial" w:hAnsi="Arial"/>
          <w:sz w:val="22"/>
          <w:szCs w:val="22"/>
        </w:rPr>
        <w:t xml:space="preserve">Cases — a list grouped by client and court, with open/closed chips per case.</w:t>
      </w:r>
    </w:p>
    <w:p>
      <w:pPr>
        <w:pStyle w:val="ListParagraph"/>
        <w:numPr>
          <w:ilvl w:val="0"/>
          <w:numId w:val="2"/>
        </w:numPr>
        <w:spacing w:after="120"/>
      </w:pPr>
      <w:r>
        <w:rPr>
          <w:rFonts w:ascii="Arial" w:cs="Arial" w:eastAsia="Arial" w:hAnsi="Arial"/>
          <w:sz w:val="22"/>
          <w:szCs w:val="22"/>
        </w:rPr>
        <w:t xml:space="preserve">Sync — three download buttons: Net-HaMishpat, Rabbinical Court, Enforcement Authority.</w:t>
      </w:r>
    </w:p>
    <w:p>
      <w:pPr>
        <w:pStyle w:val="ListParagraph"/>
        <w:numPr>
          <w:ilvl w:val="0"/>
          <w:numId w:val="2"/>
        </w:numPr>
        <w:spacing w:after="120"/>
      </w:pPr>
      <w:r>
        <w:rPr>
          <w:rFonts w:ascii="Arial" w:cs="Arial" w:eastAsia="Arial" w:hAnsi="Arial"/>
          <w:sz w:val="22"/>
          <w:szCs w:val="22"/>
        </w:rPr>
        <w:t xml:space="preserve">Transcription — drop an audio file for automatic Hebrew transcription.</w:t>
      </w:r>
    </w:p>
    <w:p>
      <w:pPr>
        <w:pStyle w:val="ListParagraph"/>
        <w:numPr>
          <w:ilvl w:val="0"/>
          <w:numId w:val="2"/>
        </w:numPr>
        <w:spacing w:after="120"/>
      </w:pPr>
      <w:r>
        <w:rPr>
          <w:rFonts w:ascii="Arial" w:cs="Arial" w:eastAsia="Arial" w:hAnsi="Arial"/>
          <w:sz w:val="22"/>
          <w:szCs w:val="22"/>
        </w:rPr>
        <w:t xml:space="preserve">Pinboard (📌) — file documents under topics with personal notes.</w:t>
      </w:r>
    </w:p>
    <w:p>
      <w:pPr>
        <w:pStyle w:val="Heading1"/>
        <w:spacing w:after="120"/>
      </w:pPr>
      <w:r>
        <w:rPr>
          <w:rFonts w:ascii="Arial" w:cs="Arial" w:eastAsia="Arial" w:hAnsi="Arial"/>
        </w:rPr>
        <w:t xml:space="preserve">3. Downloading cases</w:t>
      </w:r>
    </w:p>
    <w:p>
      <w:pPr>
        <w:spacing w:after="120"/>
      </w:pPr>
      <w:r>
        <w:rPr>
          <w:rFonts w:ascii="Arial" w:cs="Arial" w:eastAsia="Arial" w:hAnsi="Arial"/>
          <w:sz w:val="22"/>
          <w:szCs w:val="22"/>
        </w:rPr>
        <w:t xml:space="preserve">Net-HaMishpat: scan the currently-open case, smart download of selected cases, or "My Cases" by date range (with automatic fallback to open-date search).</w:t>
      </w:r>
    </w:p>
    <w:p>
      <w:pPr>
        <w:spacing w:after="120"/>
      </w:pPr>
      <w:r>
        <w:rPr>
          <w:rFonts w:ascii="Arial" w:cs="Arial" w:eastAsia="Arial" w:hAnsi="Arial"/>
          <w:sz w:val="22"/>
          <w:szCs w:val="22"/>
        </w:rPr>
        <w:t xml:space="preserve">Rabbinical Court (BDR): the button asks — leave empty for all cases, or type a client name to download only theirs. Two-tier discovery: "All", and if empty, per-status fallback.</w:t>
      </w:r>
    </w:p>
    <w:p>
      <w:pPr>
        <w:spacing w:after="120"/>
      </w:pPr>
      <w:r>
        <w:rPr>
          <w:rFonts w:ascii="Arial" w:cs="Arial" w:eastAsia="Arial" w:hAnsi="Arial"/>
          <w:sz w:val="22"/>
          <w:szCs w:val="22"/>
        </w:rPr>
        <w:t xml:space="preserve">Enforcement Authority (ECA): leave empty for all cases, or comma-separated case numbers. Documents are saved under client/Enforcement/case/process, with filenames carrying process number, date, motion/decision and filer. Unavailable documents are skipped automatically and the run continues.</w:t>
      </w:r>
    </w:p>
    <w:p>
      <w:pPr>
        <w:spacing w:after="120"/>
      </w:pPr>
      <w:r>
        <w:rPr>
          <w:rFonts w:ascii="Arial" w:cs="Arial" w:eastAsia="Arial" w:hAnsi="Arial"/>
          <w:sz w:val="22"/>
          <w:szCs w:val="22"/>
        </w:rPr>
        <w:t xml:space="preserve">All portal logins go through gov.il with a one-time code — read automatically from email or entered in a popup. Downloads resume where they left off (existing files are skipped).</w:t>
      </w:r>
    </w:p>
    <w:p>
      <w:pPr>
        <w:pStyle w:val="Heading1"/>
        <w:spacing w:after="120"/>
      </w:pPr>
      <w:r>
        <w:rPr>
          <w:rFonts w:ascii="Arial" w:cs="Arial" w:eastAsia="Arial" w:hAnsi="Arial"/>
        </w:rPr>
        <w:t xml:space="preserve">4. Document viewer</w:t>
      </w:r>
    </w:p>
    <w:p>
      <w:pPr>
        <w:pStyle w:val="ListParagraph"/>
        <w:numPr>
          <w:ilvl w:val="0"/>
          <w:numId w:val="2"/>
        </w:numPr>
        <w:spacing w:after="120"/>
      </w:pPr>
      <w:r>
        <w:rPr>
          <w:rFonts w:ascii="Arial" w:cs="Arial" w:eastAsia="Arial" w:hAnsi="Arial"/>
          <w:sz w:val="22"/>
          <w:szCs w:val="22"/>
        </w:rPr>
        <w:t xml:space="preserve">PDFs open inside the app; Word files are converted to PDF on the server (or rendered directly) — Word itself is never launched.</w:t>
      </w:r>
    </w:p>
    <w:p>
      <w:pPr>
        <w:pStyle w:val="ListParagraph"/>
        <w:numPr>
          <w:ilvl w:val="0"/>
          <w:numId w:val="2"/>
        </w:numPr>
        <w:spacing w:after="120"/>
      </w:pPr>
      <w:r>
        <w:rPr>
          <w:rFonts w:ascii="Arial" w:cs="Arial" w:eastAsia="Arial" w:hAnsi="Arial"/>
          <w:sz w:val="22"/>
          <w:szCs w:val="22"/>
        </w:rPr>
        <w:t xml:space="preserve">The "dock to side" button pins the document to the screen edge so you can scroll the case list and the document side by side, with a prominent scrollbar.</w:t>
      </w:r>
    </w:p>
    <w:p>
      <w:pPr>
        <w:pStyle w:val="ListParagraph"/>
        <w:numPr>
          <w:ilvl w:val="0"/>
          <w:numId w:val="2"/>
        </w:numPr>
        <w:spacing w:after="120"/>
      </w:pPr>
      <w:r>
        <w:rPr>
          <w:rFonts w:ascii="Arial" w:cs="Arial" w:eastAsia="Arial" w:hAnsi="Arial"/>
          <w:sz w:val="22"/>
          <w:szCs w:val="22"/>
        </w:rPr>
        <w:t xml:space="preserve">Arrow keys move between documents; 📌 files a document; lists sort by date.</w:t>
      </w:r>
    </w:p>
    <w:p>
      <w:pPr>
        <w:pStyle w:val="Heading1"/>
        <w:spacing w:after="120"/>
      </w:pPr>
      <w:r>
        <w:rPr>
          <w:rFonts w:ascii="Arial" w:cs="Arial" w:eastAsia="Arial" w:hAnsi="Arial"/>
        </w:rPr>
        <w:t xml:space="preserve">5. Transcription</w:t>
      </w:r>
    </w:p>
    <w:p>
      <w:pPr>
        <w:spacing w:after="120"/>
      </w:pPr>
      <w:r>
        <w:rPr>
          <w:rFonts w:ascii="Arial" w:cs="Arial" w:eastAsia="Arial" w:hAnsi="Arial"/>
          <w:sz w:val="22"/>
          <w:szCs w:val="22"/>
        </w:rPr>
        <w:t xml:space="preserve">Drop an audio file on the Transcription screen. It is split into 5-minute chunks (with overlap), converted to 16 kHz mono, and transcribed in parallel (up to 4 chunks at once) with a dedicated Hebrew model (ivrit-ai). A partial result is saved after every chunk; the full transcript is saved as Markdown under transcriptions/.</w:t>
      </w:r>
    </w:p>
    <w:p>
      <w:pPr>
        <w:pStyle w:val="Heading1"/>
        <w:spacing w:after="120"/>
      </w:pPr>
      <w:r>
        <w:rPr>
          <w:rFonts w:ascii="Arial" w:cs="Arial" w:eastAsia="Arial" w:hAnsi="Arial"/>
        </w:rPr>
        <w:t xml:space="preserve">6. Database</w:t>
      </w:r>
    </w:p>
    <w:p>
      <w:pPr>
        <w:spacing w:after="120"/>
      </w:pPr>
      <w:r>
        <w:rPr>
          <w:rFonts w:ascii="Arial" w:cs="Arial" w:eastAsia="Arial" w:hAnsi="Arial"/>
          <w:sz w:val="22"/>
          <w:szCs w:val="22"/>
        </w:rPr>
        <w:t xml:space="preserve">All data lives in a single SQLite file: lias.db in the project root. Connect with:</w:t>
      </w:r>
    </w:p>
    <w:p>
      <w:pPr>
        <w:shd w:fill="F2F2F2" w:val="clear"/>
        <w:spacing w:after="120"/>
      </w:pPr>
      <w:r>
        <w:rPr>
          <w:rFonts w:ascii="Courier New" w:cs="Courier New" w:eastAsia="Courier New" w:hAnsi="Courier New"/>
          <w:sz w:val="20"/>
          <w:szCs w:val="20"/>
        </w:rPr>
        <w:t xml:space="preserve">sqlite3 lias.db                    # terminal</w:t>
      </w:r>
    </w:p>
    <w:p>
      <w:pPr>
        <w:shd w:fill="F2F2F2" w:val="clear"/>
        <w:spacing w:after="120"/>
      </w:pPr>
      <w:r>
        <w:rPr>
          <w:rFonts w:ascii="Courier New" w:cs="Courier New" w:eastAsia="Courier New" w:hAnsi="Courier New"/>
          <w:sz w:val="20"/>
          <w:szCs w:val="20"/>
        </w:rPr>
        <w:t xml:space="preserve">DB Browser for SQLite — open read-only while the app runs</w:t>
      </w:r>
    </w:p>
    <w:p>
      <w:pPr>
        <w:spacing w:after="120"/>
      </w:pPr>
      <w:r>
        <w:rPr>
          <w:rFonts w:ascii="Arial" w:cs="Arial" w:eastAsia="Arial" w:hAnsi="Arial"/>
          <w:sz w:val="22"/>
          <w:szCs w:val="22"/>
        </w:rPr>
        <w:t xml:space="preserve">Main tables:</w:t>
      </w:r>
    </w:p>
    <w:tbl>
      <w:tblPr>
        <w:bidiVisual w:val="false"/>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DCE9FB" w:val="clear"/>
          </w:tcPr>
          <w:p>
            <w:pPr>
              <w:bidi w:val="false"/>
            </w:pPr>
            <w:r>
              <w:rPr>
                <w:rFonts w:ascii="Arial" w:cs="Arial" w:eastAsia="Arial" w:hAnsi="Arial"/>
                <w:b/>
                <w:bCs/>
                <w:sz w:val="20"/>
                <w:szCs w:val="20"/>
                <w:rtl w:val="false"/>
              </w:rPr>
              <w:t xml:space="preserve">Table</w:t>
            </w:r>
          </w:p>
        </w:tc>
        <w:tc>
          <w:tcPr>
            <w:tcW w:type="dxa" w:w="7000"/>
            <w:shd w:fill="DCE9FB" w:val="clear"/>
          </w:tcPr>
          <w:p>
            <w:pPr>
              <w:bidi w:val="false"/>
            </w:pPr>
            <w:r>
              <w:rPr>
                <w:rFonts w:ascii="Arial" w:cs="Arial" w:eastAsia="Arial" w:hAnsi="Arial"/>
                <w:b/>
                <w:bCs/>
                <w:sz w:val="20"/>
                <w:szCs w:val="20"/>
                <w:rtl w:val="false"/>
              </w:rPr>
              <w:t xml:space="preserve">Key columns</w:t>
            </w:r>
          </w:p>
        </w:tc>
      </w:tr>
      <w:tr>
        <w:tc>
          <w:tcPr>
            <w:tcW w:type="dxa" w:w="2200"/>
          </w:tcPr>
          <w:p>
            <w:pPr>
              <w:bidi w:val="false"/>
            </w:pPr>
            <w:r>
              <w:rPr>
                <w:rFonts w:ascii="Arial" w:cs="Arial" w:eastAsia="Arial" w:hAnsi="Arial"/>
                <w:b w:val="false"/>
                <w:bCs w:val="false"/>
                <w:sz w:val="20"/>
                <w:szCs w:val="20"/>
                <w:rtl w:val="false"/>
              </w:rPr>
              <w:t xml:space="preserve">clients</w:t>
            </w:r>
          </w:p>
        </w:tc>
        <w:tc>
          <w:tcPr>
            <w:tcW w:type="dxa" w:w="7000"/>
          </w:tcPr>
          <w:p>
            <w:pPr>
              <w:bidi w:val="false"/>
            </w:pPr>
            <w:r>
              <w:rPr>
                <w:rFonts w:ascii="Arial" w:cs="Arial" w:eastAsia="Arial" w:hAnsi="Arial"/>
                <w:b w:val="false"/>
                <w:bCs w:val="false"/>
                <w:sz w:val="20"/>
                <w:szCs w:val="20"/>
                <w:rtl w:val="false"/>
              </w:rPr>
              <w:t xml:space="preserve">client_id, display_name, aliases_json</w:t>
            </w:r>
          </w:p>
        </w:tc>
      </w:tr>
      <w:tr>
        <w:tc>
          <w:tcPr>
            <w:tcW w:type="dxa" w:w="2200"/>
          </w:tcPr>
          <w:p>
            <w:pPr>
              <w:bidi w:val="false"/>
            </w:pPr>
            <w:r>
              <w:rPr>
                <w:rFonts w:ascii="Arial" w:cs="Arial" w:eastAsia="Arial" w:hAnsi="Arial"/>
                <w:b w:val="false"/>
                <w:bCs w:val="false"/>
                <w:sz w:val="20"/>
                <w:szCs w:val="20"/>
                <w:rtl w:val="false"/>
              </w:rPr>
              <w:t xml:space="preserve">cases</w:t>
            </w:r>
          </w:p>
        </w:tc>
        <w:tc>
          <w:tcPr>
            <w:tcW w:type="dxa" w:w="7000"/>
          </w:tcPr>
          <w:p>
            <w:pPr>
              <w:bidi w:val="false"/>
            </w:pPr>
            <w:r>
              <w:rPr>
                <w:rFonts w:ascii="Arial" w:cs="Arial" w:eastAsia="Arial" w:hAnsi="Arial"/>
                <w:b w:val="false"/>
                <w:bCs w:val="false"/>
                <w:sz w:val="20"/>
                <w:szCs w:val="20"/>
                <w:rtl w:val="false"/>
              </w:rPr>
              <w:t xml:space="preserve">case_id, client_id, portal, court, case_number, title</w:t>
            </w:r>
          </w:p>
        </w:tc>
      </w:tr>
      <w:tr>
        <w:tc>
          <w:tcPr>
            <w:tcW w:type="dxa" w:w="2200"/>
          </w:tcPr>
          <w:p>
            <w:pPr>
              <w:bidi w:val="false"/>
            </w:pPr>
            <w:r>
              <w:rPr>
                <w:rFonts w:ascii="Arial" w:cs="Arial" w:eastAsia="Arial" w:hAnsi="Arial"/>
                <w:b w:val="false"/>
                <w:bCs w:val="false"/>
                <w:sz w:val="20"/>
                <w:szCs w:val="20"/>
                <w:rtl w:val="false"/>
              </w:rPr>
              <w:t xml:space="preserve">sub_cases</w:t>
            </w:r>
          </w:p>
        </w:tc>
        <w:tc>
          <w:tcPr>
            <w:tcW w:type="dxa" w:w="7000"/>
          </w:tcPr>
          <w:p>
            <w:pPr>
              <w:bidi w:val="false"/>
            </w:pPr>
            <w:r>
              <w:rPr>
                <w:rFonts w:ascii="Arial" w:cs="Arial" w:eastAsia="Arial" w:hAnsi="Arial"/>
                <w:b w:val="false"/>
                <w:bCs w:val="false"/>
                <w:sz w:val="20"/>
                <w:szCs w:val="20"/>
                <w:rtl w:val="false"/>
              </w:rPr>
              <w:t xml:space="preserve">sub_case_id, case_id, sub_number, sub_type, status</w:t>
            </w:r>
          </w:p>
        </w:tc>
      </w:tr>
      <w:tr>
        <w:tc>
          <w:tcPr>
            <w:tcW w:type="dxa" w:w="2200"/>
          </w:tcPr>
          <w:p>
            <w:pPr>
              <w:bidi w:val="false"/>
            </w:pPr>
            <w:r>
              <w:rPr>
                <w:rFonts w:ascii="Arial" w:cs="Arial" w:eastAsia="Arial" w:hAnsi="Arial"/>
                <w:b w:val="false"/>
                <w:bCs w:val="false"/>
                <w:sz w:val="20"/>
                <w:szCs w:val="20"/>
                <w:rtl w:val="false"/>
              </w:rPr>
              <w:t xml:space="preserve">documents</w:t>
            </w:r>
          </w:p>
        </w:tc>
        <w:tc>
          <w:tcPr>
            <w:tcW w:type="dxa" w:w="7000"/>
          </w:tcPr>
          <w:p>
            <w:pPr>
              <w:bidi w:val="false"/>
            </w:pPr>
            <w:r>
              <w:rPr>
                <w:rFonts w:ascii="Arial" w:cs="Arial" w:eastAsia="Arial" w:hAnsi="Arial"/>
                <w:b w:val="false"/>
                <w:bCs w:val="false"/>
                <w:sz w:val="20"/>
                <w:szCs w:val="20"/>
                <w:rtl w:val="false"/>
              </w:rPr>
              <w:t xml:space="preserve">document_id, sub_case_id, physical_name, logical_name, doc_type, submitter_est, submission_date, pages, download_status, local_path, drive_file_id …</w:t>
            </w:r>
          </w:p>
        </w:tc>
      </w:tr>
      <w:tr>
        <w:tc>
          <w:tcPr>
            <w:tcW w:type="dxa" w:w="2200"/>
          </w:tcPr>
          <w:p>
            <w:pPr>
              <w:bidi w:val="false"/>
            </w:pPr>
            <w:r>
              <w:rPr>
                <w:rFonts w:ascii="Arial" w:cs="Arial" w:eastAsia="Arial" w:hAnsi="Arial"/>
                <w:b w:val="false"/>
                <w:bCs w:val="false"/>
                <w:sz w:val="20"/>
                <w:szCs w:val="20"/>
                <w:rtl w:val="false"/>
              </w:rPr>
              <w:t xml:space="preserve">jobs</w:t>
            </w:r>
          </w:p>
        </w:tc>
        <w:tc>
          <w:tcPr>
            <w:tcW w:type="dxa" w:w="7000"/>
          </w:tcPr>
          <w:p>
            <w:pPr>
              <w:bidi w:val="false"/>
            </w:pPr>
            <w:r>
              <w:rPr>
                <w:rFonts w:ascii="Arial" w:cs="Arial" w:eastAsia="Arial" w:hAnsi="Arial"/>
                <w:b w:val="false"/>
                <w:bCs w:val="false"/>
                <w:sz w:val="20"/>
                <w:szCs w:val="20"/>
                <w:rtl w:val="false"/>
              </w:rPr>
              <w:t xml:space="preserve">job_id, kind, payload_json, state, progress, message, error, created_at, finished_at</w:t>
            </w:r>
          </w:p>
        </w:tc>
      </w:tr>
      <w:tr>
        <w:tc>
          <w:tcPr>
            <w:tcW w:type="dxa" w:w="2200"/>
          </w:tcPr>
          <w:p>
            <w:pPr>
              <w:bidi w:val="false"/>
            </w:pPr>
            <w:r>
              <w:rPr>
                <w:rFonts w:ascii="Arial" w:cs="Arial" w:eastAsia="Arial" w:hAnsi="Arial"/>
                <w:b w:val="false"/>
                <w:bCs w:val="false"/>
                <w:sz w:val="20"/>
                <w:szCs w:val="20"/>
                <w:rtl w:val="false"/>
              </w:rPr>
              <w:t xml:space="preserve">sync_runs</w:t>
            </w:r>
          </w:p>
        </w:tc>
        <w:tc>
          <w:tcPr>
            <w:tcW w:type="dxa" w:w="7000"/>
          </w:tcPr>
          <w:p>
            <w:pPr>
              <w:bidi w:val="false"/>
            </w:pPr>
            <w:r>
              <w:rPr>
                <w:rFonts w:ascii="Arial" w:cs="Arial" w:eastAsia="Arial" w:hAnsi="Arial"/>
                <w:b w:val="false"/>
                <w:bCs w:val="false"/>
                <w:sz w:val="20"/>
                <w:szCs w:val="20"/>
                <w:rtl w:val="false"/>
              </w:rPr>
              <w:t xml:space="preserve">run_id, portal, sub_case_id, started_at, downloaded_new, failed, portal_hash …</w:t>
            </w:r>
          </w:p>
        </w:tc>
      </w:tr>
      <w:tr>
        <w:tc>
          <w:tcPr>
            <w:tcW w:type="dxa" w:w="2200"/>
          </w:tcPr>
          <w:p>
            <w:pPr>
              <w:bidi w:val="false"/>
            </w:pPr>
            <w:r>
              <w:rPr>
                <w:rFonts w:ascii="Arial" w:cs="Arial" w:eastAsia="Arial" w:hAnsi="Arial"/>
                <w:b w:val="false"/>
                <w:bCs w:val="false"/>
                <w:sz w:val="20"/>
                <w:szCs w:val="20"/>
                <w:rtl w:val="false"/>
              </w:rPr>
              <w:t xml:space="preserve">snapshots</w:t>
            </w:r>
          </w:p>
        </w:tc>
        <w:tc>
          <w:tcPr>
            <w:tcW w:type="dxa" w:w="7000"/>
          </w:tcPr>
          <w:p>
            <w:pPr>
              <w:bidi w:val="false"/>
            </w:pPr>
            <w:r>
              <w:rPr>
                <w:rFonts w:ascii="Arial" w:cs="Arial" w:eastAsia="Arial" w:hAnsi="Arial"/>
                <w:b w:val="false"/>
                <w:bCs w:val="false"/>
                <w:sz w:val="20"/>
                <w:szCs w:val="20"/>
                <w:rtl w:val="false"/>
              </w:rPr>
              <w:t xml:space="preserve">snapshot_id, sub_case_id, taken_at, grid_json, diff_from_prev_json</w:t>
            </w:r>
          </w:p>
        </w:tc>
      </w:tr>
      <w:tr>
        <w:tc>
          <w:tcPr>
            <w:tcW w:type="dxa" w:w="2200"/>
          </w:tcPr>
          <w:p>
            <w:pPr>
              <w:bidi w:val="false"/>
            </w:pPr>
            <w:r>
              <w:rPr>
                <w:rFonts w:ascii="Arial" w:cs="Arial" w:eastAsia="Arial" w:hAnsi="Arial"/>
                <w:b w:val="false"/>
                <w:bCs w:val="false"/>
                <w:sz w:val="20"/>
                <w:szCs w:val="20"/>
                <w:rtl w:val="false"/>
              </w:rPr>
              <w:t xml:space="preserve">meta</w:t>
            </w:r>
          </w:p>
        </w:tc>
        <w:tc>
          <w:tcPr>
            <w:tcW w:type="dxa" w:w="7000"/>
          </w:tcPr>
          <w:p>
            <w:pPr>
              <w:bidi w:val="false"/>
            </w:pPr>
            <w:r>
              <w:rPr>
                <w:rFonts w:ascii="Arial" w:cs="Arial" w:eastAsia="Arial" w:hAnsi="Arial"/>
                <w:b w:val="false"/>
                <w:bCs w:val="false"/>
                <w:sz w:val="20"/>
                <w:szCs w:val="20"/>
                <w:rtl w:val="false"/>
              </w:rPr>
              <w:t xml:space="preserve">key, value</w:t>
            </w:r>
          </w:p>
        </w:tc>
      </w:tr>
    </w:tbl>
    <w:p>
      <w:pPr>
        <w:spacing w:after="120"/>
      </w:pPr>
      <w:r>
        <w:rPr>
          <w:rFonts w:ascii="Arial" w:cs="Arial" w:eastAsia="Arial" w:hAnsi="Arial"/>
          <w:sz w:val="22"/>
          <w:szCs w:val="22"/>
        </w:rPr>
        <w:t xml:space="preserve">Example queries:</w:t>
      </w:r>
    </w:p>
    <w:p>
      <w:pPr>
        <w:shd w:fill="F2F2F2" w:val="clear"/>
        <w:spacing w:after="120"/>
      </w:pPr>
      <w:r>
        <w:rPr>
          <w:rFonts w:ascii="Courier New" w:cs="Courier New" w:eastAsia="Courier New" w:hAnsi="Courier New"/>
          <w:sz w:val="20"/>
          <w:szCs w:val="20"/>
        </w:rPr>
        <w:t xml:space="preserve">SELECT display_name, COUNT(*) FROM clients JOIN cases USING(client_id) GROUP BY 1;</w:t>
      </w:r>
    </w:p>
    <w:p>
      <w:pPr>
        <w:shd w:fill="F2F2F2" w:val="clear"/>
        <w:spacing w:after="120"/>
      </w:pPr>
      <w:r>
        <w:rPr>
          <w:rFonts w:ascii="Courier New" w:cs="Courier New" w:eastAsia="Courier New" w:hAnsi="Courier New"/>
          <w:sz w:val="20"/>
          <w:szCs w:val="20"/>
        </w:rPr>
        <w:t xml:space="preserve">SELECT * FROM documents WHERE doc_type LIKE '%decision%' ORDER BY submission_date DESC LIMIT 20;</w:t>
      </w:r>
    </w:p>
    <w:p>
      <w:pPr>
        <w:shd w:fill="F2F2F2" w:val="clear"/>
        <w:spacing w:after="120"/>
      </w:pPr>
      <w:r>
        <w:rPr>
          <w:rFonts w:ascii="Courier New" w:cs="Courier New" w:eastAsia="Courier New" w:hAnsi="Courier New"/>
          <w:sz w:val="20"/>
          <w:szCs w:val="20"/>
        </w:rPr>
        <w:t xml:space="preserve">SELECT kind, state, message FROM jobs ORDER BY job_id DESC LIMIT 10;</w:t>
      </w:r>
    </w:p>
    <w:p>
      <w:pPr>
        <w:pStyle w:val="Heading1"/>
        <w:spacing w:after="120"/>
      </w:pPr>
      <w:r>
        <w:rPr>
          <w:rFonts w:ascii="Arial" w:cs="Arial" w:eastAsia="Arial" w:hAnsi="Arial"/>
        </w:rPr>
        <w:t xml:space="preserve">7. Additional capabilities</w:t>
      </w:r>
    </w:p>
    <w:p>
      <w:pPr>
        <w:pStyle w:val="ListParagraph"/>
        <w:numPr>
          <w:ilvl w:val="0"/>
          <w:numId w:val="2"/>
        </w:numPr>
        <w:spacing w:after="120"/>
      </w:pPr>
      <w:r>
        <w:rPr>
          <w:rFonts w:ascii="Arial" w:cs="Arial" w:eastAsia="Arial" w:hAnsi="Arial"/>
          <w:sz w:val="22"/>
          <w:szCs w:val="22"/>
        </w:rPr>
        <w:t xml:space="preserve">Automatic client attribution: after a BDR batch the system decides, per case, who the client is (the party that repeats across the lawyer’s cases vs. the changing opponent) and moves the folder under that client. Requires lawyer_name in settings.</w:t>
      </w:r>
    </w:p>
    <w:p>
      <w:pPr>
        <w:pStyle w:val="ListParagraph"/>
        <w:numPr>
          <w:ilvl w:val="0"/>
          <w:numId w:val="2"/>
        </w:numPr>
        <w:spacing w:after="120"/>
      </w:pPr>
      <w:r>
        <w:rPr>
          <w:rFonts w:ascii="Arial" w:cs="Arial" w:eastAsia="Arial" w:hAnsi="Arial"/>
          <w:sz w:val="22"/>
          <w:szCs w:val="22"/>
        </w:rPr>
        <w:t xml:space="preserve">ECA in the dashboard: every ECA sync writes a manifest and imports the documents into the database — they appear under the "Enforcement" court instance.</w:t>
      </w:r>
    </w:p>
    <w:p>
      <w:pPr>
        <w:pStyle w:val="ListParagraph"/>
        <w:numPr>
          <w:ilvl w:val="0"/>
          <w:numId w:val="2"/>
        </w:numPr>
        <w:spacing w:after="120"/>
      </w:pPr>
      <w:r>
        <w:rPr>
          <w:rFonts w:ascii="Arial" w:cs="Arial" w:eastAsia="Arial" w:hAnsi="Arial"/>
          <w:sz w:val="22"/>
          <w:szCs w:val="22"/>
        </w:rPr>
        <w:t xml:space="preserve">External documents: in any case, "➕ Add documents" uploads one or more files into the case folder; they are tagged "not from the case file" to distinguish them from portal documents.</w:t>
      </w:r>
    </w:p>
    <w:p>
      <w:pPr>
        <w:pStyle w:val="ListParagraph"/>
        <w:numPr>
          <w:ilvl w:val="0"/>
          <w:numId w:val="2"/>
        </w:numPr>
        <w:spacing w:after="120"/>
      </w:pPr>
      <w:r>
        <w:rPr>
          <w:rFonts w:ascii="Arial" w:cs="Arial" w:eastAsia="Arial" w:hAnsi="Arial"/>
          <w:sz w:val="22"/>
          <w:szCs w:val="22"/>
        </w:rPr>
        <w:t xml:space="preserve">OCR / document→Markdown via Groq or xAI (Grok) — the key type is auto-detected (xai- prefix). Requires active credits with the provider.</w:t>
      </w:r>
    </w:p>
    <w:p>
      <w:pPr>
        <w:pStyle w:val="Heading1"/>
        <w:spacing w:after="120"/>
      </w:pPr>
      <w:r>
        <w:rPr>
          <w:rFonts w:ascii="Arial" w:cs="Arial" w:eastAsia="Arial" w:hAnsi="Arial"/>
        </w:rPr>
        <w:t xml:space="preserve">8. Supported / not supported</w:t>
      </w:r>
    </w:p>
    <w:p>
      <w:pPr>
        <w:pStyle w:val="ListParagraph"/>
        <w:numPr>
          <w:ilvl w:val="0"/>
          <w:numId w:val="2"/>
        </w:numPr>
        <w:spacing w:after="120"/>
      </w:pPr>
      <w:r>
        <w:rPr>
          <w:rFonts w:ascii="Arial" w:cs="Arial" w:eastAsia="Arial" w:hAnsi="Arial"/>
          <w:sz w:val="22"/>
          <w:szCs w:val="22"/>
        </w:rPr>
        <w:t xml:space="preserve">Supported: full downloads from all three portals, automatic login incl. OTP, per-client folders, resumable downloads, in-app viewing, parallel transcription, pinning, manual uploads.</w:t>
      </w:r>
    </w:p>
    <w:p>
      <w:pPr>
        <w:pStyle w:val="ListParagraph"/>
        <w:numPr>
          <w:ilvl w:val="0"/>
          <w:numId w:val="2"/>
        </w:numPr>
        <w:spacing w:after="120"/>
      </w:pPr>
      <w:r>
        <w:rPr>
          <w:rFonts w:ascii="Arial" w:cs="Arial" w:eastAsia="Arial" w:hAnsi="Arial"/>
          <w:sz w:val="22"/>
          <w:szCs w:val="22"/>
        </w:rPr>
        <w:t xml:space="preserve">Needs setup: Google Drive (credentials.json); OCR (Groq/xAI key with credits).</w:t>
      </w:r>
    </w:p>
    <w:p>
      <w:pPr>
        <w:pStyle w:val="ListParagraph"/>
        <w:numPr>
          <w:ilvl w:val="0"/>
          <w:numId w:val="2"/>
        </w:numPr>
        <w:spacing w:after="120"/>
      </w:pPr>
      <w:r>
        <w:rPr>
          <w:rFonts w:ascii="Arial" w:cs="Arial" w:eastAsia="Arial" w:hAnsi="Arial"/>
          <w:sz w:val="22"/>
          <w:szCs w:val="22"/>
        </w:rPr>
        <w:t xml:space="preserve">Not yet: per-case checkboxes; a data-connected AI assistant; automatic hearing dates.</w:t>
      </w:r>
    </w:p>
    <w:p>
      <w:pPr>
        <w:pStyle w:val="Heading1"/>
        <w:spacing w:after="120"/>
      </w:pPr>
      <w:r>
        <w:rPr>
          <w:rFonts w:ascii="Arial" w:cs="Arial" w:eastAsia="Arial" w:hAnsi="Arial"/>
        </w:rPr>
        <w:t xml:space="preserve">9. Installation, distribution &amp; what to send others</w:t>
      </w:r>
    </w:p>
    <w:p>
      <w:pPr>
        <w:spacing w:after="120"/>
      </w:pPr>
      <w:r>
        <w:rPr>
          <w:rFonts w:ascii="Arial" w:cs="Arial" w:eastAsia="Arial" w:hAnsi="Arial"/>
          <w:sz w:val="22"/>
          <w:szCs w:val="22"/>
        </w:rPr>
        <w:t xml:space="preserve">Automatic setup on a new machine: copy the project folder and run:</w:t>
      </w:r>
    </w:p>
    <w:p>
      <w:pPr>
        <w:shd w:fill="F2F2F2" w:val="clear"/>
        <w:spacing w:after="120"/>
      </w:pPr>
      <w:r>
        <w:rPr>
          <w:rFonts w:ascii="Courier New" w:cs="Courier New" w:eastAsia="Courier New" w:hAnsi="Courier New"/>
          <w:sz w:val="20"/>
          <w:szCs w:val="20"/>
        </w:rPr>
        <w:t xml:space="preserve">bash install.sh          # native install (recommended on Mac)</w:t>
      </w:r>
    </w:p>
    <w:p>
      <w:pPr>
        <w:shd w:fill="F2F2F2" w:val="clear"/>
        <w:spacing w:after="120"/>
      </w:pPr>
      <w:r>
        <w:rPr>
          <w:rFonts w:ascii="Courier New" w:cs="Courier New" w:eastAsia="Courier New" w:hAnsi="Courier New"/>
          <w:sz w:val="20"/>
          <w:szCs w:val="20"/>
        </w:rPr>
        <w:t xml:space="preserve">bash install.sh docker   # containerized (requires Docker Desktop)</w:t>
      </w:r>
    </w:p>
    <w:p>
      <w:pPr>
        <w:spacing w:after="120"/>
      </w:pPr>
      <w:r>
        <w:rPr>
          <w:rFonts w:ascii="Arial" w:cs="Arial" w:eastAsia="Arial" w:hAnsi="Arial"/>
          <w:sz w:val="22"/>
          <w:szCs w:val="22"/>
        </w:rPr>
        <w:t xml:space="preserve">The script installs Python packages, the automation browser and ffmpeg by itself. With Docker everything builds from the Dockerfile and docker-compose.yml, with persistent volumes for data.</w:t>
      </w:r>
    </w:p>
    <w:p>
      <w:pPr>
        <w:spacing w:after="120"/>
      </w:pPr>
      <w:r>
        <w:rPr>
          <w:rFonts w:ascii="Arial" w:cs="Arial" w:eastAsia="Arial" w:hAnsi="Arial"/>
          <w:sz w:val="22"/>
          <w:szCs w:val="22"/>
        </w:rPr>
        <w:t xml:space="preserve">What to send to others (distribution package):</w:t>
      </w:r>
    </w:p>
    <w:p>
      <w:pPr>
        <w:pStyle w:val="ListParagraph"/>
        <w:numPr>
          <w:ilvl w:val="0"/>
          <w:numId w:val="2"/>
        </w:numPr>
        <w:spacing w:after="120"/>
      </w:pPr>
      <w:r>
        <w:rPr>
          <w:rFonts w:ascii="Arial" w:cs="Arial" w:eastAsia="Arial" w:hAnsi="Arial"/>
          <w:sz w:val="22"/>
          <w:szCs w:val="22"/>
        </w:rPr>
        <w:t xml:space="preserve">All code: app.py, install.sh, Dockerfile, docker-compose.yml, requirements.txt, and the core/, LIAS/, ui_demo/, ui_modules/ folders plus eca_download.py.</w:t>
      </w:r>
    </w:p>
    <w:p>
      <w:pPr>
        <w:pStyle w:val="ListParagraph"/>
        <w:numPr>
          <w:ilvl w:val="0"/>
          <w:numId w:val="2"/>
        </w:numPr>
        <w:spacing w:after="120"/>
      </w:pPr>
      <w:r>
        <w:rPr>
          <w:rFonts w:ascii="Arial" w:cs="Arial" w:eastAsia="Arial" w:hAnsi="Arial"/>
          <w:sz w:val="22"/>
          <w:szCs w:val="22"/>
        </w:rPr>
        <w:t xml:space="preserve">NEVER send: lias.db (client data!), court_documents/ (the documents), browser_profile*/ (logged-in gov.il sessions!), credentials.json, token.json, annotations.json.</w:t>
      </w:r>
    </w:p>
    <w:p>
      <w:pPr>
        <w:pStyle w:val="ListParagraph"/>
        <w:numPr>
          <w:ilvl w:val="0"/>
          <w:numId w:val="2"/>
        </w:numPr>
        <w:spacing w:after="120"/>
      </w:pPr>
      <w:r>
        <w:rPr>
          <w:rFonts w:ascii="Arial" w:cs="Arial" w:eastAsia="Arial" w:hAnsi="Arial"/>
          <w:sz w:val="22"/>
          <w:szCs w:val="22"/>
        </w:rPr>
        <w:t xml:space="preserve">Safest: a git archive of the repo — it contains code only, no data.</w:t>
      </w:r>
    </w:p>
    <w:p>
      <w:pPr>
        <w:pStyle w:val="Heading1"/>
        <w:spacing w:after="120"/>
      </w:pPr>
      <w:r>
        <w:rPr>
          <w:rFonts w:ascii="Arial" w:cs="Arial" w:eastAsia="Arial" w:hAnsi="Arial"/>
        </w:rPr>
        <w:t xml:space="preserve">10. Improvement ideas</w:t>
      </w:r>
    </w:p>
    <w:p>
      <w:pPr>
        <w:pStyle w:val="ListParagraph"/>
        <w:numPr>
          <w:ilvl w:val="0"/>
          <w:numId w:val="2"/>
        </w:numPr>
        <w:spacing w:after="120"/>
      </w:pPr>
      <w:r>
        <w:rPr>
          <w:rFonts w:ascii="Arial" w:cs="Arial" w:eastAsia="Arial" w:hAnsi="Arial"/>
          <w:sz w:val="22"/>
          <w:szCs w:val="22"/>
        </w:rPr>
        <w:t xml:space="preserve">Multi-select case checkboxes for all portals.</w:t>
      </w:r>
    </w:p>
    <w:p>
      <w:pPr>
        <w:pStyle w:val="ListParagraph"/>
        <w:numPr>
          <w:ilvl w:val="0"/>
          <w:numId w:val="2"/>
        </w:numPr>
        <w:spacing w:after="120"/>
      </w:pPr>
      <w:r>
        <w:rPr>
          <w:rFonts w:ascii="Arial" w:cs="Arial" w:eastAsia="Arial" w:hAnsi="Arial"/>
          <w:sz w:val="22"/>
          <w:szCs w:val="22"/>
        </w:rPr>
        <w:t xml:space="preserve">Full-text search inside documents (OCR + FTS5 index).</w:t>
      </w:r>
    </w:p>
    <w:p>
      <w:pPr>
        <w:pStyle w:val="ListParagraph"/>
        <w:numPr>
          <w:ilvl w:val="0"/>
          <w:numId w:val="2"/>
        </w:numPr>
        <w:spacing w:after="120"/>
      </w:pPr>
      <w:r>
        <w:rPr>
          <w:rFonts w:ascii="Arial" w:cs="Arial" w:eastAsia="Arial" w:hAnsi="Arial"/>
          <w:sz w:val="22"/>
          <w:szCs w:val="22"/>
        </w:rPr>
        <w:t xml:space="preserve">A hearings/deadlines calendar auto-extracted from decisions.</w:t>
      </w:r>
    </w:p>
    <w:p>
      <w:pPr>
        <w:pStyle w:val="ListParagraph"/>
        <w:numPr>
          <w:ilvl w:val="0"/>
          <w:numId w:val="2"/>
        </w:numPr>
        <w:spacing w:after="120"/>
      </w:pPr>
      <w:r>
        <w:rPr>
          <w:rFonts w:ascii="Arial" w:cs="Arial" w:eastAsia="Arial" w:hAnsi="Arial"/>
          <w:sz w:val="22"/>
          <w:szCs w:val="22"/>
        </w:rPr>
        <w:t xml:space="preserve">AI summaries per case/document and wiring the AI assistant to real data.</w:t>
      </w:r>
    </w:p>
    <w:p>
      <w:pPr>
        <w:pStyle w:val="ListParagraph"/>
        <w:numPr>
          <w:ilvl w:val="0"/>
          <w:numId w:val="2"/>
        </w:numPr>
        <w:spacing w:after="120"/>
      </w:pPr>
      <w:r>
        <w:rPr>
          <w:rFonts w:ascii="Arial" w:cs="Arial" w:eastAsia="Arial" w:hAnsi="Arial"/>
          <w:sz w:val="22"/>
          <w:szCs w:val="22"/>
        </w:rPr>
        <w:t xml:space="preserve">Alternative cloud backup (Dropbox/S3) alongside Drive.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2026-07-20T18:18:09.931Z</dcterms:created>
  <dcterms:modified xsi:type="dcterms:W3CDTF">2026-07-20T18:18:09.931Z</dcterms:modified>
</cp:coreProperties>
</file>

<file path=docProps/custom.xml><?xml version="1.0" encoding="utf-8"?>
<Properties xmlns="http://schemas.openxmlformats.org/officeDocument/2006/custom-properties" xmlns:vt="http://schemas.openxmlformats.org/officeDocument/2006/docPropsVTypes"/>
</file>