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lineRule="auto"/>
        <w:jc w:val="center"/>
      </w:pPr>
      <w:r>
        <w:rPr>
          <w:rFonts w:ascii="Times New Roman" w:cs="Times New Roman" w:eastAsia="Times New Roman" w:hAnsi="Times New Roman"/>
          <w:b/>
          <w:bCs/>
          <w:i w:val="false"/>
          <w:iCs w:val="false"/>
          <w:sz w:val="30"/>
          <w:szCs w:val="30"/>
        </w:rPr>
        <w:t xml:space="preserve">Actividad 3.2 — Diseño del instrumento de recolección</w:t>
      </w:r>
    </w:p>
    <w:p>
      <w:pPr>
        <w:spacing w:after="300" w:line="276" w:lineRule="auto"/>
        <w:jc w:val="center"/>
      </w:pPr>
      <w:r>
        <w:rPr>
          <w:rFonts w:ascii="Times New Roman" w:cs="Times New Roman" w:eastAsia="Times New Roman" w:hAnsi="Times New Roman"/>
          <w:b w:val="false"/>
          <w:bCs w:val="false"/>
          <w:i w:val="false"/>
          <w:iCs w:val="false"/>
          <w:sz w:val="20"/>
          <w:szCs w:val="20"/>
        </w:rPr>
        <w:t xml:space="preserve">Equipo 3 — Resiliencia y consumo de recursos en microservicios (Proyecto Dydi) · Universidad Tecnológica de Durango · Integradora 2026 · Julio de 2026</w:t>
      </w:r>
    </w:p>
    <w:p>
      <w:pPr>
        <w:pStyle w:val="Heading1"/>
        <w:spacing w:after="140" w:before="280"/>
      </w:pPr>
      <w:r>
        <w:rPr>
          <w:rFonts w:ascii="Times New Roman" w:cs="Times New Roman" w:eastAsia="Times New Roman" w:hAnsi="Times New Roman"/>
          <w:b/>
          <w:bCs/>
          <w:color w:val="000000"/>
          <w:sz w:val="28"/>
          <w:szCs w:val="28"/>
        </w:rPr>
        <w:t xml:space="preserve">1. Identificación y tipo de instrumento</w:t>
      </w:r>
    </w:p>
    <w:p>
      <w:pPr>
        <w:spacing w:after="120" w:line="276" w:lineRule="auto"/>
      </w:pPr>
      <w:r>
        <w:rPr>
          <w:rFonts w:ascii="Times New Roman" w:cs="Times New Roman" w:eastAsia="Times New Roman" w:hAnsi="Times New Roman"/>
          <w:b w:val="false"/>
          <w:bCs w:val="false"/>
          <w:i w:val="false"/>
          <w:iCs w:val="false"/>
          <w:sz w:val="24"/>
          <w:szCs w:val="24"/>
        </w:rPr>
        <w:t xml:space="preserve">El estudio es un benchmark experimental cuantitativo cuyas unidades de observación son transacciones sintéticas (peticiones HTTP y conexiones WebSocket) y muestras de telemetría, no personas; por ello el instrumento no es un cuestionario ni una guía de entrevista, sino un instrumento compuesto de medición automatizada, del tipo "script de extracción" contemplado por la actividad. Sus cinco componentes operan juntos en cada corrida experimental: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4060"/>
        <w:gridCol w:w="2650"/>
      </w:tblGrid>
      <w:tr>
        <w:trPr>
          <w:tblHeader/>
        </w:trPr>
        <w:tc>
          <w:tcPr>
            <w:tcW w:type="dxa" w:w="265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Componente</w:t>
            </w:r>
          </w:p>
        </w:tc>
        <w:tc>
          <w:tcPr>
            <w:tcW w:type="dxa" w:w="406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Función en la medición</w:t>
            </w:r>
          </w:p>
        </w:tc>
        <w:tc>
          <w:tcPr>
            <w:tcW w:type="dxa" w:w="265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Artefacto de salida</w:t>
            </w:r>
          </w:p>
        </w:tc>
      </w:tr>
      <w:tr>
        <w:tc>
          <w:tcPr>
            <w:tcW w:type="dxa" w:w="26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Script de inyección (k6_stress_test.js)</w:t>
            </w:r>
          </w:p>
        </w:tc>
        <w:tc>
          <w:tcPr>
            <w:tcW w:type="dxa" w:w="40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Manipula la variable independiente (rampa de usuarios virtuales) y registra las métricas del plano del cliente.</w:t>
            </w:r>
          </w:p>
        </w:tc>
        <w:tc>
          <w:tcPr>
            <w:tcW w:type="dxa" w:w="26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summary.json (agregados), k6_output.txt (salida íntegra)</w:t>
            </w:r>
          </w:p>
        </w:tc>
      </w:tr>
      <w:tr>
        <w:tc>
          <w:tcPr>
            <w:tcW w:type="dxa" w:w="26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Telemetría embebida (módulo obs.go en los 4 servicios)</w:t>
            </w:r>
          </w:p>
        </w:tc>
        <w:tc>
          <w:tcPr>
            <w:tcW w:type="dxa" w:w="40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Expone las métricas del plano del servidor en /metrics (Prometheus) y registros estructurados JSON (slog).</w:t>
            </w:r>
          </w:p>
        </w:tc>
        <w:tc>
          <w:tcPr>
            <w:tcW w:type="dxa" w:w="26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Endpoint /metrics; stdout JSON</w:t>
            </w:r>
          </w:p>
        </w:tc>
      </w:tr>
      <w:tr>
        <w:tc>
          <w:tcPr>
            <w:tcW w:type="dxa" w:w="26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Muestreador (scrape_metrics.sh)</w:t>
            </w:r>
          </w:p>
        </w:tc>
        <w:tc>
          <w:tcPr>
            <w:tcW w:type="dxa" w:w="40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Lee /metrics de los cuatro servicios cada 5 segundos durante la corrida y persiste la serie temporal.</w:t>
            </w:r>
          </w:p>
        </w:tc>
        <w:tc>
          <w:tcPr>
            <w:tcW w:type="dxa" w:w="26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metrics.csv (serie de tiempo)</w:t>
            </w:r>
          </w:p>
        </w:tc>
      </w:tr>
      <w:tr>
        <w:tc>
          <w:tcPr>
            <w:tcW w:type="dxa" w:w="26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Orquestador (run_experiment.sh)</w:t>
            </w:r>
          </w:p>
        </w:tc>
        <w:tc>
          <w:tcPr>
            <w:tcW w:type="dxa" w:w="40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Ejecuta cada corrida de forma reproducible: pre-vuelo de salud, inyección, recolección y empaquetado de artefactos.</w:t>
            </w:r>
          </w:p>
        </w:tc>
        <w:tc>
          <w:tcPr>
            <w:tcW w:type="dxa" w:w="26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Carpeta por corrida con metadata.json (parámetros y commit)</w:t>
            </w:r>
          </w:p>
        </w:tc>
      </w:tr>
      <w:tr>
        <w:tc>
          <w:tcPr>
            <w:tcW w:type="dxa" w:w="26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Bitácora de sesión (matriz.log)</w:t>
            </w:r>
          </w:p>
        </w:tc>
        <w:tc>
          <w:tcPr>
            <w:tcW w:type="dxa" w:w="406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Registra inicio, término, anomalías y resultado de cada corrida con marcas de tiempo.</w:t>
            </w:r>
          </w:p>
        </w:tc>
        <w:tc>
          <w:tcPr>
            <w:tcW w:type="dxa" w:w="26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matriz.log (registro auditable)</w:t>
            </w:r>
          </w:p>
        </w:tc>
      </w:tr>
    </w:tbl>
    <w:p>
      <w:pPr>
        <w:spacing w:after="120" w:line="276" w:lineRule="auto"/>
      </w:pPr>
      <w:r>
        <w:rPr>
          <w:rFonts w:ascii="Times New Roman" w:cs="Times New Roman" w:eastAsia="Times New Roman" w:hAnsi="Times New Roman"/>
          <w:b w:val="false"/>
          <w:bCs w:val="false"/>
          <w:i w:val="false"/>
          <w:iCs w:val="false"/>
          <w:sz w:val="24"/>
          <w:szCs w:val="24"/>
        </w:rPr>
        <w:t xml:space="preserve"/>
      </w:r>
    </w:p>
    <w:p>
      <w:pPr>
        <w:spacing w:after="120" w:line="276" w:lineRule="auto"/>
      </w:pPr>
      <w:r>
        <w:rPr>
          <w:rFonts w:ascii="Times New Roman" w:cs="Times New Roman" w:eastAsia="Times New Roman" w:hAnsi="Times New Roman"/>
          <w:b w:val="false"/>
          <w:bCs w:val="false"/>
          <w:i w:val="false"/>
          <w:iCs w:val="false"/>
          <w:sz w:val="24"/>
          <w:szCs w:val="24"/>
        </w:rPr>
        <w:t xml:space="preserve">El instrumento completo está versionado en el repositorio del proyecto (carpeta load-tests/), de modo que cada resultado es rastreable al commit exacto del instrumento y del sistema que lo produjo.</w:t>
      </w:r>
    </w:p>
    <w:p>
      <w:pPr>
        <w:pStyle w:val="Heading1"/>
        <w:spacing w:after="140" w:before="280"/>
      </w:pPr>
      <w:r>
        <w:rPr>
          <w:rFonts w:ascii="Times New Roman" w:cs="Times New Roman" w:eastAsia="Times New Roman" w:hAnsi="Times New Roman"/>
          <w:b/>
          <w:bCs/>
          <w:color w:val="000000"/>
          <w:sz w:val="28"/>
          <w:szCs w:val="28"/>
        </w:rPr>
        <w:t xml:space="preserve">2. Ítems del instrumento y su vínculo con variables y objetivos</w:t>
      </w:r>
    </w:p>
    <w:p>
      <w:pPr>
        <w:spacing w:after="120" w:line="276" w:lineRule="auto"/>
      </w:pPr>
      <w:r>
        <w:rPr>
          <w:rFonts w:ascii="Times New Roman" w:cs="Times New Roman" w:eastAsia="Times New Roman" w:hAnsi="Times New Roman"/>
          <w:b w:val="false"/>
          <w:bCs w:val="false"/>
          <w:i w:val="false"/>
          <w:iCs w:val="false"/>
          <w:sz w:val="24"/>
          <w:szCs w:val="24"/>
        </w:rPr>
        <w:t xml:space="preserve">Cada ítem (métrica o sección del script) tiene una definición operacional con unidad, un formato de registro y un vínculo explícito con las variables e hipótesis del protocolo (v2, §2) y con los objetivos específicos (§4.3):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600"/>
        <w:gridCol w:w="1750"/>
        <w:gridCol w:w="1810"/>
        <w:gridCol w:w="1150"/>
      </w:tblGrid>
      <w:tr>
        <w:trPr>
          <w:tblHeader/>
        </w:trPr>
        <w:tc>
          <w:tcPr>
            <w:tcW w:type="dxa" w:w="205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Ítem / sección</w:t>
            </w:r>
          </w:p>
        </w:tc>
        <w:tc>
          <w:tcPr>
            <w:tcW w:type="dxa" w:w="260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Qué mide (definición operacional)</w:t>
            </w:r>
          </w:p>
        </w:tc>
        <w:tc>
          <w:tcPr>
            <w:tcW w:type="dxa" w:w="175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Tipo de dato y formato</w:t>
            </w:r>
          </w:p>
        </w:tc>
        <w:tc>
          <w:tcPr>
            <w:tcW w:type="dxa" w:w="181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Variable / hipótesis</w:t>
            </w:r>
          </w:p>
        </w:tc>
        <w:tc>
          <w:tcPr>
            <w:tcW w:type="dxa" w:w="115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Objetivo</w:t>
            </w:r>
          </w:p>
        </w:tc>
      </w:tr>
      <w:tr>
        <w:tc>
          <w:tcPr>
            <w:tcW w:type="dxa" w:w="20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Escenario "websockets" (rampa 0→pico, 6 etapas, 9 min)</w:t>
            </w:r>
          </w:p>
        </w:tc>
        <w:tc>
          <w:tcPr>
            <w:tcW w:type="dxa" w:w="26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Manipulación de la variable independiente: conexiones WS concurrentes.</w:t>
            </w:r>
          </w:p>
        </w:tc>
        <w:tc>
          <w:tcPr>
            <w:tcW w:type="dxa" w:w="17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VUs (entero); configuración del escenario</w:t>
            </w:r>
          </w:p>
        </w:tc>
        <w:tc>
          <w:tcPr>
            <w:tcW w:type="dxa" w:w="181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V. independiente</w:t>
            </w:r>
          </w:p>
        </w:tc>
        <w:tc>
          <w:tcPr>
            <w:tcW w:type="dxa" w:w="11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OE2</w:t>
            </w:r>
          </w:p>
        </w:tc>
      </w:tr>
      <w:tr>
        <w:tc>
          <w:tcPr>
            <w:tcW w:type="dxa" w:w="20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Escenario "http_p95" (tasa constante, 20 req/s, 9 min)</w:t>
            </w:r>
          </w:p>
        </w:tc>
        <w:tc>
          <w:tcPr>
            <w:tcW w:type="dxa" w:w="26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Carga HTTP de fondo idéntica en todos los niveles.</w:t>
            </w:r>
          </w:p>
        </w:tc>
        <w:tc>
          <w:tcPr>
            <w:tcW w:type="dxa" w:w="17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req/s (fijo); configuración</w:t>
            </w:r>
          </w:p>
        </w:tc>
        <w:tc>
          <w:tcPr>
            <w:tcW w:type="dxa" w:w="181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V. de control</w:t>
            </w:r>
          </w:p>
        </w:tc>
        <w:tc>
          <w:tcPr>
            <w:tcW w:type="dxa" w:w="11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OE2</w:t>
            </w:r>
          </w:p>
        </w:tc>
      </w:tr>
      <w:tr>
        <w:tc>
          <w:tcPr>
            <w:tcW w:type="dxa" w:w="20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http_req_duration (P95 / P99)</w:t>
            </w:r>
          </w:p>
        </w:tc>
        <w:tc>
          <w:tcPr>
            <w:tcW w:type="dxa" w:w="26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Latencia del plano HTTP bajo estrés, del envío a la respuesta completa.</w:t>
            </w:r>
          </w:p>
        </w:tc>
        <w:tc>
          <w:tcPr>
            <w:tcW w:type="dxa" w:w="17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ms; tendencia con percentiles (summary.json)</w:t>
            </w:r>
          </w:p>
        </w:tc>
        <w:tc>
          <w:tcPr>
            <w:tcW w:type="dxa" w:w="181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VD latencia — H2</w:t>
            </w:r>
          </w:p>
        </w:tc>
        <w:tc>
          <w:tcPr>
            <w:tcW w:type="dxa" w:w="11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OE2, OE4</w:t>
            </w:r>
          </w:p>
        </w:tc>
      </w:tr>
      <w:tr>
        <w:tc>
          <w:tcPr>
            <w:tcW w:type="dxa" w:w="20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http_req_failed</w:t>
            </w:r>
          </w:p>
        </w:tc>
        <w:tc>
          <w:tcPr>
            <w:tcW w:type="dxa" w:w="26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Proporción de peticiones HTTP fallidas.</w:t>
            </w:r>
          </w:p>
        </w:tc>
        <w:tc>
          <w:tcPr>
            <w:tcW w:type="dxa" w:w="17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 (tasa); summary.json</w:t>
            </w:r>
          </w:p>
        </w:tc>
        <w:tc>
          <w:tcPr>
            <w:tcW w:type="dxa" w:w="181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VD errores — H4 (umbral &lt; 5 %)</w:t>
            </w:r>
          </w:p>
        </w:tc>
        <w:tc>
          <w:tcPr>
            <w:tcW w:type="dxa" w:w="11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OE3</w:t>
            </w:r>
          </w:p>
        </w:tc>
      </w:tr>
      <w:tr>
        <w:tc>
          <w:tcPr>
            <w:tcW w:type="dxa" w:w="20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ws_connect_time (métrica propia)</w:t>
            </w:r>
          </w:p>
        </w:tc>
        <w:tc>
          <w:tcPr>
            <w:tcW w:type="dxa" w:w="26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Tiempo desde el inicio de la conexión hasta el handshake exitoso (código 101).</w:t>
            </w:r>
          </w:p>
        </w:tc>
        <w:tc>
          <w:tcPr>
            <w:tcW w:type="dxa" w:w="17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ms; tendencia con P95</w:t>
            </w:r>
          </w:p>
        </w:tc>
        <w:tc>
          <w:tcPr>
            <w:tcW w:type="dxa" w:w="181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VD establecimiento WS — H3</w:t>
            </w:r>
          </w:p>
        </w:tc>
        <w:tc>
          <w:tcPr>
            <w:tcW w:type="dxa" w:w="11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OE2</w:t>
            </w:r>
          </w:p>
        </w:tc>
      </w:tr>
      <w:tr>
        <w:tc>
          <w:tcPr>
            <w:tcW w:type="dxa" w:w="20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ws_dropped_rate (métrica propia)</w:t>
            </w:r>
          </w:p>
        </w:tc>
        <w:tc>
          <w:tcPr>
            <w:tcW w:type="dxa" w:w="26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Proporción de conexiones WS caídas o rechazadas (integra rechazos de handshake y desconexiones).</w:t>
            </w:r>
          </w:p>
        </w:tc>
        <w:tc>
          <w:tcPr>
            <w:tcW w:type="dxa" w:w="17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 (tasa)</w:t>
            </w:r>
          </w:p>
        </w:tc>
        <w:tc>
          <w:tcPr>
            <w:tcW w:type="dxa" w:w="181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VD estabilidad WS — H3, H4 (umbral &lt; 10 %)</w:t>
            </w:r>
          </w:p>
        </w:tc>
        <w:tc>
          <w:tcPr>
            <w:tcW w:type="dxa" w:w="11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OE3</w:t>
            </w:r>
          </w:p>
        </w:tc>
      </w:tr>
      <w:tr>
        <w:tc>
          <w:tcPr>
            <w:tcW w:type="dxa" w:w="20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ws_msgs_sent / ws_msgs_received</w:t>
            </w:r>
          </w:p>
        </w:tc>
        <w:tc>
          <w:tcPr>
            <w:tcW w:type="dxa" w:w="26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Actividad del canal (latidos enviados, eventos recibidos).</w:t>
            </w:r>
          </w:p>
        </w:tc>
        <w:tc>
          <w:tcPr>
            <w:tcW w:type="dxa" w:w="17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Contadores</w:t>
            </w:r>
          </w:p>
        </w:tc>
        <w:tc>
          <w:tcPr>
            <w:tcW w:type="dxa" w:w="181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Contexto del canal en tiempo real</w:t>
            </w:r>
          </w:p>
        </w:tc>
        <w:tc>
          <w:tcPr>
            <w:tcW w:type="dxa" w:w="11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OE2</w:t>
            </w:r>
          </w:p>
        </w:tc>
      </w:tr>
      <w:tr>
        <w:tc>
          <w:tcPr>
            <w:tcW w:type="dxa" w:w="20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Bloque thresholds del script</w:t>
            </w:r>
          </w:p>
        </w:tc>
        <w:tc>
          <w:tcPr>
            <w:tcW w:type="dxa" w:w="26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Umbrales de calidad de servicio, codificados antes de las corridas.</w:t>
            </w:r>
          </w:p>
        </w:tc>
        <w:tc>
          <w:tcPr>
            <w:tcW w:type="dxa" w:w="17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Límites numéricos fijos</w:t>
            </w:r>
          </w:p>
        </w:tc>
        <w:tc>
          <w:tcPr>
            <w:tcW w:type="dxa" w:w="181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H4 — definición de punto de quiebre</w:t>
            </w:r>
          </w:p>
        </w:tc>
        <w:tc>
          <w:tcPr>
            <w:tcW w:type="dxa" w:w="11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OE3</w:t>
            </w:r>
          </w:p>
        </w:tc>
      </w:tr>
      <w:tr>
        <w:tc>
          <w:tcPr>
            <w:tcW w:type="dxa" w:w="20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process_resident_memory_bytes (×4 servicios)</w:t>
            </w:r>
          </w:p>
        </w:tc>
        <w:tc>
          <w:tcPr>
            <w:tcW w:type="dxa" w:w="26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Memoria RAM residente de cada servicio, muestreada cada 5 s.</w:t>
            </w:r>
          </w:p>
        </w:tc>
        <w:tc>
          <w:tcPr>
            <w:tcW w:type="dxa" w:w="17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MB; serie temporal (metrics.csv)</w:t>
            </w:r>
          </w:p>
        </w:tc>
        <w:tc>
          <w:tcPr>
            <w:tcW w:type="dxa" w:w="181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VD memoria — H1</w:t>
            </w:r>
          </w:p>
        </w:tc>
        <w:tc>
          <w:tcPr>
            <w:tcW w:type="dxa" w:w="11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OE2</w:t>
            </w:r>
          </w:p>
        </w:tc>
      </w:tr>
      <w:tr>
        <w:tc>
          <w:tcPr>
            <w:tcW w:type="dxa" w:w="20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process_cpu_seconds_total (×4 servicios)</w:t>
            </w:r>
          </w:p>
        </w:tc>
        <w:tc>
          <w:tcPr>
            <w:tcW w:type="dxa" w:w="26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CPU consumida por servicio (tasa derivada entre muestras).</w:t>
            </w:r>
          </w:p>
        </w:tc>
        <w:tc>
          <w:tcPr>
            <w:tcW w:type="dxa" w:w="17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Segundos de CPU; serie temporal</w:t>
            </w:r>
          </w:p>
        </w:tc>
        <w:tc>
          <w:tcPr>
            <w:tcW w:type="dxa" w:w="181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VD CPU — H1</w:t>
            </w:r>
          </w:p>
        </w:tc>
        <w:tc>
          <w:tcPr>
            <w:tcW w:type="dxa" w:w="11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OE2</w:t>
            </w:r>
          </w:p>
        </w:tc>
      </w:tr>
      <w:tr>
        <w:tc>
          <w:tcPr>
            <w:tcW w:type="dxa" w:w="20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http_request_duration_seconds (histograma por ruta)</w:t>
            </w:r>
          </w:p>
        </w:tc>
        <w:tc>
          <w:tcPr>
            <w:tcW w:type="dxa" w:w="26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Latencia medida desde el servidor, por endpoint.</w:t>
            </w:r>
          </w:p>
        </w:tc>
        <w:tc>
          <w:tcPr>
            <w:tcW w:type="dxa" w:w="17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Histograma (s); metrics.csv</w:t>
            </w:r>
          </w:p>
        </w:tc>
        <w:tc>
          <w:tcPr>
            <w:tcW w:type="dxa" w:w="181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Triangulación de H2</w:t>
            </w:r>
          </w:p>
        </w:tc>
        <w:tc>
          <w:tcPr>
            <w:tcW w:type="dxa" w:w="11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OE4</w:t>
            </w:r>
          </w:p>
        </w:tc>
      </w:tr>
      <w:tr>
        <w:tc>
          <w:tcPr>
            <w:tcW w:type="dxa" w:w="20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db_pool_* (conexiones totales, adquiridas, en espera)</w:t>
            </w:r>
          </w:p>
        </w:tc>
        <w:tc>
          <w:tcPr>
            <w:tcW w:type="dxa" w:w="26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Presión sobre el pool de conexiones a la base de datos.</w:t>
            </w:r>
          </w:p>
        </w:tc>
        <w:tc>
          <w:tcPr>
            <w:tcW w:type="dxa" w:w="17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Enteros; serie temporal</w:t>
            </w:r>
          </w:p>
        </w:tc>
        <w:tc>
          <w:tcPr>
            <w:tcW w:type="dxa" w:w="181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Explicación causal de la degradación</w:t>
            </w:r>
          </w:p>
        </w:tc>
        <w:tc>
          <w:tcPr>
            <w:tcW w:type="dxa" w:w="11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OE4</w:t>
            </w:r>
          </w:p>
        </w:tc>
      </w:tr>
      <w:tr>
        <w:tc>
          <w:tcPr>
            <w:tcW w:type="dxa" w:w="20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realtime_cold_start_seconds</w:t>
            </w:r>
          </w:p>
        </w:tc>
        <w:tc>
          <w:tcPr>
            <w:tcW w:type="dxa" w:w="26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Duración del arranque en frío del servicio de tiempo real.</w:t>
            </w:r>
          </w:p>
        </w:tc>
        <w:tc>
          <w:tcPr>
            <w:tcW w:type="dxa" w:w="17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Segundos (gauge)</w:t>
            </w:r>
          </w:p>
        </w:tc>
        <w:tc>
          <w:tcPr>
            <w:tcW w:type="dxa" w:w="181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Control de calentamiento (warm-up)</w:t>
            </w:r>
          </w:p>
        </w:tc>
        <w:tc>
          <w:tcPr>
            <w:tcW w:type="dxa" w:w="11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w:t>
            </w:r>
          </w:p>
        </w:tc>
      </w:tr>
      <w:tr>
        <w:tc>
          <w:tcPr>
            <w:tcW w:type="dxa" w:w="20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Hueco de muestreo (scrape fallido)</w:t>
            </w:r>
          </w:p>
        </w:tc>
        <w:tc>
          <w:tcPr>
            <w:tcW w:type="dxa" w:w="26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Ausencia de respuesta de /metrics: evento de colapso o reinicio (OOM).</w:t>
            </w:r>
          </w:p>
        </w:tc>
        <w:tc>
          <w:tcPr>
            <w:tcW w:type="dxa" w:w="17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Evento en la serie temporal</w:t>
            </w:r>
          </w:p>
        </w:tc>
        <w:tc>
          <w:tcPr>
            <w:tcW w:type="dxa" w:w="181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H4 — colapso observable</w:t>
            </w:r>
          </w:p>
        </w:tc>
        <w:tc>
          <w:tcPr>
            <w:tcW w:type="dxa" w:w="11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OE3</w:t>
            </w:r>
          </w:p>
        </w:tc>
      </w:tr>
      <w:tr>
        <w:tc>
          <w:tcPr>
            <w:tcW w:type="dxa" w:w="20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metadata.json y matriz.log</w:t>
            </w:r>
          </w:p>
        </w:tc>
        <w:tc>
          <w:tcPr>
            <w:tcW w:type="dxa" w:w="260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Commit del código medido, parámetros, marcas de tiempo, anomalías.</w:t>
            </w:r>
          </w:p>
        </w:tc>
        <w:tc>
          <w:tcPr>
            <w:tcW w:type="dxa" w:w="17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JSON / registro</w:t>
            </w:r>
          </w:p>
        </w:tc>
        <w:tc>
          <w:tcPr>
            <w:tcW w:type="dxa" w:w="181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Condiciones fijadas y criterios de exclusión</w:t>
            </w:r>
          </w:p>
        </w:tc>
        <w:tc>
          <w:tcPr>
            <w:tcW w:type="dxa" w:w="11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OE1</w:t>
            </w:r>
          </w:p>
        </w:tc>
      </w:tr>
    </w:tbl>
    <w:p>
      <w:pPr>
        <w:pStyle w:val="Heading1"/>
        <w:spacing w:after="140" w:before="280"/>
      </w:pPr>
      <w:r>
        <w:rPr>
          <w:rFonts w:ascii="Times New Roman" w:cs="Times New Roman" w:eastAsia="Times New Roman" w:hAnsi="Times New Roman"/>
          <w:b/>
          <w:bCs/>
          <w:color w:val="000000"/>
          <w:sz w:val="28"/>
          <w:szCs w:val="28"/>
        </w:rPr>
        <w:t xml:space="preserve">3. Decisiones de diseño: claridad de ítems y adecuación al tipo de dato</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Definiciones operacionales con unidad. </w:t>
      </w:r>
      <w:r>
        <w:rPr>
          <w:rFonts w:ascii="Times New Roman" w:cs="Times New Roman" w:eastAsia="Times New Roman" w:hAnsi="Times New Roman"/>
          <w:b w:val="false"/>
          <w:bCs w:val="false"/>
          <w:i w:val="false"/>
          <w:iCs w:val="false"/>
          <w:sz w:val="24"/>
          <w:szCs w:val="24"/>
        </w:rPr>
        <w:t xml:space="preserve">Cada ítem declara qué mide, desde dónde y en qué unidad (ms, MB, %, req/s); no hay ítems abiertos a interpretación.</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Percentiles en lugar de promedios. </w:t>
      </w:r>
      <w:r>
        <w:rPr>
          <w:rFonts w:ascii="Times New Roman" w:cs="Times New Roman" w:eastAsia="Times New Roman" w:hAnsi="Times New Roman"/>
          <w:b w:val="false"/>
          <w:bCs w:val="false"/>
          <w:i w:val="false"/>
          <w:iCs w:val="false"/>
          <w:sz w:val="24"/>
          <w:szCs w:val="24"/>
        </w:rPr>
        <w:t xml:space="preserve">Se reportan P95/P99 porque el promedio mezcla dos fenómenos distintos (el caso típico y el atípico) — el equivalente numérico de una "pregunta doble". El percentil aísla el comportamiento de la gran mayoría de las transacciones.</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Un ítem, un concepto. </w:t>
      </w:r>
      <w:r>
        <w:rPr>
          <w:rFonts w:ascii="Times New Roman" w:cs="Times New Roman" w:eastAsia="Times New Roman" w:hAnsi="Times New Roman"/>
          <w:b w:val="false"/>
          <w:bCs w:val="false"/>
          <w:i w:val="false"/>
          <w:iCs w:val="false"/>
          <w:sz w:val="24"/>
          <w:szCs w:val="24"/>
        </w:rPr>
        <w:t xml:space="preserve">El establecimiento de la conexión (ws_connect_time) se mide separado de su estabilidad (ws_dropped_rate); la tasa de errores, separada de la latencia. Ningún ítem mide dos cosas a la vez.</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Formato acorde al análisis previsto. </w:t>
      </w:r>
      <w:r>
        <w:rPr>
          <w:rFonts w:ascii="Times New Roman" w:cs="Times New Roman" w:eastAsia="Times New Roman" w:hAnsi="Times New Roman"/>
          <w:b w:val="false"/>
          <w:bCs w:val="false"/>
          <w:i w:val="false"/>
          <w:iCs w:val="false"/>
          <w:sz w:val="24"/>
          <w:szCs w:val="24"/>
        </w:rPr>
        <w:t xml:space="preserve">Tendencias → percentiles (mediana y dispersión entre réplicas); tasas → proporciones comparables entre niveles; series temporales → picos, valores sostenidos y huecos (colapso). Los formatos de salida (JSON y CSV) se analizan sin transformación manual, eliminando errores de captura.</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Umbrales predefinidos, no juicios posteriores. </w:t>
      </w:r>
      <w:r>
        <w:rPr>
          <w:rFonts w:ascii="Times New Roman" w:cs="Times New Roman" w:eastAsia="Times New Roman" w:hAnsi="Times New Roman"/>
          <w:b w:val="false"/>
          <w:bCs w:val="false"/>
          <w:i w:val="false"/>
          <w:iCs w:val="false"/>
          <w:sz w:val="24"/>
          <w:szCs w:val="24"/>
        </w:rPr>
        <w:t xml:space="preserve">Los criterios de calidad de servicio están codificados en el propio instrumento (bloque thresholds) desde antes de las corridas: el instrumento impide ajustar la vara después de ver los resultados.</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Anotación en el propio script. </w:t>
      </w:r>
      <w:r>
        <w:rPr>
          <w:rFonts w:ascii="Times New Roman" w:cs="Times New Roman" w:eastAsia="Times New Roman" w:hAnsi="Times New Roman"/>
          <w:b w:val="false"/>
          <w:bCs w:val="false"/>
          <w:i w:val="false"/>
          <w:iCs w:val="false"/>
          <w:sz w:val="24"/>
          <w:szCs w:val="24"/>
        </w:rPr>
        <w:t xml:space="preserve">Cada bloque del instrumento lleva un comentario con su propósito y el ítem al que sirve (véase el Anexo A), de modo que el vínculo ítem-variable viaja con el código.</w:t>
      </w:r>
    </w:p>
    <w:p>
      <w:pPr>
        <w:pStyle w:val="Heading1"/>
        <w:spacing w:after="140" w:before="280"/>
      </w:pPr>
      <w:r>
        <w:rPr>
          <w:rFonts w:ascii="Times New Roman" w:cs="Times New Roman" w:eastAsia="Times New Roman" w:hAnsi="Times New Roman"/>
          <w:b/>
          <w:bCs/>
          <w:color w:val="000000"/>
          <w:sz w:val="28"/>
          <w:szCs w:val="28"/>
        </w:rPr>
        <w:t xml:space="preserve">4. Validación interna documentada</w:t>
      </w:r>
    </w:p>
    <w:p>
      <w:pPr>
        <w:spacing w:after="120" w:line="276" w:lineRule="auto"/>
      </w:pPr>
      <w:r>
        <w:rPr>
          <w:rFonts w:ascii="Times New Roman" w:cs="Times New Roman" w:eastAsia="Times New Roman" w:hAnsi="Times New Roman"/>
          <w:b w:val="false"/>
          <w:bCs w:val="false"/>
          <w:i w:val="false"/>
          <w:iCs w:val="false"/>
          <w:sz w:val="24"/>
          <w:szCs w:val="24"/>
        </w:rPr>
        <w:t xml:space="preserve">El instrumento se sometió a revisión interna por componente (despliegue y variables de entorno: Solis Flores; operación del inyector: García Páez; extracción y parseo de datos: Cervantes Guerrero / Mario Yahir; análisis: equipo completo) y a corridas piloto contra el despliegue real. La validación produjo mejoras concretas, todas aplicadas y verificables en el historial del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050"/>
        <w:gridCol w:w="3040"/>
        <w:gridCol w:w="2850"/>
      </w:tblGrid>
      <w:tr>
        <w:trPr>
          <w:tblHeader/>
        </w:trPr>
        <w:tc>
          <w:tcPr>
            <w:tcW w:type="dxa" w:w="42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w:t>
            </w:r>
          </w:p>
        </w:tc>
        <w:tc>
          <w:tcPr>
            <w:tcW w:type="dxa" w:w="305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Problema detectado</w:t>
            </w:r>
          </w:p>
        </w:tc>
        <w:tc>
          <w:tcPr>
            <w:tcW w:type="dxa" w:w="304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Ajuste aplicado al instrumento</w:t>
            </w:r>
          </w:p>
        </w:tc>
        <w:tc>
          <w:tcPr>
            <w:tcW w:type="dxa" w:w="2850"/>
            <w:shd w:fill="E8E2D6" w:val="clear"/>
            <w:tcMar>
              <w:top w:type="dxa" w:w="60"/>
              <w:left w:type="dxa" w:w="80"/>
              <w:bottom w:type="dxa" w:w="60"/>
              <w:right w:type="dxa" w:w="80"/>
            </w:tcMar>
          </w:tcPr>
          <w:p>
            <w:pPr>
              <w:spacing w:after="40" w:line="240" w:lineRule="auto"/>
            </w:pPr>
            <w:r>
              <w:rPr>
                <w:rFonts w:ascii="Times New Roman" w:cs="Times New Roman" w:eastAsia="Times New Roman" w:hAnsi="Times New Roman"/>
                <w:b/>
                <w:bCs/>
                <w:sz w:val="20"/>
                <w:szCs w:val="20"/>
              </w:rPr>
              <w:t xml:space="preserve">Evidencia del resultado</w:t>
            </w:r>
          </w:p>
        </w:tc>
      </w:tr>
      <w:tr>
        <w:tc>
          <w:tcPr>
            <w:tcW w:type="dxa" w:w="42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1</w:t>
            </w:r>
          </w:p>
        </w:tc>
        <w:tc>
          <w:tcPr>
            <w:tcW w:type="dxa" w:w="30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El script original usaba identificadores de grupo ficticios; el handshake WS valida membresía real contra groups-service (fail-closed) y rechazaba todo con 403.</w:t>
            </w:r>
          </w:p>
        </w:tc>
        <w:tc>
          <w:tcPr>
            <w:tcW w:type="dxa" w:w="304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Se creó seed.sh: siembra 1 000 grupos sintéticos reales con una cuenta de pruebas dedicada; el script los reparte entre usuarios virtuales (SharedArray).</w:t>
            </w:r>
          </w:p>
        </w:tc>
        <w:tc>
          <w:tcPr>
            <w:tcW w:type="dxa" w:w="28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Handshakes aceptados (código 101) en el piloto siguiente.</w:t>
            </w:r>
          </w:p>
        </w:tc>
      </w:tr>
      <w:tr>
        <w:tc>
          <w:tcPr>
            <w:tcW w:type="dxa" w:w="42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2</w:t>
            </w:r>
          </w:p>
        </w:tc>
        <w:tc>
          <w:tcPr>
            <w:tcW w:type="dxa" w:w="30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Piloto 1: 88.30 % de peticiones fallidas y 93.68 % de conexiones WS caídas, con telemetría del servidor mostrando consumo mínimo (≤ 44 MB). El cruce de fuentes reveló que se medía el limitador de tasa por usuario del gateway (todos los VUs comparten la cuenta sintética), no la arquitectura.</w:t>
            </w:r>
          </w:p>
        </w:tc>
        <w:tc>
          <w:tcPr>
            <w:tcW w:type="dxa" w:w="304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Límites del gateway configurables por variable de entorno, elevados solo durante las corridas y documentados como condición experimental; valores de producción restaurados al terminar.</w:t>
            </w:r>
          </w:p>
        </w:tc>
        <w:tc>
          <w:tcPr>
            <w:tcW w:type="dxa" w:w="28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Piloto 2: 0.00 % de fallos HTTP (0/21 596) y 0.00 % de caídas WS (0/408).</w:t>
            </w:r>
          </w:p>
        </w:tc>
      </w:tr>
      <w:tr>
        <w:tc>
          <w:tcPr>
            <w:tcW w:type="dxa" w:w="42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3</w:t>
            </w:r>
          </w:p>
        </w:tc>
        <w:tc>
          <w:tcPr>
            <w:tcW w:type="dxa" w:w="30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La exportación de resultados (summary.json) fallaba por permisos al ejecutar k6 en contenedor.</w:t>
            </w:r>
          </w:p>
        </w:tc>
        <w:tc>
          <w:tcPr>
            <w:tcW w:type="dxa" w:w="304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El orquestador ejecuta k6 con el identificador de usuario del anfitrión.</w:t>
            </w:r>
          </w:p>
        </w:tc>
        <w:tc>
          <w:tcPr>
            <w:tcW w:type="dxa" w:w="28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Artefactos completos por corrida desde entonces.</w:t>
            </w:r>
          </w:p>
        </w:tc>
      </w:tr>
      <w:tr>
        <w:tc>
          <w:tcPr>
            <w:tcW w:type="dxa" w:w="42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4</w:t>
            </w:r>
          </w:p>
        </w:tc>
        <w:tc>
          <w:tcPr>
            <w:tcW w:type="dxa" w:w="30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El instrumento no medía los bytes reales de red: k6 no envía Accept-Encoding: gzip por defecto (los navegadores sí), así que las respuestas viajaban sin comprimir.</w:t>
            </w:r>
          </w:p>
        </w:tc>
        <w:tc>
          <w:tcPr>
            <w:tcW w:type="dxa" w:w="304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Se añadió el encabezado al script para que la medición refleje los bytes comprimidos que el proveedor factura como egreso.</w:t>
            </w:r>
          </w:p>
        </w:tc>
        <w:tc>
          <w:tcPr>
            <w:tcW w:type="dxa" w:w="28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Mediciones de transferencia realistas; el hallazgo del costo de egreso de la capa gratuita se documentó en el protocolo (§7.3).</w:t>
            </w:r>
          </w:p>
        </w:tc>
      </w:tr>
      <w:tr>
        <w:tc>
          <w:tcPr>
            <w:tcW w:type="dxa" w:w="42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5</w:t>
            </w:r>
          </w:p>
        </w:tc>
        <w:tc>
          <w:tcPr>
            <w:tcW w:type="dxa" w:w="30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Una corrida con precondiciones rotas (semilla ausente o más de 8 conexiones por grupo) desperdiciaba 9 minutos midiendo solo rechazos.</w:t>
            </w:r>
          </w:p>
        </w:tc>
        <w:tc>
          <w:tcPr>
            <w:tcW w:type="dxa" w:w="304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Guarda en setup(): el instrumento aborta con mensaje claro antes de iniciar la rampa si las precondiciones no se cumplen.</w:t>
            </w:r>
          </w:p>
        </w:tc>
        <w:tc>
          <w:tcPr>
            <w:tcW w:type="dxa" w:w="28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Corridas inválidas se detienen en segundos, no en minutos.</w:t>
            </w:r>
          </w:p>
        </w:tc>
      </w:tr>
      <w:tr>
        <w:tc>
          <w:tcPr>
            <w:tcW w:type="dxa" w:w="42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6</w:t>
            </w:r>
          </w:p>
        </w:tc>
        <w:tc>
          <w:tcPr>
            <w:tcW w:type="dxa" w:w="30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Los rechazos en el handshake WS no disparaban los eventos open ni error del socket, por lo que no se contaban como conexiones caídas.</w:t>
            </w:r>
          </w:p>
        </w:tc>
        <w:tc>
          <w:tcPr>
            <w:tcW w:type="dxa" w:w="304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La verificación del handshake (código 101) alimenta también ws_dropped_rate: la tasa integra rechazos y desconexiones.</w:t>
            </w:r>
          </w:p>
        </w:tc>
        <w:tc>
          <w:tcPr>
            <w:tcW w:type="dxa" w:w="2850"/>
            <w:tcMar>
              <w:top w:type="dxa" w:w="60"/>
              <w:left w:type="dxa" w:w="80"/>
              <w:bottom w:type="dxa" w:w="60"/>
              <w:right w:type="dxa" w:w="80"/>
            </w:tcMar>
          </w:tcPr>
          <w:p>
            <w:pPr>
              <w:spacing w:after="40" w:line="240" w:lineRule="auto"/>
            </w:pPr>
            <w:r>
              <w:rPr>
                <w:rFonts w:ascii="Times New Roman" w:cs="Times New Roman" w:eastAsia="Times New Roman" w:hAnsi="Times New Roman"/>
                <w:b w:val="false"/>
                <w:bCs w:val="false"/>
                <w:sz w:val="20"/>
                <w:szCs w:val="20"/>
              </w:rPr>
              <w:t xml:space="preserve">La métrica de estabilidad captura ambos modos de falla (comentado en el propio script).</w:t>
            </w:r>
          </w:p>
        </w:tc>
      </w:tr>
    </w:tbl>
    <w:p>
      <w:pPr>
        <w:spacing w:after="120" w:line="276" w:lineRule="auto"/>
      </w:pPr>
      <w:r>
        <w:rPr>
          <w:rFonts w:ascii="Times New Roman" w:cs="Times New Roman" w:eastAsia="Times New Roman" w:hAnsi="Times New Roman"/>
          <w:b w:val="false"/>
          <w:bCs w:val="false"/>
          <w:i w:val="false"/>
          <w:iCs w:val="false"/>
          <w:sz w:val="24"/>
          <w:szCs w:val="24"/>
        </w:rPr>
        <w:t xml:space="preserve"/>
      </w:r>
    </w:p>
    <w:p>
      <w:pPr>
        <w:spacing w:after="120" w:line="276" w:lineRule="auto"/>
      </w:pPr>
      <w:r>
        <w:rPr>
          <w:rFonts w:ascii="Times New Roman" w:cs="Times New Roman" w:eastAsia="Times New Roman" w:hAnsi="Times New Roman"/>
          <w:b w:val="false"/>
          <w:bCs w:val="false"/>
          <w:i w:val="false"/>
          <w:iCs w:val="false"/>
          <w:sz w:val="24"/>
          <w:szCs w:val="24"/>
        </w:rPr>
        <w:t xml:space="preserve">La mejora #2 se documenta además como hallazgo metodológico en el protocolo (§7.1): sin telemetría del lado del servidor, el 88 % de fallos se habría atribuido erróneamente a la capa gratuita.</w:t>
      </w:r>
    </w:p>
    <w:p>
      <w:pPr>
        <w:pStyle w:val="Heading1"/>
        <w:spacing w:after="140" w:before="280"/>
      </w:pPr>
      <w:r>
        <w:rPr>
          <w:rFonts w:ascii="Times New Roman" w:cs="Times New Roman" w:eastAsia="Times New Roman" w:hAnsi="Times New Roman"/>
          <w:b/>
          <w:bCs/>
          <w:color w:val="000000"/>
          <w:sz w:val="28"/>
          <w:szCs w:val="28"/>
        </w:rPr>
        <w:t xml:space="preserve">5. Versión preliminar y estado del piloto</w:t>
      </w:r>
    </w:p>
    <w:p>
      <w:pPr>
        <w:spacing w:after="120" w:line="276" w:lineRule="auto"/>
      </w:pPr>
      <w:r>
        <w:rPr>
          <w:rFonts w:ascii="Times New Roman" w:cs="Times New Roman" w:eastAsia="Times New Roman" w:hAnsi="Times New Roman"/>
          <w:b w:val="false"/>
          <w:bCs w:val="false"/>
          <w:i w:val="false"/>
          <w:iCs w:val="false"/>
          <w:sz w:val="24"/>
          <w:szCs w:val="24"/>
        </w:rPr>
        <w:t xml:space="preserve">El instrumento ya superó su fase de piloto: la corrida de validación (100 VUs) produjo 0 % de fallos y artefactos completos, y la primera sesión de la matriz experimental (niveles 100 y 1 000, tres réplicas por nivel) se ejecutó con 6 corridas válidas de 6 sin huecos de telemetría (protocolo v2, §7.2). La versión vigente del instrumento incorpora las seis mejoras de la sección 4 y está lista para la segunda sesión (niveles 2 500 y 5 000, con corrida puente de comparabilidad).</w:t>
      </w:r>
    </w:p>
    <w:p>
      <w:pPr>
        <w:pStyle w:val="Heading1"/>
        <w:spacing w:after="140" w:before="280"/>
      </w:pPr>
      <w:r>
        <w:rPr>
          <w:rFonts w:ascii="Times New Roman" w:cs="Times New Roman" w:eastAsia="Times New Roman" w:hAnsi="Times New Roman"/>
          <w:b/>
          <w:bCs/>
          <w:color w:val="000000"/>
          <w:sz w:val="28"/>
          <w:szCs w:val="28"/>
        </w:rPr>
        <w:t xml:space="preserve">Anexo A. Extractos anotados del script de inyección (k6_stress_test.js)</w:t>
      </w:r>
    </w:p>
    <w:p>
      <w:pPr>
        <w:spacing w:after="120" w:line="276" w:lineRule="auto"/>
      </w:pPr>
      <w:r>
        <w:rPr>
          <w:rFonts w:ascii="Times New Roman" w:cs="Times New Roman" w:eastAsia="Times New Roman" w:hAnsi="Times New Roman"/>
          <w:b w:val="false"/>
          <w:bCs w:val="false"/>
          <w:i/>
          <w:iCs/>
          <w:sz w:val="20"/>
          <w:szCs w:val="20"/>
        </w:rPr>
        <w:t xml:space="preserve">Extractos simplificados; el archivo íntegro y comentado está en load-tests/ del repositorio. Las anotaciones [→ …] indican la variable u objetivo al que responde cada bloque.</w:t>
      </w:r>
    </w:p>
    <w:p>
      <w:pPr>
        <w:shd w:fill="F5F2EC" w:val="clear"/>
        <w:spacing w:after="20" w:line="240" w:lineRule="auto"/>
      </w:pPr>
      <w:r>
        <w:rPr>
          <w:rFonts w:ascii="Consolas" w:cs="Consolas" w:eastAsia="Consolas" w:hAnsi="Consolas"/>
          <w:sz w:val="16"/>
          <w:szCs w:val="16"/>
        </w:rPr>
        <w:t xml:space="preserve">// --- MÉTRICAS PERSONALIZADAS ---</w:t>
      </w:r>
    </w:p>
    <w:p>
      <w:pPr>
        <w:shd w:fill="F5F2EC" w:val="clear"/>
        <w:spacing w:after="20" w:line="240" w:lineRule="auto"/>
      </w:pPr>
      <w:r>
        <w:rPr>
          <w:rFonts w:ascii="Consolas" w:cs="Consolas" w:eastAsia="Consolas" w:hAnsi="Consolas"/>
          <w:sz w:val="16"/>
          <w:szCs w:val="16"/>
        </w:rPr>
        <w:t xml:space="preserve">const wsConnectTime  = new Trend('ws_connect_time', true);</w:t>
      </w:r>
      <w:r>
        <w:rPr>
          <w:rFonts w:ascii="Consolas" w:cs="Consolas" w:eastAsia="Consolas" w:hAnsi="Consolas"/>
          <w:b/>
          <w:bCs/>
          <w:color w:val="7A5C00"/>
          <w:sz w:val="16"/>
          <w:szCs w:val="16"/>
        </w:rPr>
        <w:t xml:space="preserve">   [→ VD establecimiento WS · H3 · OE2]</w:t>
      </w:r>
    </w:p>
    <w:p>
      <w:pPr>
        <w:shd w:fill="F5F2EC" w:val="clear"/>
        <w:spacing w:after="20" w:line="240" w:lineRule="auto"/>
      </w:pPr>
      <w:r>
        <w:rPr>
          <w:rFonts w:ascii="Consolas" w:cs="Consolas" w:eastAsia="Consolas" w:hAnsi="Consolas"/>
          <w:sz w:val="16"/>
          <w:szCs w:val="16"/>
        </w:rPr>
        <w:t xml:space="preserve">const wsDroppedRate  = new Rate('ws_dropped_rate');</w:t>
      </w:r>
      <w:r>
        <w:rPr>
          <w:rFonts w:ascii="Consolas" w:cs="Consolas" w:eastAsia="Consolas" w:hAnsi="Consolas"/>
          <w:b/>
          <w:bCs/>
          <w:color w:val="7A5C00"/>
          <w:sz w:val="16"/>
          <w:szCs w:val="16"/>
        </w:rPr>
        <w:t xml:space="preserve">   [→ VD estabilidad WS · H3/H4 · OE3]</w:t>
      </w:r>
    </w:p>
    <w:p>
      <w:pPr>
        <w:shd w:fill="F5F2EC" w:val="clear"/>
        <w:spacing w:after="20" w:line="240" w:lineRule="auto"/>
      </w:pPr>
      <w:r>
        <w:rPr>
          <w:rFonts w:ascii="Consolas" w:cs="Consolas" w:eastAsia="Consolas" w:hAnsi="Consolas"/>
          <w:sz w:val="16"/>
          <w:szCs w:val="16"/>
        </w:rPr>
        <w:t xml:space="preserve">const wsMsgsReceived = new Counter('ws_msgs_received');</w:t>
      </w:r>
      <w:r>
        <w:rPr>
          <w:rFonts w:ascii="Consolas" w:cs="Consolas" w:eastAsia="Consolas" w:hAnsi="Consolas"/>
          <w:b/>
          <w:bCs/>
          <w:color w:val="7A5C00"/>
          <w:sz w:val="16"/>
          <w:szCs w:val="16"/>
        </w:rPr>
        <w:t xml:space="preserve">   [→ contexto del canal]</w:t>
      </w:r>
    </w:p>
    <w:p>
      <w:pPr>
        <w:shd w:fill="F5F2EC" w:val="clear"/>
        <w:spacing w:after="20" w:line="240" w:lineRule="auto"/>
      </w:pPr>
      <w:r>
        <w:rPr>
          <w:rFonts w:ascii="Consolas" w:cs="Consolas" w:eastAsia="Consolas" w:hAnsi="Consolas"/>
          <w:sz w:val="16"/>
          <w:szCs w:val="16"/>
        </w:rPr>
        <w:t xml:space="preserve"/>
      </w:r>
    </w:p>
    <w:p>
      <w:pPr>
        <w:shd w:fill="F5F2EC" w:val="clear"/>
        <w:spacing w:after="20" w:line="240" w:lineRule="auto"/>
      </w:pPr>
      <w:r>
        <w:rPr>
          <w:rFonts w:ascii="Consolas" w:cs="Consolas" w:eastAsia="Consolas" w:hAnsi="Consolas"/>
          <w:sz w:val="16"/>
          <w:szCs w:val="16"/>
        </w:rPr>
        <w:t xml:space="preserve">// --- ESCENARIOS (dos planos simultáneos) ---</w:t>
      </w:r>
    </w:p>
    <w:p>
      <w:pPr>
        <w:shd w:fill="F5F2EC" w:val="clear"/>
        <w:spacing w:after="20" w:line="240" w:lineRule="auto"/>
      </w:pPr>
      <w:r>
        <w:rPr>
          <w:rFonts w:ascii="Consolas" w:cs="Consolas" w:eastAsia="Consolas" w:hAnsi="Consolas"/>
          <w:sz w:val="16"/>
          <w:szCs w:val="16"/>
        </w:rPr>
        <w:t xml:space="preserve">websockets: { executor: "ramping-vus", stages: [</w:t>
      </w:r>
      <w:r>
        <w:rPr>
          <w:rFonts w:ascii="Consolas" w:cs="Consolas" w:eastAsia="Consolas" w:hAnsi="Consolas"/>
          <w:b/>
          <w:bCs/>
          <w:color w:val="7A5C00"/>
          <w:sz w:val="16"/>
          <w:szCs w:val="16"/>
        </w:rPr>
        <w:t xml:space="preserve">   [→ manipulación de la V. INDEPENDIENTE]</w:t>
      </w:r>
    </w:p>
    <w:p>
      <w:pPr>
        <w:shd w:fill="F5F2EC" w:val="clear"/>
        <w:spacing w:after="20" w:line="240" w:lineRule="auto"/>
      </w:pPr>
      <w:r>
        <w:rPr>
          <w:rFonts w:ascii="Consolas" w:cs="Consolas" w:eastAsia="Consolas" w:hAnsi="Consolas"/>
          <w:sz w:val="16"/>
          <w:szCs w:val="16"/>
        </w:rPr>
        <w:t xml:space="preserve">  { duration: "30s", target: 2% del pico },   // línea base</w:t>
      </w:r>
    </w:p>
    <w:p>
      <w:pPr>
        <w:shd w:fill="F5F2EC" w:val="clear"/>
        <w:spacing w:after="20" w:line="240" w:lineRule="auto"/>
      </w:pPr>
      <w:r>
        <w:rPr>
          <w:rFonts w:ascii="Consolas" w:cs="Consolas" w:eastAsia="Consolas" w:hAnsi="Consolas"/>
          <w:sz w:val="16"/>
          <w:szCs w:val="16"/>
        </w:rPr>
        <w:t xml:space="preserve">  { duration: "1m",  target: 20% }, { duration: "2m", target: 50% },</w:t>
      </w:r>
    </w:p>
    <w:p>
      <w:pPr>
        <w:shd w:fill="F5F2EC" w:val="clear"/>
        <w:spacing w:after="20" w:line="240" w:lineRule="auto"/>
      </w:pPr>
      <w:r>
        <w:rPr>
          <w:rFonts w:ascii="Consolas" w:cs="Consolas" w:eastAsia="Consolas" w:hAnsi="Consolas"/>
          <w:sz w:val="16"/>
          <w:szCs w:val="16"/>
        </w:rPr>
        <w:t xml:space="preserve">  { duration: "3m",  target: PICO },          // objetivo del nivel</w:t>
      </w:r>
    </w:p>
    <w:p>
      <w:pPr>
        <w:shd w:fill="F5F2EC" w:val="clear"/>
        <w:spacing w:after="20" w:line="240" w:lineRule="auto"/>
      </w:pPr>
      <w:r>
        <w:rPr>
          <w:rFonts w:ascii="Consolas" w:cs="Consolas" w:eastAsia="Consolas" w:hAnsi="Consolas"/>
          <w:sz w:val="16"/>
          <w:szCs w:val="16"/>
        </w:rPr>
        <w:t xml:space="preserve">  { duration: "2m",  target: PICO },          // meseta</w:t>
      </w:r>
      <w:r>
        <w:rPr>
          <w:rFonts w:ascii="Consolas" w:cs="Consolas" w:eastAsia="Consolas" w:hAnsi="Consolas"/>
          <w:b/>
          <w:bCs/>
          <w:color w:val="7A5C00"/>
          <w:sz w:val="16"/>
          <w:szCs w:val="16"/>
        </w:rPr>
        <w:t xml:space="preserve">   [→ ventana de medición sostenida]</w:t>
      </w:r>
    </w:p>
    <w:p>
      <w:pPr>
        <w:shd w:fill="F5F2EC" w:val="clear"/>
        <w:spacing w:after="20" w:line="240" w:lineRule="auto"/>
      </w:pPr>
      <w:r>
        <w:rPr>
          <w:rFonts w:ascii="Consolas" w:cs="Consolas" w:eastAsia="Consolas" w:hAnsi="Consolas"/>
          <w:sz w:val="16"/>
          <w:szCs w:val="16"/>
        </w:rPr>
        <w:t xml:space="preserve">  { duration: "30s", target: 0 } ] }          // enfriamiento</w:t>
      </w:r>
    </w:p>
    <w:p>
      <w:pPr>
        <w:shd w:fill="F5F2EC" w:val="clear"/>
        <w:spacing w:after="20" w:line="240" w:lineRule="auto"/>
      </w:pPr>
      <w:r>
        <w:rPr>
          <w:rFonts w:ascii="Consolas" w:cs="Consolas" w:eastAsia="Consolas" w:hAnsi="Consolas"/>
          <w:sz w:val="16"/>
          <w:szCs w:val="16"/>
        </w:rPr>
        <w:t xml:space="preserve">http_p95: { executor: "constant-arrival-rate", rate: 20/s,</w:t>
      </w:r>
      <w:r>
        <w:rPr>
          <w:rFonts w:ascii="Consolas" w:cs="Consolas" w:eastAsia="Consolas" w:hAnsi="Consolas"/>
          <w:b/>
          <w:bCs/>
          <w:color w:val="7A5C00"/>
          <w:sz w:val="16"/>
          <w:szCs w:val="16"/>
        </w:rPr>
        <w:t xml:space="preserve">   [→ V. de CONTROL: carga de fondo fija]</w:t>
      </w:r>
    </w:p>
    <w:p>
      <w:pPr>
        <w:shd w:fill="F5F2EC" w:val="clear"/>
        <w:spacing w:after="20" w:line="240" w:lineRule="auto"/>
      </w:pPr>
      <w:r>
        <w:rPr>
          <w:rFonts w:ascii="Consolas" w:cs="Consolas" w:eastAsia="Consolas" w:hAnsi="Consolas"/>
          <w:sz w:val="16"/>
          <w:szCs w:val="16"/>
        </w:rPr>
        <w:t xml:space="preserve">  duration: "9m" }</w:t>
      </w:r>
    </w:p>
    <w:p>
      <w:pPr>
        <w:shd w:fill="F5F2EC" w:val="clear"/>
        <w:spacing w:after="20" w:line="240" w:lineRule="auto"/>
      </w:pPr>
      <w:r>
        <w:rPr>
          <w:rFonts w:ascii="Consolas" w:cs="Consolas" w:eastAsia="Consolas" w:hAnsi="Consolas"/>
          <w:sz w:val="16"/>
          <w:szCs w:val="16"/>
        </w:rPr>
        <w:t xml:space="preserve"/>
      </w:r>
    </w:p>
    <w:p>
      <w:pPr>
        <w:shd w:fill="F5F2EC" w:val="clear"/>
        <w:spacing w:after="20" w:line="240" w:lineRule="auto"/>
      </w:pPr>
      <w:r>
        <w:rPr>
          <w:rFonts w:ascii="Consolas" w:cs="Consolas" w:eastAsia="Consolas" w:hAnsi="Consolas"/>
          <w:sz w:val="16"/>
          <w:szCs w:val="16"/>
        </w:rPr>
        <w:t xml:space="preserve">// --- UMBRALES (predefinidos: imposible ajustarlos a posteriori) ---</w:t>
      </w:r>
    </w:p>
    <w:p>
      <w:pPr>
        <w:shd w:fill="F5F2EC" w:val="clear"/>
        <w:spacing w:after="20" w:line="240" w:lineRule="auto"/>
      </w:pPr>
      <w:r>
        <w:rPr>
          <w:rFonts w:ascii="Consolas" w:cs="Consolas" w:eastAsia="Consolas" w:hAnsi="Consolas"/>
          <w:sz w:val="16"/>
          <w:szCs w:val="16"/>
        </w:rPr>
        <w:t xml:space="preserve">thresholds: {</w:t>
      </w:r>
      <w:r>
        <w:rPr>
          <w:rFonts w:ascii="Consolas" w:cs="Consolas" w:eastAsia="Consolas" w:hAnsi="Consolas"/>
          <w:b/>
          <w:bCs/>
          <w:color w:val="7A5C00"/>
          <w:sz w:val="16"/>
          <w:szCs w:val="16"/>
        </w:rPr>
        <w:t xml:space="preserve">   [→ H4: definición de punto de quiebre · OE3]</w:t>
      </w:r>
    </w:p>
    <w:p>
      <w:pPr>
        <w:shd w:fill="F5F2EC" w:val="clear"/>
        <w:spacing w:after="20" w:line="240" w:lineRule="auto"/>
      </w:pPr>
      <w:r>
        <w:rPr>
          <w:rFonts w:ascii="Consolas" w:cs="Consolas" w:eastAsia="Consolas" w:hAnsi="Consolas"/>
          <w:sz w:val="16"/>
          <w:szCs w:val="16"/>
        </w:rPr>
        <w:t xml:space="preserve">  http_req_duration: ['p(95)&lt;800', 'p(99)&lt;2000'],</w:t>
      </w:r>
    </w:p>
    <w:p>
      <w:pPr>
        <w:shd w:fill="F5F2EC" w:val="clear"/>
        <w:spacing w:after="20" w:line="240" w:lineRule="auto"/>
      </w:pPr>
      <w:r>
        <w:rPr>
          <w:rFonts w:ascii="Consolas" w:cs="Consolas" w:eastAsia="Consolas" w:hAnsi="Consolas"/>
          <w:sz w:val="16"/>
          <w:szCs w:val="16"/>
        </w:rPr>
        <w:t xml:space="preserve">  http_req_failed:   ['rate&lt;0.05'],</w:t>
      </w:r>
    </w:p>
    <w:p>
      <w:pPr>
        <w:shd w:fill="F5F2EC" w:val="clear"/>
        <w:spacing w:after="20" w:line="240" w:lineRule="auto"/>
      </w:pPr>
      <w:r>
        <w:rPr>
          <w:rFonts w:ascii="Consolas" w:cs="Consolas" w:eastAsia="Consolas" w:hAnsi="Consolas"/>
          <w:sz w:val="16"/>
          <w:szCs w:val="16"/>
        </w:rPr>
        <w:t xml:space="preserve">  ws_connect_time:   ['p(95)&lt;2000'],</w:t>
      </w:r>
    </w:p>
    <w:p>
      <w:pPr>
        <w:shd w:fill="F5F2EC" w:val="clear"/>
        <w:spacing w:after="20" w:line="240" w:lineRule="auto"/>
      </w:pPr>
      <w:r>
        <w:rPr>
          <w:rFonts w:ascii="Consolas" w:cs="Consolas" w:eastAsia="Consolas" w:hAnsi="Consolas"/>
          <w:sz w:val="16"/>
          <w:szCs w:val="16"/>
        </w:rPr>
        <w:t xml:space="preserve">  ws_dropped_rate:   ['rate&lt;0.10'], }</w:t>
      </w:r>
    </w:p>
    <w:p>
      <w:pPr>
        <w:shd w:fill="F5F2EC" w:val="clear"/>
        <w:spacing w:after="20" w:line="240" w:lineRule="auto"/>
      </w:pPr>
      <w:r>
        <w:rPr>
          <w:rFonts w:ascii="Consolas" w:cs="Consolas" w:eastAsia="Consolas" w:hAnsi="Consolas"/>
          <w:sz w:val="16"/>
          <w:szCs w:val="16"/>
        </w:rPr>
        <w:t xml:space="preserve"/>
      </w:r>
    </w:p>
    <w:p>
      <w:pPr>
        <w:shd w:fill="F5F2EC" w:val="clear"/>
        <w:spacing w:after="20" w:line="240" w:lineRule="auto"/>
      </w:pPr>
      <w:r>
        <w:rPr>
          <w:rFonts w:ascii="Consolas" w:cs="Consolas" w:eastAsia="Consolas" w:hAnsi="Consolas"/>
          <w:sz w:val="16"/>
          <w:szCs w:val="16"/>
        </w:rPr>
        <w:t xml:space="preserve">// --- GUARDA DE PRECONDICIONES (mejora #5) ---</w:t>
      </w:r>
    </w:p>
    <w:p>
      <w:pPr>
        <w:shd w:fill="F5F2EC" w:val="clear"/>
        <w:spacing w:after="20" w:line="240" w:lineRule="auto"/>
      </w:pPr>
      <w:r>
        <w:rPr>
          <w:rFonts w:ascii="Consolas" w:cs="Consolas" w:eastAsia="Consolas" w:hAnsi="Consolas"/>
          <w:sz w:val="16"/>
          <w:szCs w:val="16"/>
        </w:rPr>
        <w:t xml:space="preserve">export function setup() {</w:t>
      </w:r>
      <w:r>
        <w:rPr>
          <w:rFonts w:ascii="Consolas" w:cs="Consolas" w:eastAsia="Consolas" w:hAnsi="Consolas"/>
          <w:b/>
          <w:bCs/>
          <w:color w:val="7A5C00"/>
          <w:sz w:val="16"/>
          <w:szCs w:val="16"/>
        </w:rPr>
        <w:t xml:space="preserve">   [→ validez: aborta corridas mal montadas]</w:t>
      </w:r>
    </w:p>
    <w:p>
      <w:pPr>
        <w:shd w:fill="F5F2EC" w:val="clear"/>
        <w:spacing w:after="20" w:line="240" w:lineRule="auto"/>
      </w:pPr>
      <w:r>
        <w:rPr>
          <w:rFonts w:ascii="Consolas" w:cs="Consolas" w:eastAsia="Consolas" w:hAnsi="Consolas"/>
          <w:sz w:val="16"/>
          <w:szCs w:val="16"/>
        </w:rPr>
        <w:t xml:space="preserve">  if (GROUPS.length === 0) throw new Error("falta la semilla…");</w:t>
      </w:r>
    </w:p>
    <w:p>
      <w:pPr>
        <w:shd w:fill="F5F2EC" w:val="clear"/>
        <w:spacing w:after="20" w:line="240" w:lineRule="auto"/>
      </w:pPr>
      <w:r>
        <w:rPr>
          <w:rFonts w:ascii="Consolas" w:cs="Consolas" w:eastAsia="Consolas" w:hAnsi="Consolas"/>
          <w:sz w:val="16"/>
          <w:szCs w:val="16"/>
        </w:rPr>
        <w:t xml:space="preserve">  if (PICO / GROUPS.length &gt; 8) throw new Error("tope 8/grupo…"); }</w:t>
      </w:r>
    </w:p>
    <w:p>
      <w:pPr>
        <w:shd w:fill="F5F2EC" w:val="clear"/>
        <w:spacing w:after="20" w:line="240" w:lineRule="auto"/>
      </w:pPr>
      <w:r>
        <w:rPr>
          <w:rFonts w:ascii="Consolas" w:cs="Consolas" w:eastAsia="Consolas" w:hAnsi="Consolas"/>
          <w:sz w:val="16"/>
          <w:szCs w:val="16"/>
        </w:rPr>
        <w:t xml:space="preserve"/>
      </w:r>
    </w:p>
    <w:p>
      <w:pPr>
        <w:shd w:fill="F5F2EC" w:val="clear"/>
        <w:spacing w:after="20" w:line="240" w:lineRule="auto"/>
      </w:pPr>
      <w:r>
        <w:rPr>
          <w:rFonts w:ascii="Consolas" w:cs="Consolas" w:eastAsia="Consolas" w:hAnsi="Consolas"/>
          <w:sz w:val="16"/>
          <w:szCs w:val="16"/>
        </w:rPr>
        <w:t xml:space="preserve">// --- HANDSHAKE: el check alimenta la tasa de caídas (mejora #6) ---</w:t>
      </w:r>
    </w:p>
    <w:p>
      <w:pPr>
        <w:shd w:fill="F5F2EC" w:val="clear"/>
        <w:spacing w:after="20" w:line="240" w:lineRule="auto"/>
      </w:pPr>
      <w:r>
        <w:rPr>
          <w:rFonts w:ascii="Consolas" w:cs="Consolas" w:eastAsia="Consolas" w:hAnsi="Consolas"/>
          <w:sz w:val="16"/>
          <w:szCs w:val="16"/>
        </w:rPr>
        <w:t xml:space="preserve">const ok = check(res, { 'WS handshake 101': r =&gt; r &amp;&amp; r.status === 101 });</w:t>
      </w:r>
    </w:p>
    <w:p>
      <w:pPr>
        <w:shd w:fill="F5F2EC" w:val="clear"/>
        <w:spacing w:after="20" w:line="240" w:lineRule="auto"/>
      </w:pPr>
      <w:r>
        <w:rPr>
          <w:rFonts w:ascii="Consolas" w:cs="Consolas" w:eastAsia="Consolas" w:hAnsi="Consolas"/>
          <w:sz w:val="16"/>
          <w:szCs w:val="16"/>
        </w:rPr>
        <w:t xml:space="preserve">if (!ok) wsDroppedRate.add(true);</w:t>
      </w:r>
      <w:r>
        <w:rPr>
          <w:rFonts w:ascii="Consolas" w:cs="Consolas" w:eastAsia="Consolas" w:hAnsi="Consolas"/>
          <w:b/>
          <w:bCs/>
          <w:color w:val="7A5C00"/>
          <w:sz w:val="16"/>
          <w:szCs w:val="16"/>
        </w:rPr>
        <w:t xml:space="preserve">   [→ rechazos y desconexiones en UNA métrica]</w:t>
      </w:r>
    </w:p>
    <w:p>
      <w:pPr>
        <w:spacing w:after="120" w:line="276" w:lineRule="auto"/>
      </w:pPr>
      <w:r>
        <w:rPr>
          <w:rFonts w:ascii="Times New Roman" w:cs="Times New Roman" w:eastAsia="Times New Roman" w:hAnsi="Times New Roman"/>
          <w:b w:val="false"/>
          <w:bCs w:val="false"/>
          <w:i w:val="false"/>
          <w:iCs w:val="false"/>
          <w:sz w:val="24"/>
          <w:szCs w:val="24"/>
        </w:rPr>
        <w:t xml:space="preserve"/>
      </w:r>
    </w:p>
    <w:p>
      <w:pPr>
        <w:pStyle w:val="Heading1"/>
        <w:spacing w:after="140" w:before="280"/>
      </w:pPr>
      <w:r>
        <w:rPr>
          <w:rFonts w:ascii="Times New Roman" w:cs="Times New Roman" w:eastAsia="Times New Roman" w:hAnsi="Times New Roman"/>
          <w:b/>
          <w:bCs/>
          <w:color w:val="000000"/>
          <w:sz w:val="28"/>
          <w:szCs w:val="28"/>
        </w:rPr>
        <w:t xml:space="preserve">Anexo B. Métricas expuestas por la telemetría embebida (obs.go)</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process_resident_memory_bytes / process_cpu_seconds_total </w:t>
      </w:r>
      <w:r>
        <w:rPr>
          <w:rFonts w:ascii="Times New Roman" w:cs="Times New Roman" w:eastAsia="Times New Roman" w:hAnsi="Times New Roman"/>
          <w:b w:val="false"/>
          <w:bCs w:val="false"/>
          <w:i w:val="false"/>
          <w:iCs w:val="false"/>
          <w:sz w:val="24"/>
          <w:szCs w:val="24"/>
        </w:rPr>
        <w:t xml:space="preserve">— RAM y CPU por servicio [→ H1 · OE2].</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http_request_duration_seconds </w:t>
      </w:r>
      <w:r>
        <w:rPr>
          <w:rFonts w:ascii="Times New Roman" w:cs="Times New Roman" w:eastAsia="Times New Roman" w:hAnsi="Times New Roman"/>
          <w:b w:val="false"/>
          <w:bCs w:val="false"/>
          <w:i w:val="false"/>
          <w:iCs w:val="false"/>
          <w:sz w:val="24"/>
          <w:szCs w:val="24"/>
        </w:rPr>
        <w:t xml:space="preserve">— histograma de latencia por ruta, lado servidor [→ triangulación de H2 · OE4].</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db_pool_total_conns / acquired_conns / idle_conns / max_conns / empty_acquire_total </w:t>
      </w:r>
      <w:r>
        <w:rPr>
          <w:rFonts w:ascii="Times New Roman" w:cs="Times New Roman" w:eastAsia="Times New Roman" w:hAnsi="Times New Roman"/>
          <w:b w:val="false"/>
          <w:bCs w:val="false"/>
          <w:i w:val="false"/>
          <w:iCs w:val="false"/>
          <w:sz w:val="24"/>
          <w:szCs w:val="24"/>
        </w:rPr>
        <w:t xml:space="preserve">— presión del pool de PostgreSQL [→ explicación causal · OE4].</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realtime_cold_start_seconds </w:t>
      </w:r>
      <w:r>
        <w:rPr>
          <w:rFonts w:ascii="Times New Roman" w:cs="Times New Roman" w:eastAsia="Times New Roman" w:hAnsi="Times New Roman"/>
          <w:b w:val="false"/>
          <w:bCs w:val="false"/>
          <w:i w:val="false"/>
          <w:iCs w:val="false"/>
          <w:sz w:val="24"/>
          <w:szCs w:val="24"/>
        </w:rPr>
        <w:t xml:space="preserve">— arranque en frío del servicio de tiempo real [→ control de warm-up].</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realtime_events_dropped_total </w:t>
      </w:r>
      <w:r>
        <w:rPr>
          <w:rFonts w:ascii="Times New Roman" w:cs="Times New Roman" w:eastAsia="Times New Roman" w:hAnsi="Times New Roman"/>
          <w:b w:val="false"/>
          <w:bCs w:val="false"/>
          <w:i w:val="false"/>
          <w:iCs w:val="false"/>
          <w:sz w:val="24"/>
          <w:szCs w:val="24"/>
        </w:rPr>
        <w:t xml:space="preserve">— eventos descartados por el difusor [→ VD estabilidad del tiempo real].</w:t>
      </w:r>
    </w:p>
    <w:p>
      <w:pPr>
        <w:pStyle w:val="ListParagraph"/>
        <w:numPr>
          <w:ilvl w:val="0"/>
          <w:numId w:val="2"/>
        </w:numPr>
        <w:spacing w:after="80" w:line="276" w:lineRule="auto"/>
      </w:pPr>
      <w:r>
        <w:rPr>
          <w:rFonts w:ascii="Times New Roman" w:cs="Times New Roman" w:eastAsia="Times New Roman" w:hAnsi="Times New Roman"/>
          <w:b/>
          <w:bCs/>
          <w:i w:val="false"/>
          <w:iCs w:val="false"/>
          <w:sz w:val="24"/>
          <w:szCs w:val="24"/>
        </w:rPr>
        <w:t xml:space="preserve">Registros estructurados (slog, JSON) </w:t>
      </w:r>
      <w:r>
        <w:rPr>
          <w:rFonts w:ascii="Times New Roman" w:cs="Times New Roman" w:eastAsia="Times New Roman" w:hAnsi="Times New Roman"/>
          <w:b w:val="false"/>
          <w:bCs w:val="false"/>
          <w:i w:val="false"/>
          <w:iCs w:val="false"/>
          <w:sz w:val="24"/>
          <w:szCs w:val="24"/>
        </w:rPr>
        <w:t xml:space="preserve">— evento por petición con ruta, duración y estado [→ diagnóstico causal de anomalías].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2026-07-11T16:51:21.460Z</dcterms:created>
  <dcterms:modified xsi:type="dcterms:W3CDTF">2026-07-11T16:51:21.461Z</dcterms:modified>
</cp:coreProperties>
</file>

<file path=docProps/custom.xml><?xml version="1.0" encoding="utf-8"?>
<Properties xmlns="http://schemas.openxmlformats.org/officeDocument/2006/custom-properties" xmlns:vt="http://schemas.openxmlformats.org/officeDocument/2006/docPropsVTypes"/>
</file>