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lineRule="auto"/>
      </w:pPr>
      <w:r>
        <w:rPr>
          <w:rFonts w:ascii="Times New Roman" w:cs="Times New Roman" w:eastAsia="Times New Roman" w:hAnsi="Times New Roman"/>
          <w:b w:val="false"/>
          <w:bCs w:val="false"/>
          <w:i w:val="false"/>
          <w:iCs w:val="false"/>
          <w:sz w:val="24"/>
          <w:szCs w:val="24"/>
        </w:rPr>
        <w:t xml:space="preserve"/>
      </w:r>
    </w:p>
    <w:p>
      <w:pPr>
        <w:spacing w:after="480" w:before="0" w:line="276" w:lineRule="auto"/>
        <w:jc w:val="center"/>
      </w:pPr>
      <w:r>
        <w:rPr>
          <w:rFonts w:ascii="Times New Roman" w:cs="Times New Roman" w:eastAsia="Times New Roman" w:hAnsi="Times New Roman"/>
          <w:b/>
          <w:bCs/>
          <w:i w:val="false"/>
          <w:iCs w:val="false"/>
          <w:sz w:val="24"/>
          <w:szCs w:val="24"/>
        </w:rPr>
        <w:t xml:space="preserve">Protocolo de Investigación — versión 2 (corregida)</w:t>
      </w:r>
    </w:p>
    <w:p>
      <w:pPr>
        <w:spacing w:after="720" w:before="0" w:line="276" w:lineRule="auto"/>
        <w:jc w:val="center"/>
      </w:pPr>
      <w:r>
        <w:rPr>
          <w:rFonts w:ascii="Times New Roman" w:cs="Times New Roman" w:eastAsia="Times New Roman" w:hAnsi="Times New Roman"/>
          <w:b/>
          <w:bCs/>
          <w:i w:val="false"/>
          <w:iCs w:val="false"/>
          <w:sz w:val="32"/>
          <w:szCs w:val="32"/>
        </w:rPr>
        <w:t xml:space="preserve">Evaluación de resiliencia, consumo de recursos y punto de quiebre de una arquitectura de microservicios en Go sobre la capa gratuita de plataformas cloud</w:t>
      </w:r>
    </w:p>
    <w:p>
      <w:pPr>
        <w:spacing w:after="240" w:before="0" w:line="276" w:lineRule="auto"/>
        <w:jc w:val="center"/>
      </w:pPr>
      <w:r>
        <w:rPr>
          <w:rFonts w:ascii="Times New Roman" w:cs="Times New Roman" w:eastAsia="Times New Roman" w:hAnsi="Times New Roman"/>
          <w:b w:val="false"/>
          <w:bCs w:val="false"/>
          <w:i w:val="false"/>
          <w:iCs w:val="false"/>
          <w:sz w:val="24"/>
          <w:szCs w:val="24"/>
        </w:rPr>
        <w:t xml:space="preserve">Equipo 3 — Resiliencia y consumo de recursos en microservicios (Proyecto Dydi)</w:t>
      </w:r>
    </w:p>
    <w:p>
      <w:pPr>
        <w:spacing w:after="240" w:before="0" w:line="276" w:lineRule="auto"/>
        <w:jc w:val="center"/>
      </w:pPr>
      <w:r>
        <w:rPr>
          <w:rFonts w:ascii="Times New Roman" w:cs="Times New Roman" w:eastAsia="Times New Roman" w:hAnsi="Times New Roman"/>
          <w:b w:val="false"/>
          <w:bCs w:val="false"/>
          <w:i w:val="false"/>
          <w:iCs w:val="false"/>
          <w:sz w:val="24"/>
          <w:szCs w:val="24"/>
        </w:rPr>
        <w:t xml:space="preserve">Universidad Tecnológica de Durango · Integradora 2026</w:t>
      </w:r>
    </w:p>
    <w:p>
      <w:pPr>
        <w:spacing w:after="480" w:before="0" w:line="276" w:lineRule="auto"/>
        <w:jc w:val="center"/>
      </w:pPr>
      <w:r>
        <w:rPr>
          <w:rFonts w:ascii="Times New Roman" w:cs="Times New Roman" w:eastAsia="Times New Roman" w:hAnsi="Times New Roman"/>
          <w:b w:val="false"/>
          <w:bCs w:val="false"/>
          <w:i w:val="false"/>
          <w:iCs w:val="false"/>
          <w:sz w:val="24"/>
          <w:szCs w:val="24"/>
        </w:rPr>
        <w:t xml:space="preserve">Julio de 2026</w:t>
      </w:r>
    </w:p>
    <w:p>
      <w:pPr>
        <w:spacing w:after="120" w:before="0" w:line="276" w:lineRule="auto"/>
        <w:jc w:val="center"/>
      </w:pPr>
      <w:r>
        <w:rPr>
          <w:rFonts w:ascii="Times New Roman" w:cs="Times New Roman" w:eastAsia="Times New Roman" w:hAnsi="Times New Roman"/>
          <w:b w:val="false"/>
          <w:bCs w:val="false"/>
          <w:i/>
          <w:iCs/>
          <w:sz w:val="20"/>
          <w:szCs w:val="20"/>
        </w:rPr>
        <w:t xml:space="preserve">[Portada: completar integrantes y datos institucionales según el formato oficial de la asignatura]</w:t>
      </w:r>
    </w:p>
    <w:p>
      <w:r>
        <w:br w:type="page"/>
      </w:r>
    </w:p>
    <w:p>
      <w:pPr>
        <w:pBdr>
          <w:top w:val="single" w:color="999999" w:sz="6"/>
          <w:bottom w:val="single" w:color="999999" w:sz="6"/>
          <w:left w:val="single" w:color="999999" w:sz="6"/>
          <w:right w:val="single" w:color="999999" w:sz="6"/>
        </w:pBdr>
        <w:shd w:fill="FFF3CD" w:val="clear"/>
        <w:spacing w:after="60" w:before="0" w:line="276" w:lineRule="auto"/>
      </w:pPr>
      <w:r>
        <w:rPr>
          <w:rFonts w:ascii="Times New Roman" w:cs="Times New Roman" w:eastAsia="Times New Roman" w:hAnsi="Times New Roman"/>
          <w:b/>
          <w:bCs/>
          <w:i w:val="false"/>
          <w:iCs w:val="false"/>
          <w:color w:val="B00020"/>
          <w:sz w:val="24"/>
          <w:szCs w:val="24"/>
        </w:rPr>
        <w:t xml:space="preserve">NOTA INTERNA — RETIRAR ANTES DE ENTREGAR</w:t>
      </w:r>
    </w:p>
    <w:p>
      <w:pPr>
        <w:pBdr>
          <w:top w:val="single" w:color="999999" w:sz="6"/>
          <w:bottom w:val="single" w:color="999999" w:sz="6"/>
          <w:left w:val="single" w:color="999999" w:sz="6"/>
          <w:right w:val="single" w:color="999999" w:sz="6"/>
        </w:pBdr>
        <w:shd w:fill="FFF3CD" w:val="clear"/>
        <w:spacing w:after="40" w:before="0" w:line="276" w:lineRule="auto"/>
      </w:pPr>
      <w:r>
        <w:rPr>
          <w:rFonts w:ascii="Times New Roman" w:cs="Times New Roman" w:eastAsia="Times New Roman" w:hAnsi="Times New Roman"/>
          <w:b w:val="false"/>
          <w:bCs w:val="false"/>
          <w:i w:val="false"/>
          <w:iCs w:val="false"/>
          <w:sz w:val="20"/>
          <w:szCs w:val="20"/>
        </w:rPr>
        <w:t xml:space="preserve">Cambios de esta versión respecto a la evaluada (mapeo con la retroalimentación):</w:t>
      </w:r>
    </w:p>
    <w:p>
      <w:pPr>
        <w:pBdr>
          <w:top w:val="single" w:color="999999" w:sz="6"/>
          <w:bottom w:val="single" w:color="999999" w:sz="6"/>
          <w:left w:val="single" w:color="999999" w:sz="6"/>
          <w:right w:val="single" w:color="999999" w:sz="6"/>
        </w:pBdr>
        <w:shd w:fill="FFF3CD" w:val="clear"/>
        <w:spacing w:after="240" w:before="0" w:line="276" w:lineRule="auto"/>
      </w:pPr>
      <w:r>
        <w:rPr>
          <w:rFonts w:ascii="Times New Roman" w:cs="Times New Roman" w:eastAsia="Times New Roman" w:hAnsi="Times New Roman"/>
          <w:b w:val="false"/>
          <w:bCs w:val="false"/>
          <w:i w:val="false"/>
          <w:iCs w:val="false"/>
          <w:sz w:val="18"/>
          <w:szCs w:val="18"/>
        </w:rPr>
        <w:t xml:space="preserve">1) Título y alcance: se eliminó la comparación con arquitectura monolítica (ruta b sugerida por el docente); todo el documento estudia únicamente capacidad y punto de quiebre de microservicios.  2) Hipótesis reescritas por indicador, sin formas funcionales presupuestas; relación reclasificada como directa.  3) Estudio reclasificado como benchmark experimental controlado (cuasi-experimental).  4) Población/muestra replanteadas como ejecuciones experimentales y transacciones observadas (§6.2).  5) Secciones nuevas: condiciones fijadas (§6.3), umbrales y punto de quiebre predefinidos (§6.4), fuentes primarias/secundarias (§6.7), plan estadístico con dispersión (§6.8), resultados preliminares (§7) y limitaciones (§8).  6) Lenguaje promocional eliminado; herramientas y plataformas unificadas (k6 y Render).  7) Referencias APA 7 añadidas; IEEE 830 sustituido por ISO/IEC/IEEE 29148:2018; LFPDPPP actualizada a la ley vigente (DOF 20-03-2025).  Pendientes del equipo: portada oficial, confirmar región de despliegue al recrear los servicios y registrar la versión exacta de k6 en la bitácora.</w:t>
      </w:r>
    </w:p>
    <w:p>
      <w:pPr>
        <w:pStyle w:val="Heading1"/>
        <w:spacing w:after="140" w:before="280"/>
      </w:pPr>
      <w:r>
        <w:rPr>
          <w:rFonts w:ascii="Times New Roman" w:cs="Times New Roman" w:eastAsia="Times New Roman" w:hAnsi="Times New Roman"/>
          <w:b/>
          <w:bCs/>
          <w:color w:val="000000"/>
          <w:sz w:val="28"/>
          <w:szCs w:val="28"/>
        </w:rPr>
        <w:t xml:space="preserve">1. Tipo de investigación y naturaleza del estudio</w:t>
      </w:r>
    </w:p>
    <w:p>
      <w:pPr>
        <w:pStyle w:val="Heading2"/>
        <w:spacing w:after="120" w:before="220"/>
      </w:pPr>
      <w:r>
        <w:rPr>
          <w:rFonts w:ascii="Times New Roman" w:cs="Times New Roman" w:eastAsia="Times New Roman" w:hAnsi="Times New Roman"/>
          <w:b/>
          <w:bCs/>
          <w:color w:val="000000"/>
          <w:sz w:val="26"/>
          <w:szCs w:val="26"/>
        </w:rPr>
        <w:t xml:space="preserve">1.1 Planteamiento del problema</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En el desarrollo de software backend con requisitos de tiempo real, las capas gratuitas de las plataformas como servicio (PaaS) imponen restricciones severas: 512 MB de RAM por instancia, CPU compartida (0.1 vCPU), suspensión tras 15 minutos de inactividad y cuotas mensuales de cómputo y de transferencia de datos. Las aplicaciones que mantienen comunicación bidireccional persistente (WebSockets) son especialmente sensibles a estas restricciones, porque cada conexión activa retiene memoria y descriptores de archivo de forma indefinida.</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Se desconoce cuál es el nivel de carga concurrente que una arquitectura de microservicios desarrollada en Go —desplegada íntegramente en la capa gratuita de Render y fragmentada en cuatro cuentas independientes— puede sostener antes de degradar su calidad de servicio o colapsar por agotamiento de memoria (OOM kill). Sin esa evidencia, los equipos académicos y los proyectos de bajo presupuesto no pueden planear despliegues reales sobre estas plataformas ni anticipar su punto de quiebre.</w:t>
      </w:r>
    </w:p>
    <w:p>
      <w:pPr>
        <w:pStyle w:val="Heading2"/>
        <w:spacing w:after="120" w:before="220"/>
      </w:pPr>
      <w:r>
        <w:rPr>
          <w:rFonts w:ascii="Times New Roman" w:cs="Times New Roman" w:eastAsia="Times New Roman" w:hAnsi="Times New Roman"/>
          <w:b/>
          <w:bCs/>
          <w:color w:val="000000"/>
          <w:sz w:val="26"/>
          <w:szCs w:val="26"/>
        </w:rPr>
        <w:t xml:space="preserve">1.2 Clasificación del estudio</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La investigación es aplicada, porque busca resolver un problema práctico e inmediato: dimensionar la capacidad real de una arquitectura desplegada sin costo monetario directo. Por su diseño, corresponde a un benchmark experimental controlado de tipo cuasi-experimental (Hernández-Sampieri &amp; Mendoza, 2023): se manipula deliberadamente la variable independiente (nivel de carga concurrente) en niveles fijos predefinidos, con tres réplicas por nivel y condiciones experimentales fijadas, sin asignación aleatoria de unidades.</w:t>
      </w:r>
    </w:p>
    <w:p>
      <w:pPr>
        <w:pStyle w:val="Heading2"/>
        <w:spacing w:after="120" w:before="220"/>
      </w:pPr>
      <w:r>
        <w:rPr>
          <w:rFonts w:ascii="Times New Roman" w:cs="Times New Roman" w:eastAsia="Times New Roman" w:hAnsi="Times New Roman"/>
          <w:b/>
          <w:bCs/>
          <w:color w:val="000000"/>
          <w:sz w:val="26"/>
          <w:szCs w:val="26"/>
        </w:rPr>
        <w:t xml:space="preserve">1.3 Alcance de la investigación</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El alcance es explicativo: no solo se describirá en qué punto se degrada el sistema, sino que la telemetría por servicio permitirá atribuir la degradación a un recurso concreto (memoria, CPU o gestión de conexiones) y a un componente concreto de la arquitectura. De forma complementaria, el estudio es descriptivo respecto a la localización del punto de quiebre.</w:t>
      </w:r>
    </w:p>
    <w:p>
      <w:pPr>
        <w:pStyle w:val="Heading2"/>
        <w:spacing w:after="120" w:before="220"/>
      </w:pPr>
      <w:r>
        <w:rPr>
          <w:rFonts w:ascii="Times New Roman" w:cs="Times New Roman" w:eastAsia="Times New Roman" w:hAnsi="Times New Roman"/>
          <w:b/>
          <w:bCs/>
          <w:color w:val="000000"/>
          <w:sz w:val="26"/>
          <w:szCs w:val="26"/>
        </w:rPr>
        <w:t xml:space="preserve">1.4 Enfoque metodológico</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El enfoque es cuantitativo: todas las variables se operacionalizan en métricas numéricas obtenidas por instrumentos automatizados (inyector k6 y telemetría embebida): consumo de RAM en MB, uso de CPU en porcentaje, latencia en milisegundos (percentiles 95 y 99), tasas de error y de conexiones caídas en porcentaje, y rendimiento en peticiones por segundo.</w:t>
      </w:r>
    </w:p>
    <w:p>
      <w:pPr>
        <w:pStyle w:val="Heading1"/>
        <w:spacing w:after="140" w:before="280"/>
      </w:pPr>
      <w:r>
        <w:rPr>
          <w:rFonts w:ascii="Times New Roman" w:cs="Times New Roman" w:eastAsia="Times New Roman" w:hAnsi="Times New Roman"/>
          <w:b/>
          <w:bCs/>
          <w:color w:val="000000"/>
          <w:sz w:val="28"/>
          <w:szCs w:val="28"/>
        </w:rPr>
        <w:t xml:space="preserve">2. Hipótesis y variables</w:t>
      </w:r>
    </w:p>
    <w:p>
      <w:pPr>
        <w:pStyle w:val="Heading2"/>
        <w:spacing w:after="120" w:before="220"/>
      </w:pPr>
      <w:r>
        <w:rPr>
          <w:rFonts w:ascii="Times New Roman" w:cs="Times New Roman" w:eastAsia="Times New Roman" w:hAnsi="Times New Roman"/>
          <w:b/>
          <w:bCs/>
          <w:color w:val="000000"/>
          <w:sz w:val="26"/>
          <w:szCs w:val="26"/>
        </w:rPr>
        <w:t xml:space="preserve">2.1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Variable</w:t>
            </w:r>
          </w:p>
        </w:tc>
        <w:tc>
          <w:tcPr>
            <w:tcW w:type="dxa" w:w="19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Tipo</w:t>
            </w:r>
          </w:p>
        </w:tc>
        <w:tc>
          <w:tcPr>
            <w:tcW w:type="dxa" w:w="51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Operacionalización e instrumento</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Volumen de carga concurrente</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Independiente (manipulada)</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Usuarios virtuales (VUs) pico por corrida: 100, 1 000, 2 500 y 5 000; rampa de 9 minutos con meseta de 2 minutos (k6).</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Consumo de memoria RAM por servicio</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Dependiente</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process_resident_memory_bytes (MB), muestreado cada 5 s vía /metrics (Prometheus, módulo obs.go); se reporta pico y valor sostenido por corrida.</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Uso de CPU</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Dependiente</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Tasa de process_cpu_seconds_total (telemetría propia); panel del proveedor solo como triangulación.</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Latencia HTTP</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Dependiente</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P95 y P99 de http_req_duration (ms) reportados por k6 sobre tráfico constante de 20 req/s.</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Establecimiento WebSocket</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Dependiente</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P95 de ws_connect_time (ms), métrica personalizada de k6 (tiempo hasta el handshake exitoso).</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Estabilidad del canal WebSocket</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Dependiente</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ws_dropped_rate (%): proporción de conexiones caídas o rechazadas.</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Errores HTTP</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Dependiente</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http_req_failed (%): proporción de peticiones fallidas.</w:t>
            </w:r>
          </w:p>
        </w:tc>
      </w:tr>
      <w:tr>
        <w:tc>
          <w:tcPr>
            <w:tcW w:type="dxa" w:w="2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Rendimiento (throughput)</w:t>
            </w:r>
          </w:p>
        </w:tc>
        <w:tc>
          <w:tcPr>
            <w:tcW w:type="dxa" w:w="1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Dependiente</w:t>
            </w:r>
          </w:p>
        </w:tc>
        <w:tc>
          <w:tcPr>
            <w:tcW w:type="dxa" w:w="5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Peticiones completadas por segundo (k6).</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spacing w:after="120" w:before="0" w:line="276" w:lineRule="auto"/>
      </w:pPr>
      <w:r>
        <w:rPr>
          <w:rFonts w:ascii="Times New Roman" w:cs="Times New Roman" w:eastAsia="Times New Roman" w:hAnsi="Times New Roman"/>
          <w:b/>
          <w:bCs/>
          <w:i w:val="false"/>
          <w:iCs w:val="false"/>
          <w:sz w:val="24"/>
          <w:szCs w:val="24"/>
        </w:rPr>
        <w:t xml:space="preserve">Variables de control (fijadas en todos los niveles y réplicas): </w:t>
      </w:r>
      <w:r>
        <w:rPr>
          <w:rFonts w:ascii="Times New Roman" w:cs="Times New Roman" w:eastAsia="Times New Roman" w:hAnsi="Times New Roman"/>
          <w:b w:val="false"/>
          <w:bCs w:val="false"/>
          <w:i w:val="false"/>
          <w:iCs w:val="false"/>
          <w:sz w:val="24"/>
          <w:szCs w:val="24"/>
        </w:rPr>
        <w:t xml:space="preserve">se detallan con sus valores en la tabla de condiciones experimentales (§6.3): tipo de instancia (Render Free, 512 MB / 0.1 vCPU), región de despliegue, commit del código bajo prueba, versiones de software, tamaño y compresión del payload (gzip habilitado), tráfico HTTP de fondo constante (20 req/s), datos sembrados idénticos, límites de tasa del gateway documentados, tamaño del pool de base de datos, keep-alive externo pausado, máquina y red del inyector, y ventanas horarias similares por nivel.</w:t>
      </w:r>
    </w:p>
    <w:p>
      <w:pPr>
        <w:spacing w:after="120" w:before="0" w:line="276" w:lineRule="auto"/>
      </w:pPr>
      <w:r>
        <w:rPr>
          <w:rFonts w:ascii="Times New Roman" w:cs="Times New Roman" w:eastAsia="Times New Roman" w:hAnsi="Times New Roman"/>
          <w:b/>
          <w:bCs/>
          <w:i w:val="false"/>
          <w:iCs w:val="false"/>
          <w:sz w:val="24"/>
          <w:szCs w:val="24"/>
        </w:rPr>
        <w:t xml:space="preserve">Variables de contexto: </w:t>
      </w:r>
      <w:r>
        <w:rPr>
          <w:rFonts w:ascii="Times New Roman" w:cs="Times New Roman" w:eastAsia="Times New Roman" w:hAnsi="Times New Roman"/>
          <w:b w:val="false"/>
          <w:bCs w:val="false"/>
          <w:i w:val="false"/>
          <w:iCs w:val="false"/>
          <w:sz w:val="24"/>
          <w:szCs w:val="24"/>
        </w:rPr>
        <w:t xml:space="preserve">lenguaje Go 1.24 con concurrencia por goroutines; cuatro cuentas independientes de Render (un servicio por cuenta); Supabase (PostgreSQL 15 y autenticación con JWT ES256).</w:t>
      </w:r>
    </w:p>
    <w:p>
      <w:pPr>
        <w:pStyle w:val="Heading2"/>
        <w:spacing w:after="120" w:before="220"/>
      </w:pPr>
      <w:r>
        <w:rPr>
          <w:rFonts w:ascii="Times New Roman" w:cs="Times New Roman" w:eastAsia="Times New Roman" w:hAnsi="Times New Roman"/>
          <w:b/>
          <w:bCs/>
          <w:color w:val="000000"/>
          <w:sz w:val="26"/>
          <w:szCs w:val="26"/>
        </w:rPr>
        <w:t xml:space="preserve">2.2 Hipótesis de investigación</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Se formulan hipótesis independientes por indicador, sin presuponer la forma funcional de las relaciones (lineal, exponencial u otra): la forma se determinará empíricamente a partir de las curvas observadas. En todos los casos la relación esperada es directa.</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H1 (memoria): </w:t>
      </w:r>
      <w:r>
        <w:rPr>
          <w:rFonts w:ascii="Times New Roman" w:cs="Times New Roman" w:eastAsia="Times New Roman" w:hAnsi="Times New Roman"/>
          <w:b w:val="false"/>
          <w:bCs w:val="false"/>
          <w:i w:val="false"/>
          <w:iCs w:val="false"/>
          <w:sz w:val="24"/>
          <w:szCs w:val="24"/>
        </w:rPr>
        <w:t xml:space="preserve">a mayor número de conexiones WebSocket concurrentes, mayor consumo de RAM en los servicios de la ruta de tiempo real (api-gateway y realtime-service).</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H2 (latencia): </w:t>
      </w:r>
      <w:r>
        <w:rPr>
          <w:rFonts w:ascii="Times New Roman" w:cs="Times New Roman" w:eastAsia="Times New Roman" w:hAnsi="Times New Roman"/>
          <w:b w:val="false"/>
          <w:bCs w:val="false"/>
          <w:i w:val="false"/>
          <w:iCs w:val="false"/>
          <w:sz w:val="24"/>
          <w:szCs w:val="24"/>
        </w:rPr>
        <w:t xml:space="preserve">a mayor carga concurrente, mayor latencia P95 del plano HTTP.</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H3 (estabilidad del tiempo real): </w:t>
      </w:r>
      <w:r>
        <w:rPr>
          <w:rFonts w:ascii="Times New Roman" w:cs="Times New Roman" w:eastAsia="Times New Roman" w:hAnsi="Times New Roman"/>
          <w:b w:val="false"/>
          <w:bCs w:val="false"/>
          <w:i w:val="false"/>
          <w:iCs w:val="false"/>
          <w:sz w:val="24"/>
          <w:szCs w:val="24"/>
        </w:rPr>
        <w:t xml:space="preserve">a mayor carga concurrente, mayor tasa de conexiones WebSocket caídas y mayor tiempo de establecimiento.</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H4 (punto de quiebre): </w:t>
      </w:r>
      <w:r>
        <w:rPr>
          <w:rFonts w:ascii="Times New Roman" w:cs="Times New Roman" w:eastAsia="Times New Roman" w:hAnsi="Times New Roman"/>
          <w:b w:val="false"/>
          <w:bCs w:val="false"/>
          <w:i w:val="false"/>
          <w:iCs w:val="false"/>
          <w:sz w:val="24"/>
          <w:szCs w:val="24"/>
        </w:rPr>
        <w:t xml:space="preserve">existe un nivel de carga menor o igual a 5 000 conexiones concurrentes en el que el sistema incumple de forma sostenida al menos uno de los umbrales de calidad de servicio predefinidos (§6.4), o presenta un colapso observable (reinicio por agotamiento de memoria).</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Prueba de hipótesis: matriz experimental de 4 niveles × 3 réplicas (§6.6), con contraste descriptivo basado en medianas y dispersión entre réplicas. H4 se evalúa exclusivamente contra los umbrales y definiciones operacionales fijados antes de las corridas.</w:t>
      </w:r>
    </w:p>
    <w:p>
      <w:pPr>
        <w:pStyle w:val="Heading1"/>
        <w:spacing w:after="140" w:before="280"/>
      </w:pPr>
      <w:r>
        <w:rPr>
          <w:rFonts w:ascii="Times New Roman" w:cs="Times New Roman" w:eastAsia="Times New Roman" w:hAnsi="Times New Roman"/>
          <w:b/>
          <w:bCs/>
          <w:color w:val="000000"/>
          <w:sz w:val="28"/>
          <w:szCs w:val="28"/>
        </w:rPr>
        <w:t xml:space="preserve">3. Justificación del proyecto</w:t>
      </w:r>
    </w:p>
    <w:p>
      <w:pPr>
        <w:pStyle w:val="Heading2"/>
        <w:spacing w:after="120" w:before="220"/>
      </w:pPr>
      <w:r>
        <w:rPr>
          <w:rFonts w:ascii="Times New Roman" w:cs="Times New Roman" w:eastAsia="Times New Roman" w:hAnsi="Times New Roman"/>
          <w:b/>
          <w:bCs/>
          <w:color w:val="000000"/>
          <w:sz w:val="26"/>
          <w:szCs w:val="26"/>
        </w:rPr>
        <w:t xml:space="preserve">3.1 Elementos de la justificación</w:t>
      </w:r>
    </w:p>
    <w:p>
      <w:pPr>
        <w:spacing w:after="120" w:before="0" w:line="276" w:lineRule="auto"/>
      </w:pPr>
      <w:r>
        <w:rPr>
          <w:rFonts w:ascii="Times New Roman" w:cs="Times New Roman" w:eastAsia="Times New Roman" w:hAnsi="Times New Roman"/>
          <w:b/>
          <w:bCs/>
          <w:i w:val="false"/>
          <w:iCs w:val="false"/>
          <w:sz w:val="24"/>
          <w:szCs w:val="24"/>
        </w:rPr>
        <w:t xml:space="preserve">Relevancia teórica: </w:t>
      </w:r>
      <w:r>
        <w:rPr>
          <w:rFonts w:ascii="Times New Roman" w:cs="Times New Roman" w:eastAsia="Times New Roman" w:hAnsi="Times New Roman"/>
          <w:b w:val="false"/>
          <w:bCs w:val="false"/>
          <w:i w:val="false"/>
          <w:iCs w:val="false"/>
          <w:sz w:val="24"/>
          <w:szCs w:val="24"/>
        </w:rPr>
        <w:t xml:space="preserve">la investigación aporta datos empíricos sobre los límites operativos de una arquitectura de microservicios en Go con WebSockets bajo restricciones estrictas de memoria (512 MB). La literatura disponible se concentra en infraestructura dedicada o nubes de pago; los estudios sobre capas gratuitas son mayormente informales y carecen de metodología replicable, vacío que este trabajo atiende con un protocolo documentado y datos crudos publicados.</w:t>
      </w:r>
    </w:p>
    <w:p>
      <w:pPr>
        <w:spacing w:after="120" w:before="0" w:line="276" w:lineRule="auto"/>
      </w:pPr>
      <w:r>
        <w:rPr>
          <w:rFonts w:ascii="Times New Roman" w:cs="Times New Roman" w:eastAsia="Times New Roman" w:hAnsi="Times New Roman"/>
          <w:b/>
          <w:bCs/>
          <w:i w:val="false"/>
          <w:iCs w:val="false"/>
          <w:sz w:val="24"/>
          <w:szCs w:val="24"/>
        </w:rPr>
        <w:t xml:space="preserve">Relevancia práctica: </w:t>
      </w:r>
      <w:r>
        <w:rPr>
          <w:rFonts w:ascii="Times New Roman" w:cs="Times New Roman" w:eastAsia="Times New Roman" w:hAnsi="Times New Roman"/>
          <w:b w:val="false"/>
          <w:bCs w:val="false"/>
          <w:i w:val="false"/>
          <w:iCs w:val="false"/>
          <w:sz w:val="24"/>
          <w:szCs w:val="24"/>
        </w:rPr>
        <w:t xml:space="preserve">los resultados delimitan, bajo las condiciones evaluadas, el rango de carga que puede sostenerse sin costo monetario directo, como insumo de planeación para equipos con presupuesto limitado antes de decidir una migración a planes de pago. Los costos no monetarios y las restricciones observadas (tiempo de ingeniería, cuotas de transferencia, suspensión por inactividad) se documentan como parte de los hallazgos, no se omiten.</w:t>
      </w:r>
    </w:p>
    <w:p>
      <w:pPr>
        <w:spacing w:after="120" w:before="0" w:line="276" w:lineRule="auto"/>
      </w:pPr>
      <w:r>
        <w:rPr>
          <w:rFonts w:ascii="Times New Roman" w:cs="Times New Roman" w:eastAsia="Times New Roman" w:hAnsi="Times New Roman"/>
          <w:b/>
          <w:bCs/>
          <w:i w:val="false"/>
          <w:iCs w:val="false"/>
          <w:sz w:val="24"/>
          <w:szCs w:val="24"/>
        </w:rPr>
        <w:t xml:space="preserve">Relevancia social: </w:t>
      </w:r>
      <w:r>
        <w:rPr>
          <w:rFonts w:ascii="Times New Roman" w:cs="Times New Roman" w:eastAsia="Times New Roman" w:hAnsi="Times New Roman"/>
          <w:b w:val="false"/>
          <w:bCs w:val="false"/>
          <w:i w:val="false"/>
          <w:iCs w:val="false"/>
          <w:sz w:val="24"/>
          <w:szCs w:val="24"/>
        </w:rPr>
        <w:t xml:space="preserve">los beneficiarios directos son comunidades de estudiantes universitarios y emprendedores tecnológicos con recursos económicos limitados: una capacidad medida y documentada puede reducir la barrera de entrada al despliegue de software en tiempo real, dentro de los límites que el propio estudio identifique.</w:t>
      </w:r>
    </w:p>
    <w:p>
      <w:pPr>
        <w:spacing w:after="120" w:before="0" w:line="276" w:lineRule="auto"/>
      </w:pPr>
      <w:r>
        <w:rPr>
          <w:rFonts w:ascii="Times New Roman" w:cs="Times New Roman" w:eastAsia="Times New Roman" w:hAnsi="Times New Roman"/>
          <w:b/>
          <w:bCs/>
          <w:i w:val="false"/>
          <w:iCs w:val="false"/>
          <w:sz w:val="24"/>
          <w:szCs w:val="24"/>
        </w:rPr>
        <w:t xml:space="preserve">Relevancia institucional y tecnológica: </w:t>
      </w:r>
      <w:r>
        <w:rPr>
          <w:rFonts w:ascii="Times New Roman" w:cs="Times New Roman" w:eastAsia="Times New Roman" w:hAnsi="Times New Roman"/>
          <w:b w:val="false"/>
          <w:bCs w:val="false"/>
          <w:i w:val="false"/>
          <w:iCs w:val="false"/>
          <w:sz w:val="24"/>
          <w:szCs w:val="24"/>
        </w:rPr>
        <w:t xml:space="preserve">el proyecto promueve competencias de diagnóstico, pruebas de carga y telemetría con herramientas de estándar industrial (k6, Prometheus, registros estructurados), aplicadas sobre un sistema real y no sobre un ejercicio sintético.</w:t>
      </w:r>
    </w:p>
    <w:p>
      <w:pPr>
        <w:pStyle w:val="Heading2"/>
        <w:spacing w:after="120" w:before="220"/>
      </w:pPr>
      <w:r>
        <w:rPr>
          <w:rFonts w:ascii="Times New Roman" w:cs="Times New Roman" w:eastAsia="Times New Roman" w:hAnsi="Times New Roman"/>
          <w:b/>
          <w:bCs/>
          <w:color w:val="000000"/>
          <w:sz w:val="26"/>
          <w:szCs w:val="26"/>
        </w:rPr>
        <w:t xml:space="preserve">3.2 Síntesis de la justificación</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El costo de la infraestructura en la nube es una barrera de entrada para proyectos tecnológicos independientes y académicos, y las aplicaciones con comunicación bidireccional en tiempo real (WebSockets) son las más sensibles: cada conexión persistente retiene memoria dentro de cuotas gratuitas muy estrictas. Esta investigación genera evidencia sobre si —y hasta qué punto— una arquitectura de microservicios instrumentada en Go puede sostener carga concurrente en tiempo real dentro de la capa gratuita de una PaaS, y a qué costo en calidad de servicio. Los resultados establecerán una línea base medida, con límites y condiciones documentados, para equipos que necesiten operar sin gasto directo en infraestructura durante fases tempranas o académicas.</w:t>
      </w:r>
    </w:p>
    <w:p>
      <w:pPr>
        <w:pStyle w:val="Heading2"/>
        <w:spacing w:after="120" w:before="220"/>
      </w:pPr>
      <w:r>
        <w:rPr>
          <w:rFonts w:ascii="Times New Roman" w:cs="Times New Roman" w:eastAsia="Times New Roman" w:hAnsi="Times New Roman"/>
          <w:b/>
          <w:bCs/>
          <w:color w:val="000000"/>
          <w:sz w:val="26"/>
          <w:szCs w:val="26"/>
        </w:rPr>
        <w:t xml:space="preserve">3.3 Coherencia con el resto del proyecto</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El problema, la pregunta, los objetivos y las hipótesis están alineados sobre un mismo eje: identificar la capacidad límite de la arquitectura bajo recursos gratuitos y explicar qué componente se degrada primero y por qué. La justificación cierra el ciclo al fundamentar el valor práctico de esas métricas. La inversión de tiempo del equipo se sustenta en el retorno formativo: diagnosticar el punto de colapso mediante pruebas automatizadas y telemetría propia desarrolla competencias directamente transferibles a entornos profesionales.</w:t>
      </w:r>
    </w:p>
    <w:p>
      <w:pPr>
        <w:pStyle w:val="Heading1"/>
        <w:spacing w:after="140" w:before="280"/>
      </w:pPr>
      <w:r>
        <w:rPr>
          <w:rFonts w:ascii="Times New Roman" w:cs="Times New Roman" w:eastAsia="Times New Roman" w:hAnsi="Times New Roman"/>
          <w:b/>
          <w:bCs/>
          <w:color w:val="000000"/>
          <w:sz w:val="28"/>
          <w:szCs w:val="28"/>
        </w:rPr>
        <w:t xml:space="preserve">4. Objetivos y pregunta de investigación</w:t>
      </w:r>
    </w:p>
    <w:p>
      <w:pPr>
        <w:pStyle w:val="Heading2"/>
        <w:spacing w:after="120" w:before="220"/>
      </w:pPr>
      <w:r>
        <w:rPr>
          <w:rFonts w:ascii="Times New Roman" w:cs="Times New Roman" w:eastAsia="Times New Roman" w:hAnsi="Times New Roman"/>
          <w:b/>
          <w:bCs/>
          <w:color w:val="000000"/>
          <w:sz w:val="26"/>
          <w:szCs w:val="26"/>
        </w:rPr>
        <w:t xml:space="preserve">4.1 Pregunta de investigación definitiva</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¿Cuál es el nivel máximo de conexiones concurrentes en tiempo real (WebSockets) que puede sostener una arquitectura de microservicios desarrollada en Go, operando bajo las restricciones de la capa gratuita de Render, antes de incumplir los umbrales de calidad de servicio definidos o colapsar por agotamiento de memoria?</w:t>
      </w:r>
    </w:p>
    <w:p>
      <w:pPr>
        <w:pStyle w:val="Heading2"/>
        <w:spacing w:after="120" w:before="220"/>
      </w:pPr>
      <w:r>
        <w:rPr>
          <w:rFonts w:ascii="Times New Roman" w:cs="Times New Roman" w:eastAsia="Times New Roman" w:hAnsi="Times New Roman"/>
          <w:b/>
          <w:bCs/>
          <w:color w:val="000000"/>
          <w:sz w:val="26"/>
          <w:szCs w:val="26"/>
        </w:rPr>
        <w:t xml:space="preserve">4.2 Objetivo general</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Determinar el nivel máximo de conexiones concurrentes en tiempo real (WebSockets) que sostiene una arquitectura de microservicios desarrollada en Go bajo las restricciones de la capa gratuita de Render, identificando qué componente se degrada primero y contra qué recurso (memoria, CPU o gestión de conexiones), para establecer una línea base medida de capacidad utilizable por proyectos académicos y de bajo presupuesto.</w:t>
      </w:r>
    </w:p>
    <w:p>
      <w:pPr>
        <w:pStyle w:val="Heading2"/>
        <w:spacing w:after="120" w:before="220"/>
      </w:pPr>
      <w:r>
        <w:rPr>
          <w:rFonts w:ascii="Times New Roman" w:cs="Times New Roman" w:eastAsia="Times New Roman" w:hAnsi="Times New Roman"/>
          <w:b/>
          <w:bCs/>
          <w:color w:val="000000"/>
          <w:sz w:val="26"/>
          <w:szCs w:val="26"/>
        </w:rPr>
        <w:t xml:space="preserve">4.3 Objetivos específicos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OE1: </w:t>
      </w:r>
      <w:r>
        <w:rPr>
          <w:rFonts w:ascii="Times New Roman" w:cs="Times New Roman" w:eastAsia="Times New Roman" w:hAnsi="Times New Roman"/>
          <w:b w:val="false"/>
          <w:bCs w:val="false"/>
          <w:i w:val="false"/>
          <w:iCs w:val="false"/>
          <w:sz w:val="24"/>
          <w:szCs w:val="24"/>
        </w:rPr>
        <w:t xml:space="preserve">diseñar y desplegar el entorno de pruebas: cuatro microservicios en Go con comunicación en tiempo real (WebSockets) sobre instancias de la capa gratuita de Render, con condiciones experimentales fijadas y documentadas (§6.3).</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OE2: </w:t>
      </w:r>
      <w:r>
        <w:rPr>
          <w:rFonts w:ascii="Times New Roman" w:cs="Times New Roman" w:eastAsia="Times New Roman" w:hAnsi="Times New Roman"/>
          <w:b w:val="false"/>
          <w:bCs w:val="false"/>
          <w:i w:val="false"/>
          <w:iCs w:val="false"/>
          <w:sz w:val="24"/>
          <w:szCs w:val="24"/>
        </w:rPr>
        <w:t xml:space="preserve">medir el efecto de cargas crecientes (100, 1 000, 2 500 y 5 000 usuarios virtuales; tres réplicas por nivel) sobre el consumo de RAM y CPU por servicio, la latencia HTTP (P95/P99), la tasa de errores y la estabilidad del canal WebSocket, mediante k6 y telemetría embebida.</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OE3: </w:t>
      </w:r>
      <w:r>
        <w:rPr>
          <w:rFonts w:ascii="Times New Roman" w:cs="Times New Roman" w:eastAsia="Times New Roman" w:hAnsi="Times New Roman"/>
          <w:b w:val="false"/>
          <w:bCs w:val="false"/>
          <w:i w:val="false"/>
          <w:iCs w:val="false"/>
          <w:sz w:val="24"/>
          <w:szCs w:val="24"/>
        </w:rPr>
        <w:t xml:space="preserve">identificar el punto de quiebre del sistema conforme a los umbrales y criterios operacionales predefinidos (§6.4) y estimar el costo aproximado de memoria por conexión activa.</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OE4: </w:t>
      </w:r>
      <w:r>
        <w:rPr>
          <w:rFonts w:ascii="Times New Roman" w:cs="Times New Roman" w:eastAsia="Times New Roman" w:hAnsi="Times New Roman"/>
          <w:b w:val="false"/>
          <w:bCs w:val="false"/>
          <w:i w:val="false"/>
          <w:iCs w:val="false"/>
          <w:sz w:val="24"/>
          <w:szCs w:val="24"/>
        </w:rPr>
        <w:t xml:space="preserve">analizar los datos con estadística descriptiva (medianas y dispersión entre réplicas) y gráficas comparativas para contrastar las hipótesis H1–H4 y delimitar el margen real de operación de la arquitectura.</w:t>
      </w:r>
    </w:p>
    <w:p>
      <w:pPr>
        <w:pStyle w:val="Heading1"/>
        <w:spacing w:after="140" w:before="280"/>
      </w:pPr>
      <w:r>
        <w:rPr>
          <w:rFonts w:ascii="Times New Roman" w:cs="Times New Roman" w:eastAsia="Times New Roman" w:hAnsi="Times New Roman"/>
          <w:b/>
          <w:bCs/>
          <w:color w:val="000000"/>
          <w:sz w:val="28"/>
          <w:szCs w:val="28"/>
        </w:rPr>
        <w:t xml:space="preserve">5. Marco teórico y legal</w:t>
      </w:r>
    </w:p>
    <w:p>
      <w:pPr>
        <w:pStyle w:val="Heading2"/>
        <w:spacing w:after="120" w:before="220"/>
      </w:pPr>
      <w:r>
        <w:rPr>
          <w:rFonts w:ascii="Times New Roman" w:cs="Times New Roman" w:eastAsia="Times New Roman" w:hAnsi="Times New Roman"/>
          <w:b/>
          <w:bCs/>
          <w:color w:val="000000"/>
          <w:sz w:val="26"/>
          <w:szCs w:val="26"/>
        </w:rPr>
        <w:t xml:space="preserve">5.1 Antecedentes de la investigación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260"/>
        <w:gridCol w:w="3200"/>
      </w:tblGrid>
      <w:tr>
        <w:trPr>
          <w:tblHeader/>
        </w:trPr>
        <w:tc>
          <w:tcPr>
            <w:tcW w:type="dxa" w:w="17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Autor(es) y año</w:t>
            </w:r>
          </w:p>
        </w:tc>
        <w:tc>
          <w:tcPr>
            <w:tcW w:type="dxa" w:w="21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Título</w:t>
            </w:r>
          </w:p>
        </w:tc>
        <w:tc>
          <w:tcPr>
            <w:tcW w:type="dxa" w:w="22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Fuente / DOI</w:t>
            </w:r>
          </w:p>
        </w:tc>
        <w:tc>
          <w:tcPr>
            <w:tcW w:type="dxa" w:w="32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Aportación al proyecto</w:t>
            </w:r>
          </w:p>
        </w:tc>
      </w:tr>
      <w:tr>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Blinowski, G., Ojdowska, A., &amp; Przybyłek, A. (2022)</w:t>
            </w:r>
          </w:p>
        </w:tc>
        <w:tc>
          <w:tcPr>
            <w:tcW w:type="dxa" w:w="2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Monolithic vs. Microservice Architecture: A Performance and Scalability Evaluation</w:t>
            </w:r>
          </w:p>
        </w:tc>
        <w:tc>
          <w:tcPr>
            <w:tcW w:type="dxa" w:w="22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IEEE Access, 10. https://doi.org/10.1109/ACCESS.2022.3152803</w:t>
            </w:r>
          </w:p>
        </w:tc>
        <w:tc>
          <w:tcPr>
            <w:tcW w:type="dxa" w:w="32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Evalúa empíricamente rendimiento y escalabilidad de ambas arquitecturas; sus hallazgos en máquinas de baja potencia establecen expectativas cuantitativas bajo restricciones severas. Se usa como antecedente y contexto: este estudio no compara contra una arquitectura monolítica.</w:t>
            </w:r>
          </w:p>
        </w:tc>
      </w:tr>
      <w:tr>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Fernando, L., &amp; Engel, M. M. (2025)</w:t>
            </w:r>
          </w:p>
        </w:tc>
        <w:tc>
          <w:tcPr>
            <w:tcW w:type="dxa" w:w="2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Comparative Performance Benchmarking of WebSocket Libraries on Node.js and Golang</w:t>
            </w:r>
          </w:p>
        </w:tc>
        <w:tc>
          <w:tcPr>
            <w:tcW w:type="dxa" w:w="22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Sinkron: Jurnal dan Penelitian Teknik Informatika, 9(4), 2051–2060. https://doi.org/10.33395/sinkron.v9i4.15266</w:t>
            </w:r>
          </w:p>
        </w:tc>
        <w:tc>
          <w:tcPr>
            <w:tcW w:type="dxa" w:w="32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Compara bibliotecas WebSocket con cargas de 100 a 1 000 clientes concurrentes; las bibliotecas ligeras de Go superan 44 000 mensajes/s a carga máxima, lo que fundamenta la elección del lenguaje y aporta una metodología de benchmark.</w:t>
            </w:r>
          </w:p>
        </w:tc>
      </w:tr>
      <w:tr>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Sobri, M., et al. (2022)</w:t>
            </w:r>
          </w:p>
        </w:tc>
        <w:tc>
          <w:tcPr>
            <w:tcW w:type="dxa" w:w="2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 Study of Database Connection Pool in Microservice Architecture</w:t>
            </w:r>
          </w:p>
        </w:tc>
        <w:tc>
          <w:tcPr>
            <w:tcW w:type="dxa" w:w="22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JOIV: International Journal on Informatics Visualization. https://joiv.org/index.php/joiv/article/view/1094</w:t>
            </w:r>
          </w:p>
        </w:tc>
        <w:tc>
          <w:tcPr>
            <w:tcW w:type="dxa" w:w="32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Evalúa con pruebas de estrés el impacto del tamaño de los pools de conexiones a bases de datos relacionales en microservicios; referente directo para configurar una persistencia acotada que no desborde la capa gratuita.</w:t>
            </w:r>
          </w:p>
        </w:tc>
      </w:tr>
      <w:tr>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Lemos, E., Oliveira, R., Rodrigues, J., &amp; Oliveira Neto, R. F. (2025)</w:t>
            </w:r>
          </w:p>
        </w:tc>
        <w:tc>
          <w:tcPr>
            <w:tcW w:type="dxa" w:w="2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Deep Learning Model Deployment in Multiple Cloud Providers: An Exploratory Study Using Low Computing Power Environments</w:t>
            </w:r>
          </w:p>
        </w:tc>
        <w:tc>
          <w:tcPr>
            <w:tcW w:type="dxa" w:w="22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arXiv. https://arxiv.org/abs/2503.23988</w:t>
            </w:r>
          </w:p>
        </w:tc>
        <w:tc>
          <w:tcPr>
            <w:tcW w:type="dxa" w:w="32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Estudia la viabilidad de desplegar cargas exigentes en proveedores cloud con hardware de bajo costo; es el antecedente más próximo al problema central (la barrera económica del cómputo en la nube), del que este trabajo se diferencia al explorar la optimización arquitectónica.</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pStyle w:val="Heading2"/>
        <w:spacing w:after="120" w:before="220"/>
      </w:pPr>
      <w:r>
        <w:rPr>
          <w:rFonts w:ascii="Times New Roman" w:cs="Times New Roman" w:eastAsia="Times New Roman" w:hAnsi="Times New Roman"/>
          <w:b/>
          <w:bCs/>
          <w:color w:val="000000"/>
          <w:sz w:val="26"/>
          <w:szCs w:val="26"/>
        </w:rPr>
        <w:t xml:space="preserve">5.2 Fundamentos teóricos</w:t>
      </w:r>
    </w:p>
    <w:p>
      <w:pPr>
        <w:spacing w:after="120" w:before="0" w:line="276" w:lineRule="auto"/>
      </w:pPr>
      <w:r>
        <w:rPr>
          <w:rFonts w:ascii="Times New Roman" w:cs="Times New Roman" w:eastAsia="Times New Roman" w:hAnsi="Times New Roman"/>
          <w:b/>
          <w:bCs/>
          <w:i w:val="false"/>
          <w:iCs w:val="false"/>
          <w:sz w:val="24"/>
          <w:szCs w:val="24"/>
        </w:rPr>
        <w:t xml:space="preserve">Arquitectura de microservicios y restricciones de hardware: </w:t>
      </w:r>
      <w:r>
        <w:rPr>
          <w:rFonts w:ascii="Times New Roman" w:cs="Times New Roman" w:eastAsia="Times New Roman" w:hAnsi="Times New Roman"/>
          <w:b w:val="false"/>
          <w:bCs w:val="false"/>
          <w:i w:val="false"/>
          <w:iCs w:val="false"/>
          <w:sz w:val="24"/>
          <w:szCs w:val="24"/>
        </w:rPr>
        <w:t xml:space="preserve">la arquitectura descompone el sistema en servicios independientes (api-gateway, groups-service, habits-service y realtime-service) que se comunican por red y se ejecutan en contenedores (Docker). En la capa gratuita, los contenedores operan bajo políticas de control de recursos (cgroups en Linux) que limitan la memoria a 512 MB; si un proceso excede ese umbral, el mecanismo OOM (Out of Memory) Killer lo termina abruptamente, por lo que la eficiencia de memoria es crítica.</w:t>
      </w:r>
    </w:p>
    <w:p>
      <w:pPr>
        <w:spacing w:after="120" w:before="0" w:line="276" w:lineRule="auto"/>
      </w:pPr>
      <w:r>
        <w:rPr>
          <w:rFonts w:ascii="Times New Roman" w:cs="Times New Roman" w:eastAsia="Times New Roman" w:hAnsi="Times New Roman"/>
          <w:b/>
          <w:bCs/>
          <w:i w:val="false"/>
          <w:iCs w:val="false"/>
          <w:sz w:val="24"/>
          <w:szCs w:val="24"/>
        </w:rPr>
        <w:t xml:space="preserve">Concurrencia y gestión de memoria en Go: </w:t>
      </w:r>
      <w:r>
        <w:rPr>
          <w:rFonts w:ascii="Times New Roman" w:cs="Times New Roman" w:eastAsia="Times New Roman" w:hAnsi="Times New Roman"/>
          <w:b w:val="false"/>
          <w:bCs w:val="false"/>
          <w:i w:val="false"/>
          <w:iCs w:val="false"/>
          <w:sz w:val="24"/>
          <w:szCs w:val="24"/>
        </w:rPr>
        <w:t xml:space="preserve">a diferencia de los modelos que asignan un hilo del sistema operativo por petición (1–2 MB de pila), Go utiliza goroutines (hilos ligeros con pila inicial de ~2 KB), lo que permite sostener miles de conexiones simultáneas. Bajo tráfico extremo, sin embargo, la acumulación de goroutines y buffers eleva el tamaño del heap; si el recolector de basura no libera memoria a tiempo, el contenedor alcanza el límite y es terminado.</w:t>
      </w:r>
    </w:p>
    <w:p>
      <w:pPr>
        <w:spacing w:after="120" w:before="0" w:line="276" w:lineRule="auto"/>
      </w:pPr>
      <w:r>
        <w:rPr>
          <w:rFonts w:ascii="Times New Roman" w:cs="Times New Roman" w:eastAsia="Times New Roman" w:hAnsi="Times New Roman"/>
          <w:b/>
          <w:bCs/>
          <w:i w:val="false"/>
          <w:iCs w:val="false"/>
          <w:sz w:val="24"/>
          <w:szCs w:val="24"/>
        </w:rPr>
        <w:t xml:space="preserve">Protocolos de comunicación (REST y WebSockets): </w:t>
      </w:r>
      <w:r>
        <w:rPr>
          <w:rFonts w:ascii="Times New Roman" w:cs="Times New Roman" w:eastAsia="Times New Roman" w:hAnsi="Times New Roman"/>
          <w:b w:val="false"/>
          <w:bCs w:val="false"/>
          <w:i w:val="false"/>
          <w:iCs w:val="false"/>
          <w:sz w:val="24"/>
          <w:szCs w:val="24"/>
        </w:rPr>
        <w:t xml:space="preserve">el sistema integra APIs REST (HTTP/HTTPS) para operaciones transaccionales sin estado, donde la memoria se asigna y libera rápidamente, y WebSockets para comunicación bidireccional persistente (full-duplex) en el realtime-service. El desafío principal del canal persistente es el costo de la conexión retenida: goroutines y descriptores de archivo vivos de forma indefinida en RAM.</w:t>
      </w:r>
    </w:p>
    <w:p>
      <w:pPr>
        <w:spacing w:after="120" w:before="0" w:line="276" w:lineRule="auto"/>
      </w:pPr>
      <w:r>
        <w:rPr>
          <w:rFonts w:ascii="Times New Roman" w:cs="Times New Roman" w:eastAsia="Times New Roman" w:hAnsi="Times New Roman"/>
          <w:b/>
          <w:bCs/>
          <w:i w:val="false"/>
          <w:iCs w:val="false"/>
          <w:sz w:val="24"/>
          <w:szCs w:val="24"/>
        </w:rPr>
        <w:t xml:space="preserve">Pruebas de estrés y métricas de rendimiento: </w:t>
      </w:r>
      <w:r>
        <w:rPr>
          <w:rFonts w:ascii="Times New Roman" w:cs="Times New Roman" w:eastAsia="Times New Roman" w:hAnsi="Times New Roman"/>
          <w:b w:val="false"/>
          <w:bCs w:val="false"/>
          <w:i w:val="false"/>
          <w:iCs w:val="false"/>
          <w:sz w:val="24"/>
          <w:szCs w:val="24"/>
        </w:rPr>
        <w:t xml:space="preserve">las pruebas de estrés someten al software a condiciones extremas para descubrir su punto de quiebre. Se cuantifican mediante usuarios virtuales (VUs) que emulan tráfico; la latencia y su percentil 95 (P95) describen el tiempo de respuesta de la gran mayoría de las peticiones sin distorsión por valores atípicos; la tasa de conexiones caídas (drop rate) es un indicador de agotamiento del servidor.</w:t>
      </w:r>
    </w:p>
    <w:p>
      <w:pPr>
        <w:pStyle w:val="Heading2"/>
        <w:spacing w:after="120" w:before="220"/>
      </w:pPr>
      <w:r>
        <w:rPr>
          <w:rFonts w:ascii="Times New Roman" w:cs="Times New Roman" w:eastAsia="Times New Roman" w:hAnsi="Times New Roman"/>
          <w:b/>
          <w:bCs/>
          <w:color w:val="000000"/>
          <w:sz w:val="26"/>
          <w:szCs w:val="26"/>
        </w:rPr>
        <w:t xml:space="preserve">5.3 Matriz de normatividad y estándares</w:t>
      </w:r>
    </w:p>
    <w:p>
      <w:pPr>
        <w:spacing w:after="120" w:before="0" w:line="276" w:lineRule="auto"/>
      </w:pPr>
      <w:r>
        <w:rPr>
          <w:rFonts w:ascii="Times New Roman" w:cs="Times New Roman" w:eastAsia="Times New Roman" w:hAnsi="Times New Roman"/>
          <w:b w:val="false"/>
          <w:bCs w:val="false"/>
          <w:i/>
          <w:iCs/>
          <w:sz w:val="20"/>
          <w:szCs w:val="20"/>
        </w:rPr>
        <w:t xml:space="preserve">La matriz distingue normas centrales al experimento de normas del producto (periféricas al experimento), atendiendo la observación de vigencia y aplicabilidad.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060"/>
        <w:gridCol w:w="2900"/>
      </w:tblGrid>
      <w:tr>
        <w:trPr>
          <w:tblHeader/>
        </w:trPr>
        <w:tc>
          <w:tcPr>
            <w:tcW w:type="dxa" w:w="21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Norma / estándar</w:t>
            </w:r>
          </w:p>
        </w:tc>
        <w:tc>
          <w:tcPr>
            <w:tcW w:type="dxa" w:w="13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Organismo emisor</w:t>
            </w:r>
          </w:p>
        </w:tc>
        <w:tc>
          <w:tcPr>
            <w:tcW w:type="dxa" w:w="30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Aplicación concreta en el proyecto</w:t>
            </w:r>
          </w:p>
        </w:tc>
        <w:tc>
          <w:tcPr>
            <w:tcW w:type="dxa" w:w="29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Medida de cumplimiento</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Ley Federal de Protección de Datos Personales en Posesión de los Particulares (vigente, DOF 20-03-2025)</w:t>
            </w:r>
          </w:p>
        </w:tc>
        <w:tc>
          <w:tcPr>
            <w:tcW w:type="dxa" w:w="1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Cámara de Diputados (México)</w:t>
            </w:r>
          </w:p>
        </w:tc>
        <w:tc>
          <w:tcPr>
            <w:tcW w:type="dxa" w:w="3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Aplica al sistema de autenticación de usuarios reales de la aplicación (Supabase Auth). Las pruebas de carga del experimento usan exclusivamente cuentas y datos sintéticos: no se procesan datos personales reales durante las corridas.</w:t>
            </w:r>
          </w:p>
        </w:tc>
        <w:tc>
          <w:tcPr>
            <w:tcW w:type="dxa" w:w="2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Aviso de privacidad en el registro; cifrado de contraseñas nativo de Supabase; cuenta de pruebas dedicada y datos sembrados identificables para el experimento.</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Código de Ética y Práctica Profesional de la Ingeniería de Software</w:t>
            </w:r>
          </w:p>
        </w:tc>
        <w:tc>
          <w:tcPr>
            <w:tcW w:type="dxa" w:w="1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ACM / IEEE-CS</w:t>
            </w:r>
          </w:p>
        </w:tc>
        <w:tc>
          <w:tcPr>
            <w:tcW w:type="dxa" w:w="3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Aplica al diseño de la arquitectura y a la fase de pruebas: documentar capacidades reales del sistema antes del colapso, sin exagerar ni ocultar limitaciones.</w:t>
            </w:r>
          </w:p>
        </w:tc>
        <w:tc>
          <w:tcPr>
            <w:tcW w:type="dxa" w:w="2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Pruebas de carga con réplicas y bitácora; publicación de datos crudos; reporte de restricciones y fallos observados.</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Licencias de código abierto (MIT / ISC / BSD / AGPL)</w:t>
            </w:r>
          </w:p>
        </w:tc>
        <w:tc>
          <w:tcPr>
            <w:tcW w:type="dxa" w:w="1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Open Source Initiative</w:t>
            </w:r>
          </w:p>
        </w:tc>
        <w:tc>
          <w:tcPr>
            <w:tcW w:type="dxa" w:w="3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Aplica a las bibliotecas de terceros del backend (chi, pgx, coder/websocket) y a las herramientas del arnés (k6, AGPL-3.0, usada como herramienta sin redistribución).</w:t>
            </w:r>
          </w:p>
        </w:tc>
        <w:tc>
          <w:tcPr>
            <w:tcW w:type="dxa" w:w="2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Sección de créditos y licencias en la documentación técnica; encabezados originales intactos; go.mod como inventario de dependencias.</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ISO/IEC 25010:2023 (SQuaRE — modelo de calidad)</w:t>
            </w:r>
          </w:p>
        </w:tc>
        <w:tc>
          <w:tcPr>
            <w:tcW w:type="dxa" w:w="1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ISO / IEC</w:t>
            </w:r>
          </w:p>
        </w:tc>
        <w:tc>
          <w:tcPr>
            <w:tcW w:type="dxa" w:w="3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Define el modelo de calidad aplicable: el experimento evalúa la característica de eficiencia de desempeño (comportamiento temporal, utilización de recursos y capacidad).</w:t>
            </w:r>
          </w:p>
        </w:tc>
        <w:tc>
          <w:tcPr>
            <w:tcW w:type="dxa" w:w="2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Umbrales de calidad de servicio (§6.4) mapeados a las subcaracterísticas del estándar.</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ISO/IEC 27001:2022 (SGSI)</w:t>
            </w:r>
          </w:p>
        </w:tc>
        <w:tc>
          <w:tcPr>
            <w:tcW w:type="dxa" w:w="1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ISO / IEC</w:t>
            </w:r>
          </w:p>
        </w:tc>
        <w:tc>
          <w:tcPr>
            <w:tcW w:type="dxa" w:w="3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Normativa de referencia para la gestión de secretos y accesos del sistema bajo prueba.</w:t>
            </w:r>
          </w:p>
        </w:tc>
        <w:tc>
          <w:tcPr>
            <w:tcW w:type="dxa" w:w="2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Verificación de tokens JWT (ES256 vía JWKS); secretos y credenciales exclusivamente en variables de entorno, fuera del control de versiones; token interno entre servicios.</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WCAG 2.2 (accesibilidad web)</w:t>
            </w:r>
          </w:p>
        </w:tc>
        <w:tc>
          <w:tcPr>
            <w:tcW w:type="dxa" w:w="1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W3C</w:t>
            </w:r>
          </w:p>
        </w:tc>
        <w:tc>
          <w:tcPr>
            <w:tcW w:type="dxa" w:w="3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Periférica al experimento: aplica al producto (interfaz web en Vue), no a las pruebas de carga.</w:t>
            </w:r>
          </w:p>
        </w:tc>
        <w:tc>
          <w:tcPr>
            <w:tcW w:type="dxa" w:w="2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Etiquetas semánticas, contraste y diseño responsivo en el frontend.</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ISO/IEC/IEEE 29148:2018 (ingeniería de requisitos)</w:t>
            </w:r>
          </w:p>
        </w:tc>
        <w:tc>
          <w:tcPr>
            <w:tcW w:type="dxa" w:w="13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ISO / IEC / IEEE</w:t>
            </w:r>
          </w:p>
        </w:tc>
        <w:tc>
          <w:tcPr>
            <w:tcW w:type="dxa" w:w="3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Sustituye a IEEE 830 (retirado) como práctica vigente para documentar requisitos del sistema.</w:t>
            </w:r>
          </w:p>
        </w:tc>
        <w:tc>
          <w:tcPr>
            <w:tcW w:type="dxa" w:w="29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Especificación de requisitos y reglas de negocio en la documentación del proyecto.</w:t>
            </w:r>
          </w:p>
        </w:tc>
      </w:tr>
    </w:tbl>
    <w:p>
      <w:pPr>
        <w:pStyle w:val="Heading1"/>
        <w:spacing w:after="140" w:before="280"/>
      </w:pPr>
      <w:r>
        <w:rPr>
          <w:rFonts w:ascii="Times New Roman" w:cs="Times New Roman" w:eastAsia="Times New Roman" w:hAnsi="Times New Roman"/>
          <w:b/>
          <w:bCs/>
          <w:color w:val="000000"/>
          <w:sz w:val="28"/>
          <w:szCs w:val="28"/>
        </w:rPr>
        <w:t xml:space="preserve">6. Marco metodológico</w:t>
      </w:r>
    </w:p>
    <w:p>
      <w:pPr>
        <w:pStyle w:val="Heading2"/>
        <w:spacing w:after="120" w:before="220"/>
      </w:pPr>
      <w:r>
        <w:rPr>
          <w:rFonts w:ascii="Times New Roman" w:cs="Times New Roman" w:eastAsia="Times New Roman" w:hAnsi="Times New Roman"/>
          <w:b/>
          <w:bCs/>
          <w:color w:val="000000"/>
          <w:sz w:val="26"/>
          <w:szCs w:val="26"/>
        </w:rPr>
        <w:t xml:space="preserve">6.1 Diseño metodológico</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El estudio es un benchmark experimental controlado de tipo cuasi-experimental: la variable independiente (volumen de carga) se manipula deliberadamente en cuatro niveles fijos, con tres réplicas por nivel, bajo condiciones experimentales fijadas y documentadas. El ecosistema de microservicios (api-gateway, groups-service, habits-service y realtime-service) se despliega en cuatro cuentas independientes de la capa gratuita de Render —una estrategia deliberada para multiplicar los recursos gratuitos disponibles— y la capa de datos y autenticación reside en Supabase. El enfoque cuantitativo se justifica porque las hipótesis se contrastan con métricas numéricas (ws_connect_time, P95 HTTP, ws_dropped_rate, RAM y CPU por servicio).</w:t>
      </w:r>
    </w:p>
    <w:p>
      <w:pPr>
        <w:pStyle w:val="Heading2"/>
        <w:spacing w:after="120" w:before="220"/>
      </w:pPr>
      <w:r>
        <w:rPr>
          <w:rFonts w:ascii="Times New Roman" w:cs="Times New Roman" w:eastAsia="Times New Roman" w:hAnsi="Times New Roman"/>
          <w:b/>
          <w:bCs/>
          <w:color w:val="000000"/>
          <w:sz w:val="26"/>
          <w:szCs w:val="26"/>
        </w:rPr>
        <w:t xml:space="preserve">6.2 Unidades experimentales y de observación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Elemento metodológico</w:t>
            </w:r>
          </w:p>
        </w:tc>
        <w:tc>
          <w:tcPr>
            <w:tcW w:type="dxa" w:w="68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Definición en el proyecto</w:t>
            </w:r>
          </w:p>
        </w:tc>
      </w:tr>
      <w:tr>
        <w:tc>
          <w:tcPr>
            <w:tcW w:type="dxa" w:w="25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Unidad experimental</w:t>
            </w:r>
          </w:p>
        </w:tc>
        <w:tc>
          <w:tcPr>
            <w:tcW w:type="dxa" w:w="6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Una corrida de carga: ejecución completa del script de inyección (rampa de ~9 minutos con meseta) contra el despliegue, con parámetros y commit del código registrados en metadata.json.</w:t>
            </w:r>
          </w:p>
        </w:tc>
      </w:tr>
      <w:tr>
        <w:tc>
          <w:tcPr>
            <w:tcW w:type="dxa" w:w="25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Conjunto de ejecuciones</w:t>
            </w:r>
          </w:p>
        </w:tc>
        <w:tc>
          <w:tcPr>
            <w:tcW w:type="dxa" w:w="6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12 corridas válidas: 4 niveles de carga (100, 1 000, 2 500 y 5 000 VUs) × 3 réplicas por nivel. Las corridas piloto de validación del instrumento se reportan por separado (§7.1).</w:t>
            </w:r>
          </w:p>
        </w:tc>
      </w:tr>
      <w:tr>
        <w:tc>
          <w:tcPr>
            <w:tcW w:type="dxa" w:w="25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Unidad de observación</w:t>
            </w:r>
          </w:p>
        </w:tc>
        <w:tc>
          <w:tcPr>
            <w:tcW w:type="dxa" w:w="6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 transacción individual (petición HTTP o ciclo de vida de una conexión WebSocket) registrada por k6, y la muestra de telemetría del servidor tomada cada 5 segundos.</w:t>
            </w:r>
          </w:p>
        </w:tc>
      </w:tr>
      <w:tr>
        <w:tc>
          <w:tcPr>
            <w:tcW w:type="dxa" w:w="25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Observaciones esperadas</w:t>
            </w:r>
          </w:p>
        </w:tc>
        <w:tc>
          <w:tcPr>
            <w:tcW w:type="dxa" w:w="6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Aproximadamente 10 800 peticiones HTTP por corrida (20 req/s × 9 min), del orden de miles de sesiones WebSocket por corrida según el nivel, y ~120 muestras de telemetría por servicio por corrida.</w:t>
            </w:r>
          </w:p>
        </w:tc>
      </w:tr>
      <w:tr>
        <w:tc>
          <w:tcPr>
            <w:tcW w:type="dxa" w:w="25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Criterios de inclusión</w:t>
            </w:r>
          </w:p>
        </w:tc>
        <w:tc>
          <w:tcPr>
            <w:tcW w:type="dxa" w:w="6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Transacciones generadas exclusivamente por el script oficial k6_stress_test.js con los perfiles predefinidos, dirigidas a los endpoints del experimento.</w:t>
            </w:r>
          </w:p>
        </w:tc>
      </w:tr>
      <w:tr>
        <w:tc>
          <w:tcPr>
            <w:tcW w:type="dxa" w:w="25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Criterios de exclusión (predefinidos)</w:t>
            </w:r>
          </w:p>
        </w:tc>
        <w:tc>
          <w:tcPr>
            <w:tcW w:type="dxa" w:w="6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 Tráfico orgánico incidental; (b) pings de keep-alive: el cron externo se pausa durante las corridas; (c) corridas con interferencia externa registrada en bitácora (despliegue de código, suspensión de instancia por cuota, fallo de red del inyector): la corrida completa se descarta y se repite, dejando constancia. Ninguna exclusión se decide después de observar los valores de las métricas.</w:t>
            </w:r>
          </w:p>
        </w:tc>
      </w:tr>
      <w:tr>
        <w:tc>
          <w:tcPr>
            <w:tcW w:type="dxa" w:w="25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Justificación del diseño</w:t>
            </w:r>
          </w:p>
        </w:tc>
        <w:tc>
          <w:tcPr>
            <w:tcW w:type="dxa" w:w="6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En un benchmark los niveles de carga se seleccionan deliberadamente, no se muestrean: el diseño sustituye la noción de muestreo probabilístico por réplicas independientes y control explícito de condiciones.</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pStyle w:val="Heading2"/>
        <w:spacing w:after="120" w:before="220"/>
      </w:pPr>
      <w:r>
        <w:rPr>
          <w:rFonts w:ascii="Times New Roman" w:cs="Times New Roman" w:eastAsia="Times New Roman" w:hAnsi="Times New Roman"/>
          <w:b/>
          <w:bCs/>
          <w:color w:val="000000"/>
          <w:sz w:val="26"/>
          <w:szCs w:val="26"/>
        </w:rPr>
        <w:t xml:space="preserve">6.3 Condiciones experimentales fijadas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Condición</w:t>
            </w:r>
          </w:p>
        </w:tc>
        <w:tc>
          <w:tcPr>
            <w:tcW w:type="dxa" w:w="69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Valor fijado</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Código bajo prueba</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Un único commit de git por sesión experimental, registrado en la bitácora y en metadata.json de cada corrida.</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Versiones de software</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Go 1.24; chi v5; pgx v5; coder/websocket; k6 [registrar versión exacta en bitácora]; PostgreSQL 15 (Supabase).</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Tipo de instancia</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Render Free: 512 MB de RAM y 0.1 vCPU en los cuatro servicios (sin instancias de pago).</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Región de despliegue</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Misma región para los cuatro servicios [confirmar al desplegar: Oregon, US West].</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Payload y compresión</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Mismos endpoints y datos sembrados en todos los niveles; compresión gzip habilitada en las respuestas (el inyector envía Accept-Encoding: gzip, como un navegador real).</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Tráfico HTTP de fondo</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Constante: 20 req/s durante los 9 minutos, en todos los niveles.</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Datos sembrados</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1 000 grupos sintéticos idénticos, creados con una cuenta de pruebas dedicada (las conexiones WS se reparten a ≤ 8 por grupo).</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Límite de tasa del gateway</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Elevado por configuración documentada durante las corridas (2 000 req/s, ráfaga 4 000); valores de producción (5 req/s, ráfaga 20) restaurados al terminar (§7.1).</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Pool de base de datos</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Máximo 10 conexiones por servicio (DB_MAX_CONNS=10).</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Keep-alive externo</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Pausado durante todas las corridas (criterio de exclusión predefinido).</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Calentamiento (warm-up)</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Despertar servicios (/ops/wake) y verificación de salud (/health) antes de cada corrida; el arranque en frío (~11 s) no contamina las rampas.</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Orden y reposo</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Niveles en orden ascendente; 10 minutos de reposo entre corridas; las 3 réplicas de un nivel dentro de la misma ventana horaria.</w:t>
            </w:r>
          </w:p>
        </w:tc>
      </w:tr>
      <w:tr>
        <w:tc>
          <w:tcPr>
            <w:tcW w:type="dxa" w:w="2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Inyector</w:t>
            </w:r>
          </w:p>
        </w:tc>
        <w:tc>
          <w:tcPr>
            <w:tcW w:type="dxa" w:w="69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Misma máquina y misma red estable en todas las corridas; k6 ejecutado en contenedor Docker.</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pStyle w:val="Heading2"/>
        <w:spacing w:after="120" w:before="220"/>
      </w:pPr>
      <w:r>
        <w:rPr>
          <w:rFonts w:ascii="Times New Roman" w:cs="Times New Roman" w:eastAsia="Times New Roman" w:hAnsi="Times New Roman"/>
          <w:b/>
          <w:bCs/>
          <w:color w:val="000000"/>
          <w:sz w:val="26"/>
          <w:szCs w:val="26"/>
        </w:rPr>
        <w:t xml:space="preserve">6.4 Umbrales de calidad de servicio, punto de quiebre y criterios de aborto</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Los siguientes umbrales están codificados en el script del inyector (bloque thresholds) desde antes de las corridas, lo que impide ajustarlos a posteriori: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Indicador</w:t>
            </w:r>
          </w:p>
        </w:tc>
        <w:tc>
          <w:tcPr>
            <w:tcW w:type="dxa" w:w="468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Umbral de servicio</w:t>
            </w:r>
          </w:p>
        </w:tc>
      </w:tr>
      <w:tr>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Latencia HTTP P95</w:t>
            </w:r>
          </w:p>
        </w:tc>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&lt; 800 ms</w:t>
            </w:r>
          </w:p>
        </w:tc>
      </w:tr>
      <w:tr>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Latencia HTTP P99</w:t>
            </w:r>
          </w:p>
        </w:tc>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&lt; 2 000 ms</w:t>
            </w:r>
          </w:p>
        </w:tc>
      </w:tr>
      <w:tr>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Peticiones HTTP fallidas</w:t>
            </w:r>
          </w:p>
        </w:tc>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&lt; 5 %</w:t>
            </w:r>
          </w:p>
        </w:tc>
      </w:tr>
      <w:tr>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Establecimiento WebSocket P95</w:t>
            </w:r>
          </w:p>
        </w:tc>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&lt; 2 000 ms</w:t>
            </w:r>
          </w:p>
        </w:tc>
      </w:tr>
      <w:tr>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Conexiones WebSocket caídas</w:t>
            </w:r>
          </w:p>
        </w:tc>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&lt; 10 %</w:t>
            </w:r>
          </w:p>
        </w:tc>
      </w:tr>
      <w:tr>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Verificaciones (checks) correctas</w:t>
            </w:r>
          </w:p>
        </w:tc>
        <w:tc>
          <w:tcPr>
            <w:tcW w:type="dxa" w:w="468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&gt; 95 %</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Punto de quiebre: </w:t>
      </w:r>
      <w:r>
        <w:rPr>
          <w:rFonts w:ascii="Times New Roman" w:cs="Times New Roman" w:eastAsia="Times New Roman" w:hAnsi="Times New Roman"/>
          <w:b w:val="false"/>
          <w:bCs w:val="false"/>
          <w:i w:val="false"/>
          <w:iCs w:val="false"/>
          <w:sz w:val="24"/>
          <w:szCs w:val="24"/>
        </w:rPr>
        <w:t xml:space="preserve">el menor nivel de carga cuya mediana de tres réplicas incumple de forma sostenida al menos un umbral.</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Colapso: </w:t>
      </w:r>
      <w:r>
        <w:rPr>
          <w:rFonts w:ascii="Times New Roman" w:cs="Times New Roman" w:eastAsia="Times New Roman" w:hAnsi="Times New Roman"/>
          <w:b w:val="false"/>
          <w:bCs w:val="false"/>
          <w:i w:val="false"/>
          <w:iCs w:val="false"/>
          <w:sz w:val="24"/>
          <w:szCs w:val="24"/>
        </w:rPr>
        <w:t xml:space="preserve">evento de OOM kill o reinicio de instancia, observable como hueco en la serie de telemetría (scrapes fallidos consecutivos) y corroborado con los eventos del panel del proveedor.</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Criterios de aborto de corrida: </w:t>
      </w:r>
      <w:r>
        <w:rPr>
          <w:rFonts w:ascii="Times New Roman" w:cs="Times New Roman" w:eastAsia="Times New Roman" w:hAnsi="Times New Roman"/>
          <w:b w:val="false"/>
          <w:bCs w:val="false"/>
          <w:i w:val="false"/>
          <w:iCs w:val="false"/>
          <w:sz w:val="24"/>
          <w:szCs w:val="24"/>
        </w:rPr>
        <w:t xml:space="preserve">fallo del pre-vuelo de salud, pérdida de red del inyector o suspensión de instancia a mitad de corrida. La corrida se aborta, se registra en bitácora y se repite tras el reposo.</w:t>
      </w:r>
    </w:p>
    <w:p>
      <w:pPr>
        <w:pStyle w:val="Heading2"/>
        <w:spacing w:after="120" w:before="220"/>
      </w:pPr>
      <w:r>
        <w:rPr>
          <w:rFonts w:ascii="Times New Roman" w:cs="Times New Roman" w:eastAsia="Times New Roman" w:hAnsi="Times New Roman"/>
          <w:b/>
          <w:bCs/>
          <w:color w:val="000000"/>
          <w:sz w:val="26"/>
          <w:szCs w:val="26"/>
        </w:rPr>
        <w:t xml:space="preserve">6.5 Técnicas e instrumentos de recolección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60"/>
        <w:gridCol w:w="3700"/>
      </w:tblGrid>
      <w:tr>
        <w:trPr>
          <w:tblHeader/>
        </w:trPr>
        <w:tc>
          <w:tcPr>
            <w:tcW w:type="dxa" w:w="21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Técnica</w:t>
            </w:r>
          </w:p>
        </w:tc>
        <w:tc>
          <w:tcPr>
            <w:tcW w:type="dxa" w:w="35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Instrumento asociado</w:t>
            </w:r>
          </w:p>
        </w:tc>
        <w:tc>
          <w:tcPr>
            <w:tcW w:type="dxa" w:w="37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Justificación de pertinencia</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Experimentación controlada (pruebas de estrés)</w:t>
            </w:r>
          </w:p>
        </w:tc>
        <w:tc>
          <w:tcPr>
            <w:tcW w:type="dxa" w:w="35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Script k6_stress_test.js: dos escenarios simultáneos —tráfico HTTP constante (20 req/s) y rampa de WebSockets hasta el pico del nivel, repartida entre 1 000 grupos sembrados—.</w:t>
            </w:r>
          </w:p>
        </w:tc>
        <w:tc>
          <w:tcPr>
            <w:tcW w:type="dxa" w:w="3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Somete al sistema a carga determinista y escalonada para mapear la degradación de latencia y localizar el punto de quiebre bajo los umbrales predefinidos.</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Análisis de registros y telemetría interna</w:t>
            </w:r>
          </w:p>
        </w:tc>
        <w:tc>
          <w:tcPr>
            <w:tcW w:type="dxa" w:w="35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Módulo obs.go por servicio (métricas Prometheus en /metrics y logs JSON con slog); scraper scrape_metrics.sh que muestrea los cuatro servicios cada 5 s y serializa a CSV.</w:t>
            </w:r>
          </w:p>
        </w:tc>
        <w:tc>
          <w:tcPr>
            <w:tcW w:type="dxa" w:w="3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Permite calcular percentiles por endpoint y RAM/goroutines sin agentes externos que consuman los 512 MB. Un scrape fallido también se registra: si un servicio muere por OOM, el hueco en la serie es el dato.</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Bitácora y trazabilidad</w:t>
            </w:r>
          </w:p>
        </w:tc>
        <w:tc>
          <w:tcPr>
            <w:tcW w:type="dxa" w:w="35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matriz.log (sesión) y metadata.json (por corrida): commit, parámetros, marcas de tiempo, anomalías e incidencias.</w:t>
            </w:r>
          </w:p>
        </w:tc>
        <w:tc>
          <w:tcPr>
            <w:tcW w:type="dxa" w:w="3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Reproducibilidad y auditoría: cada resultado es rastreable al código y condiciones exactas que lo produjeron.</w:t>
            </w:r>
          </w:p>
        </w:tc>
      </w:tr>
      <w:tr>
        <w:tc>
          <w:tcPr>
            <w:tcW w:type="dxa" w:w="21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Triangulación con paneles del proveedor</w:t>
            </w:r>
          </w:p>
        </w:tc>
        <w:tc>
          <w:tcPr>
            <w:tcW w:type="dxa" w:w="35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Dashboard de Render (RAM/CPU, eventos de reinicio) y panel de uso de Supabase.</w:t>
            </w:r>
          </w:p>
        </w:tc>
        <w:tc>
          <w:tcPr>
            <w:tcW w:type="dxa" w:w="3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Corrobora eventos de colapso y consumo de cuotas. Su resolución (minutos/horas) no sustituye a la telemetría propia (5 s).</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pStyle w:val="Heading2"/>
        <w:spacing w:after="120" w:before="220"/>
      </w:pPr>
      <w:r>
        <w:rPr>
          <w:rFonts w:ascii="Times New Roman" w:cs="Times New Roman" w:eastAsia="Times New Roman" w:hAnsi="Times New Roman"/>
          <w:b/>
          <w:bCs/>
          <w:color w:val="000000"/>
          <w:sz w:val="26"/>
          <w:szCs w:val="26"/>
        </w:rPr>
        <w:t xml:space="preserve">6.6 Matriz experimental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Nivel (VUs pico)</w:t>
            </w:r>
          </w:p>
        </w:tc>
        <w:tc>
          <w:tcPr>
            <w:tcW w:type="dxa" w:w="234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Réplicas</w:t>
            </w:r>
          </w:p>
        </w:tc>
        <w:tc>
          <w:tcPr>
            <w:tcW w:type="dxa" w:w="234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Duración por corrida</w:t>
            </w:r>
          </w:p>
        </w:tc>
        <w:tc>
          <w:tcPr>
            <w:tcW w:type="dxa" w:w="234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Reposo entre corridas</w:t>
            </w:r>
          </w:p>
        </w:tc>
      </w:tr>
      <w:tr>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100</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3</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 (rampa de 9 min)</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w:t>
            </w:r>
          </w:p>
        </w:tc>
      </w:tr>
      <w:tr>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1 000</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3</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w:t>
            </w:r>
          </w:p>
        </w:tc>
      </w:tr>
      <w:tr>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2 500</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3</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w:t>
            </w:r>
          </w:p>
        </w:tc>
      </w:tr>
      <w:tr>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5 000</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3</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w:t>
            </w:r>
          </w:p>
        </w:tc>
        <w:tc>
          <w:tcPr>
            <w:tcW w:type="dxa" w:w="23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10 min</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spacing w:after="120" w:before="0" w:line="276" w:lineRule="auto"/>
      </w:pPr>
      <w:r>
        <w:rPr>
          <w:rFonts w:ascii="Times New Roman" w:cs="Times New Roman" w:eastAsia="Times New Roman" w:hAnsi="Times New Roman"/>
          <w:b w:val="false"/>
          <w:bCs w:val="false"/>
          <w:i w:val="false"/>
          <w:iCs w:val="false"/>
          <w:sz w:val="24"/>
          <w:szCs w:val="24"/>
        </w:rPr>
        <w:t xml:space="preserve">Las tres réplicas de cada nivel se ejecutan dentro de la misma ventana horaria: en capa gratuita los recursos son compartidos con inquilinos desconocidos y una corrida única no es evidencia suficiente.</w:t>
      </w:r>
    </w:p>
    <w:p>
      <w:pPr>
        <w:spacing w:after="120" w:before="0" w:line="276" w:lineRule="auto"/>
      </w:pPr>
      <w:r>
        <w:rPr>
          <w:rFonts w:ascii="Times New Roman" w:cs="Times New Roman" w:eastAsia="Times New Roman" w:hAnsi="Times New Roman"/>
          <w:b/>
          <w:bCs/>
          <w:i w:val="false"/>
          <w:iCs w:val="false"/>
          <w:sz w:val="24"/>
          <w:szCs w:val="24"/>
        </w:rPr>
        <w:t xml:space="preserve">Alcance ejecutado: </w:t>
      </w:r>
      <w:r>
        <w:rPr>
          <w:rFonts w:ascii="Times New Roman" w:cs="Times New Roman" w:eastAsia="Times New Roman" w:hAnsi="Times New Roman"/>
          <w:b w:val="false"/>
          <w:bCs w:val="false"/>
          <w:i w:val="false"/>
          <w:iCs w:val="false"/>
          <w:sz w:val="24"/>
          <w:szCs w:val="24"/>
        </w:rPr>
        <w:t xml:space="preserve">los niveles 100 y 1 000 se completaron (3 réplicas cada uno, 6/6 válidas). Los niveles 2 500 y 5 000 no se ejecutaron por las restricciones operativas documentadas en §7.3 y se declaran trabajo futuro; el punto de quiebre quedó localizado dentro del alcance ejecutado.</w:t>
      </w:r>
    </w:p>
    <w:p>
      <w:pPr>
        <w:pStyle w:val="Heading2"/>
        <w:spacing w:after="120" w:before="220"/>
      </w:pPr>
      <w:r>
        <w:rPr>
          <w:rFonts w:ascii="Times New Roman" w:cs="Times New Roman" w:eastAsia="Times New Roman" w:hAnsi="Times New Roman"/>
          <w:b/>
          <w:bCs/>
          <w:color w:val="000000"/>
          <w:sz w:val="26"/>
          <w:szCs w:val="26"/>
        </w:rPr>
        <w:t xml:space="preserve">6.7 Fuentes de datos: primarias y secundarias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860"/>
      </w:tblGrid>
      <w:tr>
        <w:trPr>
          <w:tblHeader/>
        </w:trPr>
        <w:tc>
          <w:tcPr>
            <w:tcW w:type="dxa" w:w="38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Fuente</w:t>
            </w:r>
          </w:p>
        </w:tc>
        <w:tc>
          <w:tcPr>
            <w:tcW w:type="dxa" w:w="17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Clase</w:t>
            </w:r>
          </w:p>
        </w:tc>
        <w:tc>
          <w:tcPr>
            <w:tcW w:type="dxa" w:w="38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Uso en el estudio</w:t>
            </w:r>
          </w:p>
        </w:tc>
      </w:tr>
      <w:tr>
        <w:tc>
          <w:tcPr>
            <w:tcW w:type="dxa" w:w="3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Resultados del inyector k6 (summary.json, salida íntegra)</w:t>
            </w:r>
          </w:p>
        </w:tc>
        <w:tc>
          <w:tcPr>
            <w:tcW w:type="dxa" w:w="1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Primaria</w:t>
            </w:r>
          </w:p>
        </w:tc>
        <w:tc>
          <w:tcPr>
            <w:tcW w:type="dxa" w:w="3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Plano del cliente: latencias, tasas de error y de conexiones caídas, throughput.</w:t>
            </w:r>
          </w:p>
        </w:tc>
      </w:tr>
      <w:tr>
        <w:tc>
          <w:tcPr>
            <w:tcW w:type="dxa" w:w="3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Telemetría propia (Prometheus /metrics + logs slog, vía scraper a CSV)</w:t>
            </w:r>
          </w:p>
        </w:tc>
        <w:tc>
          <w:tcPr>
            <w:tcW w:type="dxa" w:w="1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Primaria</w:t>
            </w:r>
          </w:p>
        </w:tc>
        <w:tc>
          <w:tcPr>
            <w:tcW w:type="dxa" w:w="3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Plano del servidor: RAM, CPU, goroutines, pool de BD, huecos por OOM.</w:t>
            </w:r>
          </w:p>
        </w:tc>
      </w:tr>
      <w:tr>
        <w:tc>
          <w:tcPr>
            <w:tcW w:type="dxa" w:w="3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Paneles del proveedor (Render, Supabase)</w:t>
            </w:r>
          </w:p>
        </w:tc>
        <w:tc>
          <w:tcPr>
            <w:tcW w:type="dxa" w:w="1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Primaria complementaria</w:t>
            </w:r>
          </w:p>
        </w:tc>
        <w:tc>
          <w:tcPr>
            <w:tcW w:type="dxa" w:w="3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Triangulación de eventos de reinicio y consumo de cuotas.</w:t>
            </w:r>
          </w:p>
        </w:tc>
      </w:tr>
      <w:tr>
        <w:tc>
          <w:tcPr>
            <w:tcW w:type="dxa" w:w="3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Bitácora de ejecución (matriz.log, metadata.json)</w:t>
            </w:r>
          </w:p>
        </w:tc>
        <w:tc>
          <w:tcPr>
            <w:tcW w:type="dxa" w:w="1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Primaria</w:t>
            </w:r>
          </w:p>
        </w:tc>
        <w:tc>
          <w:tcPr>
            <w:tcW w:type="dxa" w:w="3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Trazabilidad de corridas, condiciones e incidencias.</w:t>
            </w:r>
          </w:p>
        </w:tc>
      </w:tr>
      <w:tr>
        <w:tc>
          <w:tcPr>
            <w:tcW w:type="dxa" w:w="3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Documentación oficial de Render y Supabase</w:t>
            </w:r>
          </w:p>
        </w:tc>
        <w:tc>
          <w:tcPr>
            <w:tcW w:type="dxa" w:w="1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Secundaria</w:t>
            </w:r>
          </w:p>
        </w:tc>
        <w:tc>
          <w:tcPr>
            <w:tcW w:type="dxa" w:w="3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Fija los límites del free tier que actúan como variables de control.</w:t>
            </w:r>
          </w:p>
        </w:tc>
      </w:tr>
      <w:tr>
        <w:tc>
          <w:tcPr>
            <w:tcW w:type="dxa" w:w="3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Literatura arbitrada y estándares (ISO/IEC 25010, 27001, 29148)</w:t>
            </w:r>
          </w:p>
        </w:tc>
        <w:tc>
          <w:tcPr>
            <w:tcW w:type="dxa" w:w="17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Secundaria</w:t>
            </w:r>
          </w:p>
        </w:tc>
        <w:tc>
          <w:tcPr>
            <w:tcW w:type="dxa" w:w="38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Marco teórico, antecedentes y modelo de calidad.</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spacing w:after="120" w:before="0" w:line="276" w:lineRule="auto"/>
      </w:pPr>
      <w:r>
        <w:rPr>
          <w:rFonts w:ascii="Times New Roman" w:cs="Times New Roman" w:eastAsia="Times New Roman" w:hAnsi="Times New Roman"/>
          <w:b w:val="false"/>
          <w:bCs w:val="false"/>
          <w:i w:val="false"/>
          <w:iCs w:val="false"/>
          <w:sz w:val="24"/>
          <w:szCs w:val="24"/>
        </w:rPr>
        <w:t xml:space="preserve">La evaluación fuente por fuente (criterios de calidad y viabilidad, decisión de uso o descarte y justificación) se entrega en la Matriz de selección de fuentes de datos (Actividad 3.1), documento anexo.</w:t>
      </w:r>
    </w:p>
    <w:p>
      <w:pPr>
        <w:pStyle w:val="Heading2"/>
        <w:spacing w:after="120" w:before="220"/>
      </w:pPr>
      <w:r>
        <w:rPr>
          <w:rFonts w:ascii="Times New Roman" w:cs="Times New Roman" w:eastAsia="Times New Roman" w:hAnsi="Times New Roman"/>
          <w:b/>
          <w:bCs/>
          <w:color w:val="000000"/>
          <w:sz w:val="26"/>
          <w:szCs w:val="26"/>
        </w:rPr>
        <w:t xml:space="preserve">6.8 Plan de análisis estadístico</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Por corrida: </w:t>
      </w:r>
      <w:r>
        <w:rPr>
          <w:rFonts w:ascii="Times New Roman" w:cs="Times New Roman" w:eastAsia="Times New Roman" w:hAnsi="Times New Roman"/>
          <w:b w:val="false"/>
          <w:bCs w:val="false"/>
          <w:i w:val="false"/>
          <w:iCs w:val="false"/>
          <w:sz w:val="24"/>
          <w:szCs w:val="24"/>
        </w:rPr>
        <w:t xml:space="preserve">P95/P99 de latencia, tasa de error, throughput, RAM pico y sostenida por servicio.</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Por nivel: </w:t>
      </w:r>
      <w:r>
        <w:rPr>
          <w:rFonts w:ascii="Times New Roman" w:cs="Times New Roman" w:eastAsia="Times New Roman" w:hAnsi="Times New Roman"/>
          <w:b w:val="false"/>
          <w:bCs w:val="false"/>
          <w:i w:val="false"/>
          <w:iCs w:val="false"/>
          <w:sz w:val="24"/>
          <w:szCs w:val="24"/>
        </w:rPr>
        <w:t xml:space="preserve">mediana de las tres réplicas y dispersión (mínimo–máximo). Con n = 3 réplicas el rango es más informativo que la desviación estándar; no se reportan intervalos de confianza con tamaños tan reducidos.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Gráficas: </w:t>
      </w:r>
      <w:r>
        <w:rPr>
          <w:rFonts w:ascii="Times New Roman" w:cs="Times New Roman" w:eastAsia="Times New Roman" w:hAnsi="Times New Roman"/>
          <w:b w:val="false"/>
          <w:bCs w:val="false"/>
          <w:i w:val="false"/>
          <w:iCs w:val="false"/>
          <w:sz w:val="24"/>
          <w:szCs w:val="24"/>
        </w:rPr>
        <w:t xml:space="preserve">curvas de carga (VUs vs. métrica) con bandas de variabilidad mínimo–máximo; boxplots por nivel; si ocurre un colapso, serie de tiempo de esa corrida mostrando el hueco de telemetría; tablas comparativas por nivel.</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Datos crudos: </w:t>
      </w:r>
      <w:r>
        <w:rPr>
          <w:rFonts w:ascii="Times New Roman" w:cs="Times New Roman" w:eastAsia="Times New Roman" w:hAnsi="Times New Roman"/>
          <w:b w:val="false"/>
          <w:bCs w:val="false"/>
          <w:i w:val="false"/>
          <w:iCs w:val="false"/>
          <w:sz w:val="24"/>
          <w:szCs w:val="24"/>
        </w:rPr>
        <w:t xml:space="preserve">inmutables y versionados en el repositorio (load-tests/results/), con diccionario de datos: summary.json (agregados de k6), metrics.csv (serie temporal: marca de tiempo, servicio, métrica, valor), k6_output.txt (salida íntegra del inyector) y metadata.json (parámetros y commit).</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Interpretación: </w:t>
      </w:r>
      <w:r>
        <w:rPr>
          <w:rFonts w:ascii="Times New Roman" w:cs="Times New Roman" w:eastAsia="Times New Roman" w:hAnsi="Times New Roman"/>
          <w:b w:val="false"/>
          <w:bCs w:val="false"/>
          <w:i w:val="false"/>
          <w:iCs w:val="false"/>
          <w:sz w:val="24"/>
          <w:szCs w:val="24"/>
        </w:rPr>
        <w:t xml:space="preserve">limitada a las condiciones experimentales observadas; cualquier inferencia económica o de escalabilidad se declara explícitamente como extrapolación.</w:t>
      </w:r>
    </w:p>
    <w:p>
      <w:pPr>
        <w:pStyle w:val="Heading2"/>
        <w:spacing w:after="120" w:before="220"/>
      </w:pPr>
      <w:r>
        <w:rPr>
          <w:rFonts w:ascii="Times New Roman" w:cs="Times New Roman" w:eastAsia="Times New Roman" w:hAnsi="Times New Roman"/>
          <w:b/>
          <w:bCs/>
          <w:color w:val="000000"/>
          <w:sz w:val="26"/>
          <w:szCs w:val="26"/>
        </w:rPr>
        <w:t xml:space="preserve">6.9 Procedimiento del estudio y responsables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Fase 1 — Preparación del entorno (Solis Flores Irvin Alfonso): </w:t>
      </w:r>
      <w:r>
        <w:rPr>
          <w:rFonts w:ascii="Times New Roman" w:cs="Times New Roman" w:eastAsia="Times New Roman" w:hAnsi="Times New Roman"/>
          <w:b w:val="false"/>
          <w:bCs w:val="false"/>
          <w:i w:val="false"/>
          <w:iCs w:val="false"/>
          <w:sz w:val="24"/>
          <w:szCs w:val="24"/>
        </w:rPr>
        <w:t xml:space="preserve">verificación de despliegues, variables de entorno, ruteo y registro de telemetría en los cuatro servicios; confirmación del middleware de observabilidad.</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Fase 2 — Ejecución del experimento (García Páez David Israel): </w:t>
      </w:r>
      <w:r>
        <w:rPr>
          <w:rFonts w:ascii="Times New Roman" w:cs="Times New Roman" w:eastAsia="Times New Roman" w:hAnsi="Times New Roman"/>
          <w:b w:val="false"/>
          <w:bCs w:val="false"/>
          <w:i w:val="false"/>
          <w:iCs w:val="false"/>
          <w:sz w:val="24"/>
          <w:szCs w:val="24"/>
        </w:rPr>
        <w:t xml:space="preserve">servicios despiertos previamente, keep-alive pausado, pre-vuelo de salud e inyección de las rampas con k6 desde una red estable; registro en bitácora.</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Fase 3 — Recolección y extracción de datos (Cervantes Guerrero Keila Yuridia / Mario Yahir): </w:t>
      </w:r>
      <w:r>
        <w:rPr>
          <w:rFonts w:ascii="Times New Roman" w:cs="Times New Roman" w:eastAsia="Times New Roman" w:hAnsi="Times New Roman"/>
          <w:b w:val="false"/>
          <w:bCs w:val="false"/>
          <w:i w:val="false"/>
          <w:iCs w:val="false"/>
          <w:sz w:val="24"/>
          <w:szCs w:val="24"/>
        </w:rPr>
        <w:t xml:space="preserve">consolidación de artefactos por corrida (k6, CSV de telemetría, logs) y derivación de percentiles.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Fase 4 — Análisis preliminar (equipo completo, con Casiano Gamzi Juan David): </w:t>
      </w:r>
      <w:r>
        <w:rPr>
          <w:rFonts w:ascii="Times New Roman" w:cs="Times New Roman" w:eastAsia="Times New Roman" w:hAnsi="Times New Roman"/>
          <w:b w:val="false"/>
          <w:bCs w:val="false"/>
          <w:i w:val="false"/>
          <w:iCs w:val="false"/>
          <w:sz w:val="24"/>
          <w:szCs w:val="24"/>
        </w:rPr>
        <w:t xml:space="preserve">cruce de series (VUs vs. RAM por servicio vs. tasa de caídas vs. P95) e interpretación conjunta contra las hipótesis.</w:t>
      </w:r>
    </w:p>
    <w:p>
      <w:pPr>
        <w:pStyle w:val="Heading1"/>
        <w:spacing w:after="140" w:before="280"/>
      </w:pPr>
      <w:r>
        <w:rPr>
          <w:rFonts w:ascii="Times New Roman" w:cs="Times New Roman" w:eastAsia="Times New Roman" w:hAnsi="Times New Roman"/>
          <w:b/>
          <w:bCs/>
          <w:color w:val="000000"/>
          <w:sz w:val="28"/>
          <w:szCs w:val="28"/>
        </w:rPr>
        <w:t xml:space="preserve">7. Resultados preliminares (piloto y primera sesión)</w:t>
      </w:r>
    </w:p>
    <w:p>
      <w:pPr>
        <w:pStyle w:val="Heading2"/>
        <w:spacing w:after="120" w:before="220"/>
      </w:pPr>
      <w:r>
        <w:rPr>
          <w:rFonts w:ascii="Times New Roman" w:cs="Times New Roman" w:eastAsia="Times New Roman" w:hAnsi="Times New Roman"/>
          <w:b/>
          <w:bCs/>
          <w:color w:val="000000"/>
          <w:sz w:val="26"/>
          <w:szCs w:val="26"/>
        </w:rPr>
        <w:t xml:space="preserve">7.1 Validación del instrumento (piloto)</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El primer piloto (100 VUs contra el despliegue real) produjo resultados anómalos: 88.30 % de peticiones HTTP fallidas y 93.68 % de conexiones WebSocket rechazadas, pese a que la telemetría del servidor mostraba consumo mínimo (≤ 44 MB de RAM). El cruce de ambas fuentes reveló la causa: el gateway aplica un límite de tasa por usuario (5 req/s, ráfaga 20) y todos los usuarios virtuales comparten la misma cuenta sintética de pruebas, por lo que el experimento completo compartía una sola cubeta de tokens: se estaba midiendo el limitador, no la arquitectura. Se corrigió haciendo los límites configurables por variable de entorno (documentados en §6.3) y se repitió el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Métrica</w:t>
            </w:r>
          </w:p>
        </w:tc>
        <w:tc>
          <w:tcPr>
            <w:tcW w:type="dxa" w:w="312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Piloto 1 (artefacto)</w:t>
            </w:r>
          </w:p>
        </w:tc>
        <w:tc>
          <w:tcPr>
            <w:tcW w:type="dxa" w:w="312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Piloto 2 (válido)</w:t>
            </w:r>
          </w:p>
        </w:tc>
      </w:tr>
      <w:tr>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Peticiones HTTP fallidas</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88.30 %</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0.00 % (0 / 21 596)</w:t>
            </w:r>
          </w:p>
        </w:tc>
      </w:tr>
      <w:tr>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Conexiones WS caídas</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93.68 %</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0.00 % (0 / 408)</w:t>
            </w:r>
          </w:p>
        </w:tc>
      </w:tr>
      <w:tr>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Duración media de sesión WS</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4.96 s</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88 s</w:t>
            </w:r>
          </w:p>
        </w:tc>
      </w:tr>
      <w:tr>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P95 HTTP (exitosas)</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425 ms</w:t>
            </w:r>
          </w:p>
        </w:tc>
        <w:tc>
          <w:tcPr>
            <w:tcW w:type="dxa" w:w="31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404 ms</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Este episodio ilustra por qué la telemetría del lado del servidor no es opcional en estudios de carga: sin ella, el 88 % de fallos se habría atribuido erróneamente a la capa gratuita.</w:t>
      </w:r>
    </w:p>
    <w:p>
      <w:pPr>
        <w:pStyle w:val="Heading2"/>
        <w:spacing w:after="120" w:before="220"/>
      </w:pPr>
      <w:r>
        <w:rPr>
          <w:rFonts w:ascii="Times New Roman" w:cs="Times New Roman" w:eastAsia="Times New Roman" w:hAnsi="Times New Roman"/>
          <w:b/>
          <w:bCs/>
          <w:color w:val="000000"/>
          <w:sz w:val="26"/>
          <w:szCs w:val="26"/>
        </w:rPr>
        <w:t xml:space="preserve">7.2 Primera sesión de la matriz (niveles 100 y 1 000)</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La primera sesión (2026-07-05, 02:08–03:56 UTC) produjo 6 corridas válidas de 6, sin huecos de telemetría. Se reporta la mediana de las tres réplicas por nivel; entre paréntesis, el rango mínimo–máximo.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Métrica</w:t>
            </w:r>
          </w:p>
        </w:tc>
        <w:tc>
          <w:tcPr>
            <w:tcW w:type="dxa" w:w="28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100 VUs</w:t>
            </w:r>
          </w:p>
        </w:tc>
        <w:tc>
          <w:tcPr>
            <w:tcW w:type="dxa" w:w="31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1 000 VUs</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Peticiones HTTP fallidas</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0.00 %</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0.00 % (0 / 64 706)</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P95 HTTP</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826 ms (790–847)</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1 045 ms (955–1 138)</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Conexiones WS caídas</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0.00 % (0–1.92)</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23.87 % (23.59–24.16)</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P95 establecimiento WS</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918 ms (894–932)</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19 974 ms (19 817–20 251)</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RAM pico api-gateway</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43.6 MB (43.5–43.8)</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238.5 MB (236.8–239.2)</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RAM pico realtime-service</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42.8 MB (36.6–50.7)</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231.3 MB (164.1–293.0)</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RAM pico groups-service</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51.6 MB (51.0–52.3)</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54.8 MB (49.9–60.4)</w:t>
            </w:r>
          </w:p>
        </w:tc>
      </w:tr>
      <w:tr>
        <w:tc>
          <w:tcPr>
            <w:tcW w:type="dxa" w:w="34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RAM pico habits-service</w:t>
            </w:r>
          </w:p>
        </w:tc>
        <w:tc>
          <w:tcPr>
            <w:tcW w:type="dxa" w:w="28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20.8 MB (20.6–21.0)</w:t>
            </w:r>
          </w:p>
        </w:tc>
        <w:tc>
          <w:tcPr>
            <w:tcW w:type="dxa" w:w="31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21.5 MB (20.7–21.5)</w:t>
            </w:r>
          </w:p>
        </w:tc>
      </w:tr>
    </w:tbl>
    <w:p>
      <w:pPr>
        <w:spacing w:after="120" w:before="0" w:line="276" w:lineRule="auto"/>
      </w:pPr>
      <w:r>
        <w:rPr>
          <w:rFonts w:ascii="Times New Roman" w:cs="Times New Roman" w:eastAsia="Times New Roman" w:hAnsi="Times New Roman"/>
          <w:b w:val="false"/>
          <w:bCs w:val="false"/>
          <w:i w:val="false"/>
          <w:iCs w:val="false"/>
          <w:sz w:val="24"/>
          <w:szCs w:val="24"/>
        </w:rPr>
        <w:t xml:space="preserve"/>
      </w:r>
    </w:p>
    <w:p>
      <w:pPr>
        <w:spacing w:after="120" w:before="0" w:line="276" w:lineRule="auto"/>
      </w:pPr>
      <w:r>
        <w:rPr>
          <w:rFonts w:ascii="Times New Roman" w:cs="Times New Roman" w:eastAsia="Times New Roman" w:hAnsi="Times New Roman"/>
          <w:b/>
          <w:bCs/>
          <w:i w:val="false"/>
          <w:iCs w:val="false"/>
          <w:sz w:val="24"/>
          <w:szCs w:val="24"/>
        </w:rPr>
        <w:t xml:space="preserve">Observación 1 — degradación asimétrica entre planos: </w:t>
      </w:r>
      <w:r>
        <w:rPr>
          <w:rFonts w:ascii="Times New Roman" w:cs="Times New Roman" w:eastAsia="Times New Roman" w:hAnsi="Times New Roman"/>
          <w:b w:val="false"/>
          <w:bCs w:val="false"/>
          <w:i w:val="false"/>
          <w:iCs w:val="false"/>
          <w:sz w:val="24"/>
          <w:szCs w:val="24"/>
        </w:rPr>
        <w:t xml:space="preserve">a 1 000 VUs el plano HTTP se degrada pero no falla (0 de 64 706 peticiones fallidas; P95 26 % mayor que en el nivel 100), mientras el plano WebSocket cruza su umbral de servicio: ~1 de cada 4 conexiones se cae y el establecimiento P95 pasa de ~0.9 s a ~20 s. La dispersión mínima entre réplicas (23.59–24.16 %) descarta el ruido de plataforma: es un límite del sistema, no del entorno.</w:t>
      </w:r>
    </w:p>
    <w:p>
      <w:pPr>
        <w:spacing w:after="120" w:before="0" w:line="276" w:lineRule="auto"/>
      </w:pPr>
      <w:r>
        <w:rPr>
          <w:rFonts w:ascii="Times New Roman" w:cs="Times New Roman" w:eastAsia="Times New Roman" w:hAnsi="Times New Roman"/>
          <w:b/>
          <w:bCs/>
          <w:i w:val="false"/>
          <w:iCs w:val="false"/>
          <w:sz w:val="24"/>
          <w:szCs w:val="24"/>
        </w:rPr>
        <w:t xml:space="preserve">Observación 2 — la presión de memoria se concentra en la ruta de tiempo real: </w:t>
      </w:r>
      <w:r>
        <w:rPr>
          <w:rFonts w:ascii="Times New Roman" w:cs="Times New Roman" w:eastAsia="Times New Roman" w:hAnsi="Times New Roman"/>
          <w:b w:val="false"/>
          <w:bCs w:val="false"/>
          <w:i w:val="false"/>
          <w:iCs w:val="false"/>
          <w:sz w:val="24"/>
          <w:szCs w:val="24"/>
        </w:rPr>
        <w:t xml:space="preserve">api-gateway y realtime-service multiplican ×5 su RAM respecto al nivel 100 (44→239 MB y 43→231 MB) mientras groups y habits permanecen planos. A 1 000 VUs el servicio más cargado consume 46.6 % del límite de 512 MB; una proyección simple sitúa el primer colapso por memoria entre 2 500 y 5 000 VUs, hipótesis que los niveles restantes ponen a prueba.</w:t>
      </w:r>
    </w:p>
    <w:p>
      <w:pPr>
        <w:pStyle w:val="Heading2"/>
        <w:spacing w:after="120" w:before="220"/>
      </w:pPr>
      <w:r>
        <w:rPr>
          <w:rFonts w:ascii="Times New Roman" w:cs="Times New Roman" w:eastAsia="Times New Roman" w:hAnsi="Times New Roman"/>
          <w:b/>
          <w:bCs/>
          <w:color w:val="000000"/>
          <w:sz w:val="26"/>
          <w:szCs w:val="26"/>
        </w:rPr>
        <w:t xml:space="preserve">7.3 Alcance ejecutado, incidentes operativos y cierre del dataset</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Tras la primera sesión, el experimento agotó la cuota mensual de transferencia de la capa gratuita (5 GB de egreso por cuenta) en las cuentas del api-gateway y de groups-service, lo que suspendió los servicios. Esto motivó dos ajustes documentados: (a) habilitar compresión gzip en las respuestas —los payloads JSON viajaban sin comprimir; la reducción medida en el cable fue de −89.6 % (270 788 → 28 114 bytes)— y (b) re-desplegar los cuatro servicios en cuentas nuevas del mismo tipo de instancia y región.</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La re-validación sobre el despliegue nuevo (corrida puente a 1 000 VUs, con criterio de comparabilidad predefinido contra la sesión 1) se intentó dos veces el 2026-07-13 y colapsó en ambas (87–88 % de conexiones WS caídas) con una firma de inanición de E/S en la capa de datos: memoria del servicio de grupos al tope (518 de 512 MB) con CPU casi ociosa (0.009–0.026 núcleos, contra 0.135 en la sesión 1 sana), pool de conexiones saturado y tormenta de reconexiones. El diagnóstico —documentado en la bitácora con la evidencia de descarte de causas alternativas (modo de pooling, costo de CPU de la compresión, estado de la base en reposo)— atribuye el colapso al estado de los créditos de ráfaga de la instancia de base de datos del plan gratuito (t3a.nano), agotados tras la restauración del proyecto (que había sido pausado por inactividad) y las corridas consecutivas del mismo día. Ambas corridas se excluyeron del dataset por criterio predefinido (§6.2: interferencia registrada, decidida por causa asignable y no por el valor de las métricas).</w:t>
      </w:r>
    </w:p>
    <w:p>
      <w:pPr>
        <w:spacing w:after="120" w:before="0" w:line="276" w:lineRule="auto"/>
      </w:pPr>
      <w:r>
        <w:rPr>
          <w:rFonts w:ascii="Times New Roman" w:cs="Times New Roman" w:eastAsia="Times New Roman" w:hAnsi="Times New Roman"/>
          <w:b w:val="false"/>
          <w:bCs w:val="false"/>
          <w:i w:val="false"/>
          <w:iCs w:val="false"/>
          <w:sz w:val="24"/>
          <w:szCs w:val="24"/>
        </w:rPr>
        <w:t xml:space="preserve">En consecuencia, el dataset del estudio se cierra con la sesión 1 (niveles 100 y 1 000, tres réplicas por nivel, 6/6 corridas válidas). El cierre es suficiente para contrastar las hipótesis: el punto de quiebre definido en §6.4 se localizó en el nivel de 1 000 VUs (mediana de conexiones WS caídas de 23.87 %, umbral &lt; 10 %), lo que confirma H4 con el matiz de que el quiebre llega por calidad de servicio del plano en tiempo real y no por agotamiento de memoria (46.6 % del límite en el peor servicio). Los niveles 2 500 y 5 000 —que caracterizarían el comportamiento posterior al quiebre, incluida la búsqueda del límite de memoria— se declaran trabajo futuro, con un plan de ejecución que administre los créditos de la capa de datos. Los incidentes operativos (cuota de egreso, pausa por inactividad, créditos de ráfaga, arranques en frío de 10–14 s medidos) se reportan como hallazgos del estudio sobre las restricciones de la capa gratuita.</w:t>
      </w:r>
    </w:p>
    <w:p>
      <w:pPr>
        <w:pStyle w:val="Heading1"/>
        <w:spacing w:after="140" w:before="280"/>
      </w:pPr>
      <w:r>
        <w:rPr>
          <w:rFonts w:ascii="Times New Roman" w:cs="Times New Roman" w:eastAsia="Times New Roman" w:hAnsi="Times New Roman"/>
          <w:b/>
          <w:bCs/>
          <w:color w:val="000000"/>
          <w:sz w:val="28"/>
          <w:szCs w:val="28"/>
        </w:rPr>
        <w:t xml:space="preserve">8. Limitaciones y sesgos reconocidos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Constructo — carga de un solo usuario: </w:t>
      </w:r>
      <w:r>
        <w:rPr>
          <w:rFonts w:ascii="Times New Roman" w:cs="Times New Roman" w:eastAsia="Times New Roman" w:hAnsi="Times New Roman"/>
          <w:b w:val="false"/>
          <w:bCs w:val="false"/>
          <w:i w:val="false"/>
          <w:iCs w:val="false"/>
          <w:sz w:val="24"/>
          <w:szCs w:val="24"/>
        </w:rPr>
        <w:t xml:space="preserve">todos los usuarios virtuales se autentican con la misma cuenta sintética; los patrones de consulta y caché no representan a miles de usuarios distintos. El límite de tasa por usuario se elevó por configuración documentada durante las corridas.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Validez interna — ruido de plataforma: </w:t>
      </w:r>
      <w:r>
        <w:rPr>
          <w:rFonts w:ascii="Times New Roman" w:cs="Times New Roman" w:eastAsia="Times New Roman" w:hAnsi="Times New Roman"/>
          <w:b w:val="false"/>
          <w:bCs w:val="false"/>
          <w:i w:val="false"/>
          <w:iCs w:val="false"/>
          <w:sz w:val="24"/>
          <w:szCs w:val="24"/>
        </w:rPr>
        <w:t xml:space="preserve">en capa gratuita los recursos se comparten con inquilinos desconocidos ("vecinos ruidosos"). Se mitiga con tres réplicas por nivel en ventanas horarias similares y reportando dispersión; aun así, corridas en ventanas distintas pueden diferir (el nivel 100 reportó P95 de 404 ms en el piloto y 826 ms en la matriz).</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Validez interna — variabilidad del hardware gratuito: </w:t>
      </w:r>
      <w:r>
        <w:rPr>
          <w:rFonts w:ascii="Times New Roman" w:cs="Times New Roman" w:eastAsia="Times New Roman" w:hAnsi="Times New Roman"/>
          <w:b w:val="false"/>
          <w:bCs w:val="false"/>
          <w:i w:val="false"/>
          <w:iCs w:val="false"/>
          <w:sz w:val="24"/>
          <w:szCs w:val="24"/>
        </w:rPr>
        <w:t xml:space="preserve">el proveedor no garantiza homogeneidad de hardware entre instancias ni entre despliegues; el re-despliegue en cuentas nuevas (§7.3) se documenta como amenaza y se controla re-ejecutando la matriz completa en un único despliegue.</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Validez externa — generalización: </w:t>
      </w:r>
      <w:r>
        <w:rPr>
          <w:rFonts w:ascii="Times New Roman" w:cs="Times New Roman" w:eastAsia="Times New Roman" w:hAnsi="Times New Roman"/>
          <w:b w:val="false"/>
          <w:bCs w:val="false"/>
          <w:i w:val="false"/>
          <w:iCs w:val="false"/>
          <w:sz w:val="24"/>
          <w:szCs w:val="24"/>
        </w:rPr>
        <w:t xml:space="preserve">es un estudio de caso de un sistema (Go + Render + Supabase); los hallazgos informan sobre esta clase de arquitectura, no sobre cualquier PaaS gratuita. La replicabilidad se apoya en el artefacto publicado (código, arnés y datos crudos).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Instrumento — inyector único: </w:t>
      </w:r>
      <w:r>
        <w:rPr>
          <w:rFonts w:ascii="Times New Roman" w:cs="Times New Roman" w:eastAsia="Times New Roman" w:hAnsi="Times New Roman"/>
          <w:b w:val="false"/>
          <w:bCs w:val="false"/>
          <w:i w:val="false"/>
          <w:iCs w:val="false"/>
          <w:sz w:val="24"/>
          <w:szCs w:val="24"/>
        </w:rPr>
        <w:t xml:space="preserve">k6 se ejecuta desde una sola máquina y red; su ancho de banda podría ser cuello de botella en los niveles altos. Se registrará el consumo de red del inyector en el nivel de 5 000 VUs.</w:t>
      </w:r>
    </w:p>
    <w:p>
      <w:pPr>
        <w:pStyle w:val="Heading1"/>
        <w:spacing w:after="140" w:before="280"/>
      </w:pPr>
      <w:r>
        <w:rPr>
          <w:rFonts w:ascii="Times New Roman" w:cs="Times New Roman" w:eastAsia="Times New Roman" w:hAnsi="Times New Roman"/>
          <w:b/>
          <w:bCs/>
          <w:color w:val="000000"/>
          <w:sz w:val="28"/>
          <w:szCs w:val="28"/>
        </w:rPr>
        <w:t xml:space="preserve">9. Referencias</w:t>
      </w:r>
    </w:p>
    <w:p>
      <w:pPr>
        <w:spacing w:after="120" w:line="276" w:lineRule="auto"/>
        <w:ind w:left="720" w:hanging="720"/>
      </w:pPr>
      <w:r>
        <w:rPr>
          <w:rFonts w:ascii="Times New Roman" w:cs="Times New Roman" w:eastAsia="Times New Roman" w:hAnsi="Times New Roman"/>
          <w:sz w:val="24"/>
          <w:szCs w:val="24"/>
        </w:rPr>
        <w:t xml:space="preserve">ACM/IEEE-CS Joint Task Force on Software Engineering Ethics. (1999). Software Engineering Code of Ethics and Professional Practice (versión 5.2). https://ethics.acm.org/code-of-ethics/software-engineering-code/</w:t>
      </w:r>
    </w:p>
    <w:p>
      <w:pPr>
        <w:spacing w:after="120" w:line="276" w:lineRule="auto"/>
        <w:ind w:left="720" w:hanging="720"/>
      </w:pPr>
      <w:r>
        <w:rPr>
          <w:rFonts w:ascii="Times New Roman" w:cs="Times New Roman" w:eastAsia="Times New Roman" w:hAnsi="Times New Roman"/>
          <w:sz w:val="24"/>
          <w:szCs w:val="24"/>
        </w:rPr>
        <w:t xml:space="preserve">Blinowski, G., Ojdowska, A., &amp; Przybyłek, A. (2022). Monolithic vs. microservice architecture: A performance and scalability evaluation. IEEE Access, 10, 20357–20374. https://doi.org/10.1109/ACCESS.2022.3152803</w:t>
      </w:r>
    </w:p>
    <w:p>
      <w:pPr>
        <w:spacing w:after="120" w:line="276" w:lineRule="auto"/>
        <w:ind w:left="720" w:hanging="720"/>
      </w:pPr>
      <w:r>
        <w:rPr>
          <w:rFonts w:ascii="Times New Roman" w:cs="Times New Roman" w:eastAsia="Times New Roman" w:hAnsi="Times New Roman"/>
          <w:sz w:val="24"/>
          <w:szCs w:val="24"/>
        </w:rPr>
        <w:t xml:space="preserve">Cámara de Diputados del H. Congreso de la Unión. (2025). Ley Federal de Protección de Datos Personales en Posesión de los Particulares. Diario Oficial de la Federación, 20 de marzo de 2025.</w:t>
      </w:r>
    </w:p>
    <w:p>
      <w:pPr>
        <w:spacing w:after="120" w:line="276" w:lineRule="auto"/>
        <w:ind w:left="720" w:hanging="720"/>
      </w:pPr>
      <w:r>
        <w:rPr>
          <w:rFonts w:ascii="Times New Roman" w:cs="Times New Roman" w:eastAsia="Times New Roman" w:hAnsi="Times New Roman"/>
          <w:sz w:val="24"/>
          <w:szCs w:val="24"/>
        </w:rPr>
        <w:t xml:space="preserve">Fernando, L., &amp; Engel, M. M. (2025). Comparative performance benchmarking of WebSocket libraries on Node.js and Golang. Sinkron: Jurnal dan Penelitian Teknik Informatika, 9(4), 2051–2060. https://doi.org/10.33395/sinkron.v9i4.15266</w:t>
      </w:r>
    </w:p>
    <w:p>
      <w:pPr>
        <w:spacing w:after="120" w:line="276" w:lineRule="auto"/>
        <w:ind w:left="720" w:hanging="720"/>
      </w:pPr>
      <w:r>
        <w:rPr>
          <w:rFonts w:ascii="Times New Roman" w:cs="Times New Roman" w:eastAsia="Times New Roman" w:hAnsi="Times New Roman"/>
          <w:sz w:val="24"/>
          <w:szCs w:val="24"/>
        </w:rPr>
        <w:t xml:space="preserve">Grafana Labs. (2026). k6 documentation. https://grafana.com/docs/k6/</w:t>
      </w:r>
    </w:p>
    <w:p>
      <w:pPr>
        <w:spacing w:after="120" w:line="276" w:lineRule="auto"/>
        <w:ind w:left="720" w:hanging="720"/>
      </w:pPr>
      <w:r>
        <w:rPr>
          <w:rFonts w:ascii="Times New Roman" w:cs="Times New Roman" w:eastAsia="Times New Roman" w:hAnsi="Times New Roman"/>
          <w:sz w:val="24"/>
          <w:szCs w:val="24"/>
        </w:rPr>
        <w:t xml:space="preserve">Hernández-Sampieri, R., &amp; Mendoza Torres, C. P. (2023). Metodología de la investigación: Las rutas cuantitativa, cualitativa y mixta (2.ª ed.). McGraw-Hill.</w:t>
      </w:r>
    </w:p>
    <w:p>
      <w:pPr>
        <w:spacing w:after="120" w:line="276" w:lineRule="auto"/>
        <w:ind w:left="720" w:hanging="720"/>
      </w:pPr>
      <w:r>
        <w:rPr>
          <w:rFonts w:ascii="Times New Roman" w:cs="Times New Roman" w:eastAsia="Times New Roman" w:hAnsi="Times New Roman"/>
          <w:sz w:val="24"/>
          <w:szCs w:val="24"/>
        </w:rPr>
        <w:t xml:space="preserve">International Organization for Standardization. (2022). ISO/IEC 27001:2022 — Information security, cybersecurity and privacy protection: Information security management systems — Requirements.</w:t>
      </w:r>
    </w:p>
    <w:p>
      <w:pPr>
        <w:spacing w:after="120" w:line="276" w:lineRule="auto"/>
        <w:ind w:left="720" w:hanging="720"/>
      </w:pPr>
      <w:r>
        <w:rPr>
          <w:rFonts w:ascii="Times New Roman" w:cs="Times New Roman" w:eastAsia="Times New Roman" w:hAnsi="Times New Roman"/>
          <w:sz w:val="24"/>
          <w:szCs w:val="24"/>
        </w:rPr>
        <w:t xml:space="preserve">International Organization for Standardization. (2023). ISO/IEC 25010:2023 — Systems and software engineering: Systems and software Quality Requirements and Evaluation (SQuaRE) — Product quality model.</w:t>
      </w:r>
    </w:p>
    <w:p>
      <w:pPr>
        <w:spacing w:after="120" w:line="276" w:lineRule="auto"/>
        <w:ind w:left="720" w:hanging="720"/>
      </w:pPr>
      <w:r>
        <w:rPr>
          <w:rFonts w:ascii="Times New Roman" w:cs="Times New Roman" w:eastAsia="Times New Roman" w:hAnsi="Times New Roman"/>
          <w:sz w:val="24"/>
          <w:szCs w:val="24"/>
        </w:rPr>
        <w:t xml:space="preserve">International Organization for Standardization, International Electrotechnical Commission, &amp; Institute of Electrical and Electronics Engineers. (2018). ISO/IEC/IEEE 29148:2018 — Systems and software engineering: Life cycle processes — Requirements engineering.</w:t>
      </w:r>
    </w:p>
    <w:p>
      <w:pPr>
        <w:spacing w:after="120" w:line="276" w:lineRule="auto"/>
        <w:ind w:left="720" w:hanging="720"/>
      </w:pPr>
      <w:r>
        <w:rPr>
          <w:rFonts w:ascii="Times New Roman" w:cs="Times New Roman" w:eastAsia="Times New Roman" w:hAnsi="Times New Roman"/>
          <w:sz w:val="24"/>
          <w:szCs w:val="24"/>
        </w:rPr>
        <w:t xml:space="preserve">Lemos, E., Oliveira, R., Rodrigues, J., &amp; Oliveira Neto, R. F. (2025). Deep learning model deployment in multiple cloud providers: An exploratory study using low computing power environments. arXiv. https://arxiv.org/abs/2503.23988</w:t>
      </w:r>
    </w:p>
    <w:p>
      <w:pPr>
        <w:spacing w:after="120" w:line="276" w:lineRule="auto"/>
        <w:ind w:left="720" w:hanging="720"/>
      </w:pPr>
      <w:r>
        <w:rPr>
          <w:rFonts w:ascii="Times New Roman" w:cs="Times New Roman" w:eastAsia="Times New Roman" w:hAnsi="Times New Roman"/>
          <w:sz w:val="24"/>
          <w:szCs w:val="24"/>
        </w:rPr>
        <w:t xml:space="preserve">Newman, S. (2021). Building microservices (2.ª ed.). O’Reilly Media.</w:t>
      </w:r>
    </w:p>
    <w:p>
      <w:pPr>
        <w:spacing w:after="120" w:line="276" w:lineRule="auto"/>
        <w:ind w:left="720" w:hanging="720"/>
      </w:pPr>
      <w:r>
        <w:rPr>
          <w:rFonts w:ascii="Times New Roman" w:cs="Times New Roman" w:eastAsia="Times New Roman" w:hAnsi="Times New Roman"/>
          <w:sz w:val="24"/>
          <w:szCs w:val="24"/>
        </w:rPr>
        <w:t xml:space="preserve">Prometheus Authors. (2026). Prometheus documentation. https://prometheus.io/docs/</w:t>
      </w:r>
    </w:p>
    <w:p>
      <w:pPr>
        <w:spacing w:after="120" w:line="276" w:lineRule="auto"/>
        <w:ind w:left="720" w:hanging="720"/>
      </w:pPr>
      <w:r>
        <w:rPr>
          <w:rFonts w:ascii="Times New Roman" w:cs="Times New Roman" w:eastAsia="Times New Roman" w:hAnsi="Times New Roman"/>
          <w:sz w:val="24"/>
          <w:szCs w:val="24"/>
        </w:rPr>
        <w:t xml:space="preserve">Render. (2026). Free instance types. Render Docs. https://render.com/docs/free</w:t>
      </w:r>
    </w:p>
    <w:p>
      <w:pPr>
        <w:spacing w:after="120" w:line="276" w:lineRule="auto"/>
        <w:ind w:left="720" w:hanging="720"/>
      </w:pPr>
      <w:r>
        <w:rPr>
          <w:rFonts w:ascii="Times New Roman" w:cs="Times New Roman" w:eastAsia="Times New Roman" w:hAnsi="Times New Roman"/>
          <w:sz w:val="24"/>
          <w:szCs w:val="24"/>
        </w:rPr>
        <w:t xml:space="preserve">Render. (2026). Outbound bandwidth. Render Docs. https://render.com/docs/outbound-bandwidth</w:t>
      </w:r>
    </w:p>
    <w:p>
      <w:pPr>
        <w:spacing w:after="120" w:line="276" w:lineRule="auto"/>
        <w:ind w:left="720" w:hanging="720"/>
      </w:pPr>
      <w:r>
        <w:rPr>
          <w:rFonts w:ascii="Times New Roman" w:cs="Times New Roman" w:eastAsia="Times New Roman" w:hAnsi="Times New Roman"/>
          <w:sz w:val="24"/>
          <w:szCs w:val="24"/>
        </w:rPr>
        <w:t xml:space="preserve">Sobri, M., et al. (2022). A study of database connection pool in microservice architecture. JOIV: International Journal on Informatics Visualization. https://joiv.org/index.php/joiv/article/view/1094</w:t>
      </w:r>
    </w:p>
    <w:p>
      <w:pPr>
        <w:spacing w:after="120" w:line="276" w:lineRule="auto"/>
        <w:ind w:left="720" w:hanging="720"/>
      </w:pPr>
      <w:r>
        <w:rPr>
          <w:rFonts w:ascii="Times New Roman" w:cs="Times New Roman" w:eastAsia="Times New Roman" w:hAnsi="Times New Roman"/>
          <w:sz w:val="24"/>
          <w:szCs w:val="24"/>
        </w:rPr>
        <w:t xml:space="preserve">Supabase. (2026). Supabase documentation. https://supabase.com/docs</w:t>
      </w:r>
    </w:p>
    <w:p>
      <w:pPr>
        <w:spacing w:after="120" w:line="276" w:lineRule="auto"/>
        <w:ind w:left="720" w:hanging="720"/>
      </w:pPr>
      <w:r>
        <w:rPr>
          <w:rFonts w:ascii="Times New Roman" w:cs="Times New Roman" w:eastAsia="Times New Roman" w:hAnsi="Times New Roman"/>
          <w:sz w:val="24"/>
          <w:szCs w:val="24"/>
        </w:rPr>
        <w:t xml:space="preserve">The Go Authors. (2026). The Go programming language documentation. https://go.dev/doc/</w:t>
      </w:r>
    </w:p>
    <w:p>
      <w:pPr>
        <w:spacing w:after="120" w:line="276" w:lineRule="auto"/>
        <w:ind w:left="720" w:hanging="720"/>
      </w:pPr>
      <w:r>
        <w:rPr>
          <w:rFonts w:ascii="Times New Roman" w:cs="Times New Roman" w:eastAsia="Times New Roman" w:hAnsi="Times New Roman"/>
          <w:sz w:val="24"/>
          <w:szCs w:val="24"/>
        </w:rPr>
        <w:t xml:space="preserve">World Wide Web Consortium. (2023). Web Content Accessibility Guidelines (WCAG) 2.2. https://www.w3.org/TR/WCAG22/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2026-07-14T02:28:08.582Z</dcterms:created>
  <dcterms:modified xsi:type="dcterms:W3CDTF">2026-07-14T02:28:08.591Z</dcterms:modified>
</cp:coreProperties>
</file>

<file path=docProps/custom.xml><?xml version="1.0" encoding="utf-8"?>
<Properties xmlns="http://schemas.openxmlformats.org/officeDocument/2006/custom-properties" xmlns:vt="http://schemas.openxmlformats.org/officeDocument/2006/docPropsVTypes"/>
</file>