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59" w:before="480" w:after="0"/>
        <w:ind w:hanging="0" w:left="3" w:right="0"/>
        <w:jc w:val="center"/>
        <w:rPr>
          <w:sz w:val="40"/>
          <w:szCs w:val="40"/>
        </w:rPr>
      </w:pPr>
      <w:bookmarkStart w:id="0" w:name="_fmv6pjv99023"/>
      <w:bookmarkEnd w:id="0"/>
      <w:r>
        <w:rPr>
          <w:rFonts w:eastAsia="Arial" w:cs="Arial" w:ascii="Arial" w:hAnsi="Arial"/>
          <w:sz w:val="40"/>
          <w:szCs w:val="40"/>
        </w:rPr>
        <w:t>UNIVERSIDAD TECNOLÓGICA DE DURANGO</w:t>
      </w:r>
    </w:p>
    <w:p>
      <w:pPr>
        <w:pStyle w:val="normal1"/>
        <w:spacing w:lineRule="auto" w:line="259" w:before="0" w:after="12"/>
        <w:ind w:hanging="0" w:left="4024"/>
        <w:jc w:val="left"/>
        <w:rPr>
          <w:sz w:val="40"/>
          <w:szCs w:val="40"/>
        </w:rPr>
      </w:pPr>
      <w:r>
        <w:rPr>
          <w:sz w:val="40"/>
          <w:szCs w:val="40"/>
        </w:rPr>
        <w:drawing>
          <wp:inline distT="0" distB="0" distL="0" distR="0">
            <wp:extent cx="1219200" cy="1219200"/>
            <wp:effectExtent l="0" t="0" r="0" b="0"/>
            <wp:docPr id="1"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
                    <pic:cNvPicPr>
                      <a:picLocks noChangeAspect="1" noChangeArrowheads="1"/>
                    </pic:cNvPicPr>
                  </pic:nvPicPr>
                  <pic:blipFill>
                    <a:blip r:embed="rId2"/>
                    <a:stretch>
                      <a:fillRect/>
                    </a:stretch>
                  </pic:blipFill>
                  <pic:spPr bwMode="auto">
                    <a:xfrm>
                      <a:off x="0" y="0"/>
                      <a:ext cx="1219200" cy="1219200"/>
                    </a:xfrm>
                    <a:prstGeom prst="rect">
                      <a:avLst/>
                    </a:prstGeom>
                  </pic:spPr>
                </pic:pic>
              </a:graphicData>
            </a:graphic>
          </wp:inline>
        </w:drawing>
      </w:r>
    </w:p>
    <w:p>
      <w:pPr>
        <w:pStyle w:val="normal1"/>
        <w:spacing w:lineRule="auto" w:line="249" w:before="0" w:after="349"/>
        <w:ind w:hanging="0" w:left="472" w:right="462"/>
        <w:jc w:val="center"/>
        <w:rPr>
          <w:sz w:val="40"/>
          <w:szCs w:val="40"/>
        </w:rPr>
      </w:pPr>
      <w:r>
        <w:rPr>
          <w:rFonts w:eastAsia="Arial" w:cs="Arial" w:ascii="Arial" w:hAnsi="Arial"/>
          <w:b/>
          <w:bCs/>
          <w:sz w:val="40"/>
          <w:szCs w:val="40"/>
        </w:rPr>
        <w:t>TECNOLOGÍAS DE LA INFORMACIÓN E INNOVACIÓN DIGITAL</w:t>
      </w:r>
    </w:p>
    <w:p>
      <w:pPr>
        <w:pStyle w:val="Heading2"/>
        <w:spacing w:lineRule="auto" w:line="259" w:before="0" w:after="1269"/>
        <w:ind w:hanging="0" w:left="4" w:right="0"/>
        <w:jc w:val="center"/>
        <w:rPr>
          <w:sz w:val="40"/>
          <w:szCs w:val="40"/>
        </w:rPr>
      </w:pPr>
      <w:r>
        <w:rPr>
          <w:rFonts w:eastAsia="Arial" w:cs="Arial" w:ascii="Arial" w:hAnsi="Arial"/>
          <w:b w:val="false"/>
          <w:bCs w:val="false"/>
          <w:sz w:val="40"/>
          <w:szCs w:val="40"/>
        </w:rPr>
        <w:t>PROYECTO INTEGRADOR II</w:t>
      </w:r>
    </w:p>
    <w:p>
      <w:pPr>
        <w:pStyle w:val="normal1"/>
        <w:spacing w:lineRule="auto" w:line="249" w:before="0" w:after="955"/>
        <w:ind w:hanging="0" w:left="472" w:right="461"/>
        <w:jc w:val="center"/>
        <w:rPr>
          <w:b/>
          <w:bCs/>
          <w:i/>
          <w:i/>
          <w:iCs/>
          <w:sz w:val="36"/>
          <w:szCs w:val="36"/>
          <w:u w:val="single"/>
        </w:rPr>
      </w:pPr>
      <w:r>
        <w:rPr>
          <w:rFonts w:eastAsia="Arial" w:cs="Arial" w:ascii="Arial" w:hAnsi="Arial"/>
          <w:b/>
          <w:bCs/>
          <w:i/>
          <w:iCs/>
          <w:sz w:val="36"/>
          <w:szCs w:val="36"/>
          <w:u w:val="single"/>
        </w:rPr>
        <w:t>“</w:t>
      </w:r>
      <w:r>
        <w:rPr>
          <w:rFonts w:eastAsia="Arial" w:cs="Arial" w:ascii="Arial" w:hAnsi="Arial"/>
          <w:b/>
          <w:bCs/>
          <w:i/>
          <w:iCs/>
          <w:sz w:val="36"/>
          <w:szCs w:val="36"/>
          <w:u w:val="single"/>
        </w:rPr>
        <w:t>Evaluación de resiliencia y consumo de recursos en arquitectura de microservicios contenerizados (Docker) vs arquitectura monolítica.”</w:t>
      </w:r>
    </w:p>
    <w:p>
      <w:pPr>
        <w:pStyle w:val="normal1"/>
        <w:spacing w:lineRule="auto" w:line="259" w:before="0" w:after="296"/>
        <w:ind w:hanging="0" w:left="5"/>
        <w:jc w:val="center"/>
        <w:rPr/>
      </w:pPr>
      <w:r>
        <w:rPr>
          <w:rFonts w:eastAsia="Arial" w:cs="Arial" w:ascii="Arial" w:hAnsi="Arial"/>
          <w:sz w:val="28"/>
          <w:szCs w:val="28"/>
        </w:rPr>
        <w:t>POR:</w:t>
      </w:r>
    </w:p>
    <w:p>
      <w:pPr>
        <w:pStyle w:val="normal1"/>
        <w:spacing w:lineRule="auto" w:line="259" w:before="0" w:after="296"/>
        <w:ind w:hanging="0" w:left="5"/>
        <w:jc w:val="center"/>
        <w:rPr>
          <w:b/>
          <w:bCs/>
        </w:rPr>
      </w:pPr>
      <w:r>
        <w:rPr>
          <w:rFonts w:eastAsia="Arial" w:cs="Arial" w:ascii="Arial" w:hAnsi="Arial"/>
          <w:b/>
          <w:bCs/>
          <w:sz w:val="28"/>
          <w:szCs w:val="28"/>
        </w:rPr>
        <w:t>Juan David Casiano Gamiz</w:t>
      </w:r>
    </w:p>
    <w:p>
      <w:pPr>
        <w:pStyle w:val="normal1"/>
        <w:spacing w:lineRule="auto" w:line="259" w:before="0" w:after="296"/>
        <w:ind w:hanging="0" w:left="5"/>
        <w:jc w:val="center"/>
        <w:rPr>
          <w:b/>
          <w:bCs/>
        </w:rPr>
      </w:pPr>
      <w:r>
        <w:rPr>
          <w:rFonts w:eastAsia="Arial" w:cs="Arial" w:ascii="Arial" w:hAnsi="Arial"/>
          <w:b/>
          <w:bCs/>
          <w:sz w:val="28"/>
          <w:szCs w:val="28"/>
        </w:rPr>
        <w:t>Keila Yuridia Cervantes Guerrero</w:t>
      </w:r>
    </w:p>
    <w:p>
      <w:pPr>
        <w:pStyle w:val="normal1"/>
        <w:spacing w:lineRule="auto" w:line="249" w:before="0" w:after="307"/>
        <w:ind w:hanging="0" w:left="472" w:right="461"/>
        <w:jc w:val="center"/>
        <w:rPr/>
      </w:pPr>
      <w:r>
        <w:rPr>
          <w:rFonts w:eastAsia="Arial" w:cs="Arial" w:ascii="Arial" w:hAnsi="Arial"/>
          <w:b/>
          <w:bCs/>
          <w:sz w:val="28"/>
          <w:szCs w:val="28"/>
        </w:rPr>
        <w:t>David Israel García Páez</w:t>
      </w:r>
    </w:p>
    <w:p>
      <w:pPr>
        <w:pStyle w:val="normal1"/>
        <w:spacing w:lineRule="auto" w:line="249" w:before="0" w:after="307"/>
        <w:ind w:hanging="0" w:left="472" w:right="461"/>
        <w:jc w:val="center"/>
        <w:rPr/>
      </w:pPr>
      <w:r>
        <w:rPr>
          <w:rFonts w:eastAsia="Arial" w:cs="Arial" w:ascii="Arial" w:hAnsi="Arial"/>
          <w:b/>
          <w:bCs/>
          <w:sz w:val="28"/>
          <w:szCs w:val="28"/>
        </w:rPr>
        <w:t>Irvin Alfonso Solis Flores</w:t>
      </w:r>
    </w:p>
    <w:p>
      <w:pPr>
        <w:pStyle w:val="Normal"/>
        <w:spacing w:before="240" w:after="240"/>
        <w:rPr/>
      </w:pPr>
      <w:r>
        <w:rPr>
          <w:rFonts w:eastAsia="Arial" w:cs="Arial"/>
          <w:b w:val="false"/>
          <w:bCs w:val="false"/>
          <w:sz w:val="28"/>
          <w:szCs w:val="28"/>
        </w:rPr>
        <w:t>Victoria de Durango, Durango. Mayo 2026</w:t>
      </w:r>
    </w:p>
    <w:p>
      <w:pPr>
        <w:pStyle w:val="Normal"/>
        <w:spacing w:before="240" w:after="240"/>
        <w:rPr/>
      </w:pPr>
      <w:r>
        <w:rPr>
          <w:b/>
          <w:sz w:val="32"/>
        </w:rPr>
        <w:t>Actividad 1.5 - Redactar la justificación</w:t>
      </w:r>
    </w:p>
    <w:p>
      <w:pPr>
        <w:pStyle w:val="Normal"/>
        <w:spacing w:before="240" w:after="120"/>
        <w:rPr/>
      </w:pPr>
      <w:r>
        <w:rPr>
          <w:b/>
          <w:sz w:val="26"/>
        </w:rPr>
        <w:t>Justificación del proyecto de investigación</w:t>
      </w:r>
    </w:p>
    <w:p>
      <w:pPr>
        <w:pStyle w:val="Normal"/>
        <w:rPr/>
      </w:pPr>
      <w:r>
        <w:rPr>
          <w:b/>
        </w:rPr>
        <w:t>Sección A. Elementos de la justificación</w:t>
      </w:r>
    </w:p>
    <w:p>
      <w:pPr>
        <w:pStyle w:val="Normal"/>
        <w:rPr/>
      </w:pPr>
      <w:r>
        <w:rPr>
          <w:i/>
        </w:rPr>
        <w:t>Completa los siguientes apartados en 3–5 líneas cada uno (adaptado a la estructura habitual de justificación en metodología general; Riveros &amp; Rosas, 2012).</w:t>
      </w:r>
    </w:p>
    <w:p>
      <w:pPr>
        <w:pStyle w:val="Normal"/>
        <w:rPr/>
      </w:pPr>
      <w:r>
        <w:rPr>
          <w:b/>
        </w:rPr>
        <w:t>Relevancia teórica: ¿qué aporta al conocimiento sobre el tema?</w:t>
        <w:br/>
      </w:r>
      <w:r>
        <w:rPr/>
        <w:t>La investigación aporta datos empíricos y cuantitativos inéditos sobre los límites operativos de una arquitectura hiper-optimizada basada en hilos ligeros (goroutines en Go) en escenarios de hardware críticamente restringidos (512 MB de RAM). Cubre un vacío conceptual en la literatura de optimización de sistemas distribuidos al documentar y modelar matemáticamente la degradación y el costo exacto en Megabytes por cada conexión WebSocket activa bajo un modelo de infraestructura completamente gratuito, sirviendo como marco de referencia para futuros estudios de eficiencia en computación en la nube.</w:t>
      </w:r>
    </w:p>
    <w:p>
      <w:pPr>
        <w:pStyle w:val="Normal"/>
        <w:rPr/>
      </w:pPr>
      <w:r>
        <w:rPr>
          <w:b/>
        </w:rPr>
        <w:t>Relevancia práctica: ¿qué problema concreto podría ayudar a resolver?</w:t>
        <w:br/>
      </w:r>
      <w:r>
        <w:rPr/>
        <w:t>Ayuda a solucionar de manera directa la barrera económica que impide a desarrolladores independientes, estudiantes y startups en etapas tempranas desplegar y validar sus aplicaciones concurrentes en tiempo real. Al delimitar el umbral máximo de saturación del microservicio sin costo, ofrece una guía práctica estructurada para planificar arquitecturas de software que aprovechan el límite de los niveles gratuitos antes de verse forzados a migrar de forma prematura a planes de pago costosos.</w:t>
      </w:r>
    </w:p>
    <w:p>
      <w:pPr>
        <w:pStyle w:val="Normal"/>
        <w:rPr/>
      </w:pPr>
      <w:r>
        <w:rPr>
          <w:b/>
        </w:rPr>
        <w:t>Relevancia social: ¿quiénes se benefician y cómo?</w:t>
        <w:br/>
      </w:r>
      <w:r>
        <w:rPr/>
        <w:t>Los beneficiarios directos son las comunidades de estudiantes universitarios y los emprendedores tecnológicos de escasos recursos económicos. El impacto social radica en la democratización del acceso al despliegue de software avanzado; al demostrar que es metodológicamente viable sustituir el capital financiero por optimización e ingeniería técnica profunda, se fomenta la innovación local y el desarrollo de proyectos sociotecnológicos independientes sin depender de financiamiento inicial para servidores.</w:t>
      </w:r>
    </w:p>
    <w:p>
      <w:pPr>
        <w:pStyle w:val="Normal"/>
        <w:rPr/>
      </w:pPr>
      <w:r>
        <w:rPr>
          <w:b/>
        </w:rPr>
        <w:t>Relevancia institucional/tecnológica: ¿cómo se relaciona con la institución, empresa o sector productivo?</w:t>
        <w:br/>
      </w:r>
      <w:r>
        <w:rPr/>
        <w:t>Alineado con el sector productivo del desarrollo de software, este estudio introduce pautas de ingeniería de alto rendimiento basadas en la cultura de la optimización estricta del código frente al vicio industrial de sobredimensionar la infraestructura Cloud Computing. Para el entorno institucional y académico, promueve el desarrollo de competencias críticas de diagnóstico y telemetría avanzada, impulsándolos a utilizar herramientas de inyección automatizada de carga de estándar industrial.</w:t>
      </w:r>
    </w:p>
    <w:p>
      <w:pPr>
        <w:pStyle w:val="Normal"/>
        <w:spacing w:before="240" w:after="120"/>
        <w:rPr/>
      </w:pPr>
      <w:r>
        <w:rPr>
          <w:b/>
        </w:rPr>
        <w:t>Sección B. Síntesis de la justificación</w:t>
      </w:r>
    </w:p>
    <w:p>
      <w:pPr>
        <w:pStyle w:val="Normal"/>
        <w:rPr/>
      </w:pPr>
      <w:r>
        <w:rPr>
          <w:i/>
        </w:rPr>
        <w:t>Redacta un párrafo integrador de 8–12 líneas que combine los puntos anteriores en una justificación continua y coherente.</w:t>
      </w:r>
    </w:p>
    <w:p>
      <w:pPr>
        <w:pStyle w:val="Normal"/>
        <w:ind w:left="360" w:right="360"/>
        <w:rPr/>
      </w:pPr>
      <w:r>
        <w:rPr>
          <w:i/>
        </w:rPr>
        <w:t>El alto costo operativo de las infraestructuras en la nube representa una barrera de entrada crítica que impide el despliegue y validación de proyectos tecnológicos independientes y startups en fases tempranas. Específicamente, las aplicaciones que requieren comunicación bidireccional en tiempo real (WebSockets) consumen grandes cantidades de memoria RAM, agotando rápidamente las cuotas gratuitas de los proveedores. Esta investigación se justifica al proponer una solución arquitectónica que evade dicha barrera económica intercambiando el gasto financiero por un alto grado de conocimiento técnico. Al demostrar que una arquitectura hiper-optimizada y desarrollada en Go permite sostener una alta carga de conexiones concurrentes en la capa gratuita (free-tier) de Railway, el estudio genera un aporte teórico relevante en el campo de la eficiencia de software en entornos restringidos. En términos prácticos y sociales, los resultados establecerán una línea base comprobada para que equipos de ingeniería sin financiamiento puedan lanzar productos escalables y resilientes al mercado, reduciendo sus costos de infraestructura a cero durante las fases más críticas de su modelo de negocio.</w:t>
      </w:r>
    </w:p>
    <w:p>
      <w:pPr>
        <w:pStyle w:val="Normal"/>
        <w:spacing w:before="240" w:after="120"/>
        <w:rPr/>
      </w:pPr>
      <w:r>
        <w:rPr>
          <w:b/>
        </w:rPr>
        <w:t>Sección C. Coherencia con el resto del proyecto</w:t>
      </w:r>
    </w:p>
    <w:p>
      <w:pPr>
        <w:pStyle w:val="Normal"/>
        <w:rPr/>
      </w:pPr>
      <w:r>
        <w:rPr>
          <w:i/>
        </w:rPr>
        <w:t>Responde:</w:t>
      </w:r>
    </w:p>
    <w:p>
      <w:pPr>
        <w:pStyle w:val="Normal"/>
        <w:rPr/>
      </w:pPr>
      <w:r>
        <w:rPr>
          <w:b/>
        </w:rPr>
        <w:t>¿La justificación está alineada con el problema, la pregunta y los objetivos? Explica.</w:t>
        <w:br/>
      </w:r>
      <w:r>
        <w:rPr/>
        <w:t>Sí, la alineación es absoluta y directa. El problema de investigación plantea que el costo de la nube frena los despliegues de apps en tiempo real; la pregunta busca identificar la capacidad límite bajo recursos gratuitos; y los objetivos específicos configuran la inyección de estrés para medir dicho comportamiento. Esta justificación cierra el ciclo de forma coherente al fundamentar por qué es valioso para el ecosistema tecnológico obtener esas métricas exactas, validando la tesis de que la destreza técnica puede sustituir la necesidad de un capital económico inicial en la nube.</w:t>
      </w:r>
    </w:p>
    <w:p>
      <w:pPr>
        <w:pStyle w:val="Normal"/>
        <w:widowControl/>
        <w:bidi w:val="0"/>
        <w:spacing w:lineRule="auto" w:line="276" w:before="0" w:after="120"/>
        <w:jc w:val="left"/>
        <w:rPr/>
      </w:pPr>
      <w:r>
        <w:rPr>
          <w:b/>
        </w:rPr>
        <w:t>¿Menciona claramente por qué vale la pena invertir tiempo y recursos en este proyecto de investigación?</w:t>
        <w:br/>
      </w:r>
      <w:r>
        <w:rPr/>
        <w:t>Sí, plenamente. La inversión de tiempo en este proyecto se fundamenta en el retorno de conocimiento técnico que mitigará pérdidas financieras y fallas de despliegue en proyectos reales. Aprender a diagnosticar de manera exacta el punto de colapso (OOM Kill / Throttling) mediante pruebas automatizadas dota al equipo de habilidades de ingeniería de software de alta fidelidad y demanda, demostrando empíricamente que optimizar el código ahorra miles de dólares en servidores Cloud Computing.</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normal1">
    <w:name w:val="normal1"/>
    <w:qFormat/>
    <w:pPr>
      <w:widowControl w:val="false"/>
      <w:bidi w:val="0"/>
      <w:spacing w:lineRule="auto" w:line="48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3</Pages>
  <Words>816</Words>
  <Characters>4948</Characters>
  <CharactersWithSpaces>5737</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es-MX</dc:language>
  <cp:lastModifiedBy/>
  <dcterms:modified xsi:type="dcterms:W3CDTF">2026-05-28T21:39:39Z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