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98781"/>
          <w:sz w:val="18"/>
          <w:szCs w:val="18"/>
        </w:rPr>
        <w:t xml:space="preserve">PROYECTO DYDI · UTD · INTEGRADORA 2026</w:t>
      </w:r>
    </w:p>
    <w:p>
      <w:pPr>
        <w:spacing w:after="120"/>
      </w:pPr>
      <w:r>
        <w:rPr>
          <w:b/>
          <w:bCs/>
          <w:color w:val="0B0B0B"/>
          <w:sz w:val="36"/>
          <w:szCs w:val="36"/>
        </w:rPr>
        <w:t xml:space="preserve">Actividad 3.3 — Aplicación del instrumento y recolección de datos</w:t>
      </w:r>
    </w:p>
    <w:p>
      <w:pPr>
        <w:spacing w:after="40"/>
      </w:pPr>
      <w:r>
        <w:rPr>
          <w:color w:val="52514E"/>
          <w:sz w:val="20"/>
          <w:szCs w:val="20"/>
        </w:rPr>
        <w:t xml:space="preserve">Fecha de entrega: 17 de julio de 2026 · Modalidad: equipo</w:t>
      </w:r>
    </w:p>
    <w:p>
      <w:pPr>
        <w:spacing w:after="280"/>
      </w:pPr>
      <w:r>
        <w:rPr>
          <w:color w:val="52514E"/>
          <w:sz w:val="20"/>
          <w:szCs w:val="20"/>
        </w:rPr>
        <w:t xml:space="preserve">Instrumento: inyector de carga k6 + telemetría embebida (obs.go) + orquestador reproducible, aplicados sobre el despliegue real de Dydi en la capa gratuita de Render (protocolo metodológico v2).</w:t>
      </w:r>
    </w:p>
    <w:p>
      <w:pPr>
        <w:spacing w:after="140" w:before="0"/>
      </w:pPr>
      <w:r>
        <w:rPr>
          <w:color w:val="262626"/>
          <w:sz w:val="22"/>
          <w:szCs w:val="22"/>
        </w:rPr>
        <w:t xml:space="preserve">Este documento reporta la aplicación del instrumento de recolección definido en la Actividad 3.2: el plan de aplicación y su cumplimiento, la bitácora de recolección con todas las incidencias y decisiones, la verificación del registro en el momento, el alcance logrado y el cumplimiento ético. Los datos brutos acompañan como artefactos versionados por corrida.</w:t>
      </w:r>
    </w:p>
    <w:p>
      <w:pPr>
        <w:pStyle w:val="Heading1"/>
        <w:spacing w:after="160" w:before="320"/>
      </w:pPr>
      <w:r>
        <w:rPr>
          <w:b/>
          <w:bCs/>
          <w:color w:val="0B0B0B"/>
          <w:sz w:val="28"/>
          <w:szCs w:val="28"/>
        </w:rPr>
        <w:t xml:space="preserve">1. Plan de aplicación y su cumplimiento</w:t>
      </w:r>
    </w:p>
    <w:p>
      <w:pPr>
        <w:spacing w:after="140"/>
      </w:pPr>
      <w:r>
        <w:rPr>
          <w:b/>
          <w:bCs/>
          <w:color w:val="262626"/>
          <w:sz w:val="22"/>
          <w:szCs w:val="22"/>
        </w:rPr>
        <w:t xml:space="preserve">¿Sobre qué se aplica? </w:t>
      </w:r>
      <w:r>
        <w:rPr>
          <w:color w:val="262626"/>
          <w:sz w:val="22"/>
          <w:szCs w:val="22"/>
        </w:rPr>
        <w:t xml:space="preserve">Sobre el despliegue real del sistema (no un ambiente sintético): cuatro microservicios en Go repartidos en cuatro cuentas de la capa gratuita de Render, con base de datos y autenticación en Supabase. No hay sujetos humanos: la unidad muestreada es la transacción (petición HTTP o conexión WebSocket) generada sintéticamente por el inyector.</w:t>
      </w:r>
    </w:p>
    <w:p>
      <w:pPr>
        <w:spacing w:after="140"/>
      </w:pPr>
      <w:r>
        <w:rPr>
          <w:b/>
          <w:bCs/>
          <w:color w:val="262626"/>
          <w:sz w:val="22"/>
          <w:szCs w:val="22"/>
        </w:rPr>
        <w:t xml:space="preserve">¿Con qué y por qué canal? </w:t>
      </w:r>
      <w:r>
        <w:rPr>
          <w:color w:val="262626"/>
          <w:sz w:val="22"/>
          <w:szCs w:val="22"/>
        </w:rPr>
        <w:t xml:space="preserve">Inyección con k6 (dos escenarios simultáneos: tráfico HTTP constante y rampa de WebSockets hasta el pico configurado, repartida en 1 000 grupos sembrados) desde una máquina del equipo contra las URLs públicas de producción. En paralelo, un scraper muestrea el endpoint /metrics de los cuatro servicios cada 5 segundos y serializa la telemetría del servidor a CSV. Un orquestador (run_experiment.sh) ejecuta cada corrida de forma reproducible y deja cuatro artefactos: metadata.json (parámetros y commit del código medido), summary.json (agregados de k6), metrics.csv (serie de tiempo del servidor) y la salida íntegra del inyector.</w:t>
      </w:r>
    </w:p>
    <w:p>
      <w:pPr>
        <w:spacing w:after="140"/>
      </w:pPr>
      <w:r>
        <w:rPr>
          <w:b/>
          <w:bCs/>
          <w:color w:val="262626"/>
          <w:sz w:val="22"/>
          <w:szCs w:val="22"/>
        </w:rPr>
        <w:t xml:space="preserve">¿Cuándo? </w:t>
      </w:r>
      <w:r>
        <w:rPr>
          <w:color w:val="262626"/>
          <w:sz w:val="22"/>
          <w:szCs w:val="22"/>
        </w:rPr>
        <w:t xml:space="preserve">En ventanas nocturnas (02:00–04:00 UTC) para minimizar el tráfico orgánico incidental, con el cron de keep-alive pausado durante las corridas y los servicios despertados previamente (el arranque en frío de ~11 s contaminaría la primera rampa).</w:t>
      </w:r>
    </w:p>
    <w:p>
      <w:pPr>
        <w:spacing w:after="140"/>
      </w:pPr>
      <w:r>
        <w:rPr>
          <w:b/>
          <w:bCs/>
          <w:color w:val="262626"/>
          <w:sz w:val="22"/>
          <w:szCs w:val="22"/>
        </w:rPr>
        <w:t xml:space="preserve">¿Cuántos casos como mínimo? </w:t>
      </w:r>
      <w:r>
        <w:rPr>
          <w:color w:val="262626"/>
          <w:sz w:val="22"/>
          <w:szCs w:val="22"/>
        </w:rPr>
        <w:t xml:space="preserve">La matriz planeada: 4 niveles de carga (100, 1 000, 2 500 y 5 000 usuarios virtuales) × 3 repeticiones por nivel, precedida de un piloto de validación del instrumento. Tres repeticiones por nivel es el mínimo definido para poder reportar dispersión y no corridas únicas (en capa gratuita hay “vecinos ruidosos”).</w:t>
      </w:r>
    </w:p>
    <w:p>
      <w:pPr>
        <w:spacing w:after="140"/>
      </w:pPr>
      <w:r>
        <w:rPr>
          <w:b/>
          <w:bCs/>
          <w:color w:val="262626"/>
          <w:sz w:val="22"/>
          <w:szCs w:val="22"/>
        </w:rPr>
        <w:t xml:space="preserve">Responsables. </w:t>
      </w:r>
      <w:r>
        <w:rPr>
          <w:color w:val="262626"/>
          <w:sz w:val="22"/>
          <w:szCs w:val="22"/>
        </w:rPr>
        <w:t xml:space="preserve">Preparación y despliegues: Solis Flores Irvin · Ejecución de las corridas: García Páez David · Consolidación de artefactos y telemetría: Cervantes Guerrero Keila · Análisis: equipo completo.</w:t>
      </w:r>
    </w:p>
    <w:p>
      <w:pPr>
        <w:spacing w:after="140"/>
      </w:pPr>
      <w:r>
        <w:rPr>
          <w:b/>
          <w:bCs/>
          <w:color w:val="262626"/>
          <w:sz w:val="22"/>
          <w:szCs w:val="22"/>
        </w:rPr>
        <w:t xml:space="preserve">Cumplimiento. </w:t>
      </w:r>
      <w:r>
        <w:rPr>
          <w:color w:val="262626"/>
          <w:sz w:val="22"/>
          <w:szCs w:val="22"/>
        </w:rPr>
        <w:t xml:space="preserve">Se ejecutaron completos los niveles 100 y 1 000 (6/6 corridas válidas, mismas ventanas horarias y mismo commit), más 2 corridas piloto y 3 corridas de re-validación posteriores. Los niveles 2 500 y 5 000 no se ejecutaron: las restricciones operativas de la propia capa gratuita (cuota de egreso, pausa de la capa de datos, créditos de ráfaga; véase la bitácora) agotaron la ventana experimental. El ajuste quedó razonado y documentado: el punto de quiebre del sistema apareció ya en el segundo nivel (1 000 VUs), por lo que el dataset recolectado es suficiente para responder la pregunta de investigación; los niveles superiores habrían caracterizado el comportamiento posterior al quiebre y se declaran como trabajo futuro.</w:t>
      </w:r>
    </w:p>
    <w:p>
      <w:pPr>
        <w:pStyle w:val="Heading1"/>
        <w:spacing w:after="160" w:before="320"/>
      </w:pPr>
      <w:r>
        <w:rPr>
          <w:b/>
          <w:bCs/>
          <w:color w:val="0B0B0B"/>
          <w:sz w:val="28"/>
          <w:szCs w:val="28"/>
        </w:rPr>
        <w:t xml:space="preserve">2. Bitácora de recolección</w:t>
      </w:r>
    </w:p>
    <w:p>
      <w:pPr>
        <w:spacing w:after="140" w:before="0"/>
      </w:pPr>
      <w:r>
        <w:rPr>
          <w:color w:val="262626"/>
          <w:sz w:val="22"/>
          <w:szCs w:val="22"/>
        </w:rPr>
        <w:t xml:space="preserve">Registro cronológico completo (fechas en UTC). La bitácora operativa original (matriz.log) y los artefactos por corrida están versionados en el repositorio (load-tests/results/).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950"/>
        <w:gridCol w:w="2160"/>
        <w:gridCol w:w="3800"/>
      </w:tblGrid>
      <w:tr>
        <w:trPr>
          <w:tblHeader/>
        </w:trPr>
        <w:tc>
          <w:tcPr>
            <w:tcW w:type="dxa" w:w="145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Fecha (UTC)</w:t>
            </w:r>
          </w:p>
        </w:tc>
        <w:tc>
          <w:tcPr>
            <w:tcW w:type="dxa" w:w="195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Evento / corrida</w:t>
            </w:r>
          </w:p>
        </w:tc>
        <w:tc>
          <w:tcPr>
            <w:tcW w:type="dxa" w:w="216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Resultado</w:t>
            </w:r>
          </w:p>
        </w:tc>
        <w:tc>
          <w:tcPr>
            <w:tcW w:type="dxa" w:w="380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Incidencia · decisión</w:t>
            </w:r>
          </w:p>
        </w:tc>
      </w:tr>
      <w:tr>
        <w:tc>
          <w:tcPr>
            <w:tcW w:type="dxa" w:w="14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2026-07-03 01:20</w:t>
            </w:r>
          </w:p>
        </w:tc>
        <w:tc>
          <w:tcPr>
            <w:tcW w:type="dxa" w:w="19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Piloto 1 — 100 VUs</w:t>
            </w:r>
          </w:p>
        </w:tc>
        <w:tc>
          <w:tcPr>
            <w:tcW w:type="dxa" w:w="21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88.3 % de fallos HTTP; 93.7 % de caídas WS</w:t>
            </w:r>
          </w:p>
        </w:tc>
        <w:tc>
          <w:tcPr>
            <w:tcW w:type="dxa" w:w="38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Anomalía detectada al cruzar k6 con la telemetría (el servidor estaba ocioso): el limitador de tasa por usuario del gateway estrangulaba a todos los VUs, que comparten cuenta. Se corrige el instrumento: límites configurables por variable de entorno, elevados solo durante corridas.</w:t>
            </w:r>
          </w:p>
        </w:tc>
      </w:tr>
      <w:tr>
        <w:tc>
          <w:tcPr>
            <w:tcW w:type="dxa" w:w="14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2026-07-03 01:50</w:t>
            </w:r>
          </w:p>
        </w:tc>
        <w:tc>
          <w:tcPr>
            <w:tcW w:type="dxa" w:w="19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Piloto 2 — 100 VUs</w:t>
            </w:r>
          </w:p>
        </w:tc>
        <w:tc>
          <w:tcPr>
            <w:tcW w:type="dxa" w:w="21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0 % de fallos HTTP y WS; P95 404 ms</w:t>
            </w:r>
          </w:p>
        </w:tc>
        <w:tc>
          <w:tcPr>
            <w:tcW w:type="dxa" w:w="38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Instrumento validado; queda como línea base.</w:t>
            </w:r>
          </w:p>
        </w:tc>
      </w:tr>
      <w:tr>
        <w:tc>
          <w:tcPr>
            <w:tcW w:type="dxa" w:w="14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2026-07-05 02:08–02:57</w:t>
            </w:r>
          </w:p>
        </w:tc>
        <w:tc>
          <w:tcPr>
            <w:tcW w:type="dxa" w:w="19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Sesión 1 — 100 VUs × 3 repeticiones</w:t>
            </w:r>
          </w:p>
        </w:tc>
        <w:tc>
          <w:tcPr>
            <w:tcW w:type="dxa" w:w="21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P95 790–847 ms; caídas WS 0–1.92 %</w:t>
            </w:r>
          </w:p>
        </w:tc>
        <w:tc>
          <w:tcPr>
            <w:tcW w:type="dxa" w:w="38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Sin incidencias; 3/3 corridas válidas, sin huecos de scrape.</w:t>
            </w:r>
          </w:p>
        </w:tc>
      </w:tr>
      <w:tr>
        <w:tc>
          <w:tcPr>
            <w:tcW w:type="dxa" w:w="14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2026-07-05 03:07–03:56</w:t>
            </w:r>
          </w:p>
        </w:tc>
        <w:tc>
          <w:tcPr>
            <w:tcW w:type="dxa" w:w="19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Sesión 1 — 1 000 VUs × 3 repeticiones</w:t>
            </w:r>
          </w:p>
        </w:tc>
        <w:tc>
          <w:tcPr>
            <w:tcW w:type="dxa" w:w="21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P95 955–1 138 ms; caídas WS 23.59–24.16 %</w:t>
            </w:r>
          </w:p>
        </w:tc>
        <w:tc>
          <w:tcPr>
            <w:tcW w:type="dxa" w:w="38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Umbral de QoS cruzado de forma consistente: es el hallazgo buscado (punto de quiebre), no un fallo de recolección. 3/3 válidas.</w:t>
            </w:r>
          </w:p>
        </w:tc>
      </w:tr>
      <w:tr>
        <w:tc>
          <w:tcPr>
            <w:tcW w:type="dxa" w:w="14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2026-07-05 (post-sesión)</w:t>
            </w:r>
          </w:p>
        </w:tc>
        <w:tc>
          <w:tcPr>
            <w:tcW w:type="dxa" w:w="19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Suspensión por cuota de egreso</w:t>
            </w:r>
          </w:p>
        </w:tc>
        <w:tc>
          <w:tcPr>
            <w:tcW w:type="dxa" w:w="21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~17.8 GB movidos en la sesión (~3 GB por corrida)</w:t>
            </w:r>
          </w:p>
        </w:tc>
        <w:tc>
          <w:tcPr>
            <w:tcW w:type="dxa" w:w="38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Render suspende las cuentas de gateway y groups por exceder los 5 GB/mes. Mitigación medida: compresión gzip en respuestas (−89.6 % de bytes en el cable); el experimento queda pausado mientras tanto.</w:t>
            </w:r>
          </w:p>
        </w:tc>
      </w:tr>
      <w:tr>
        <w:tc>
          <w:tcPr>
            <w:tcW w:type="dxa" w:w="14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2026-07-13</w:t>
            </w:r>
          </w:p>
        </w:tc>
        <w:tc>
          <w:tcPr>
            <w:tcW w:type="dxa" w:w="19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Preparación de la Sesión 2</w:t>
            </w:r>
          </w:p>
        </w:tc>
        <w:tc>
          <w:tcPr>
            <w:tcW w:type="dxa" w:w="21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Proyecto Supabase pausado tras 8 días de inactividad</w:t>
            </w:r>
          </w:p>
        </w:tc>
        <w:tc>
          <w:tcPr>
            <w:tcW w:type="dxa" w:w="38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Todos los servicios con BD fallan en la primera consulta pese a estar sanos (el pool conecta de forma perezosa). Restauración manual en ~2.5 minutos; dependencia silenciosa documentada.</w:t>
            </w:r>
          </w:p>
        </w:tc>
      </w:tr>
      <w:tr>
        <w:tc>
          <w:tcPr>
            <w:tcW w:type="dxa" w:w="14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2026-07-14 01:06</w:t>
            </w:r>
          </w:p>
        </w:tc>
        <w:tc>
          <w:tcPr>
            <w:tcW w:type="dxa" w:w="19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S2 corrida puente 1 — 1 000 VUs</w:t>
            </w:r>
          </w:p>
        </w:tc>
        <w:tc>
          <w:tcPr>
            <w:tcW w:type="dxa" w:w="21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87.2 % de caídas WS; RAM de groups al tope con CPU ociosa</w:t>
            </w:r>
          </w:p>
        </w:tc>
        <w:tc>
          <w:tcPr>
            <w:tcW w:type="dxa" w:w="38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EXCLUIDA (criterio predefinido): el pooler de BD quedó en modo sesión (5432) tras el nuevo despliegue y saturó el pool de groups. Matriz detenida hasta aplicar la corrección.</w:t>
            </w:r>
          </w:p>
        </w:tc>
      </w:tr>
      <w:tr>
        <w:tc>
          <w:tcPr>
            <w:tcW w:type="dxa" w:w="14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2026-07-14 01:36</w:t>
            </w:r>
          </w:p>
        </w:tc>
        <w:tc>
          <w:tcPr>
            <w:tcW w:type="dxa" w:w="19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S2 corrida puente 2 — 1 000 VUs</w:t>
            </w:r>
          </w:p>
        </w:tc>
        <w:tc>
          <w:tcPr>
            <w:tcW w:type="dxa" w:w="21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Sin datos del inyector</w:t>
            </w:r>
          </w:p>
        </w:tc>
        <w:tc>
          <w:tcPr>
            <w:tcW w:type="dxa" w:w="38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EXCLUIDA: error de E/S de Docker en la máquina inyectora; k6 nunca ejecutó. El orquestador v1 la marcó “OK” sin validar artefactos → se corrige a v2, que exige summary.json para dar una corrida por buena.</w:t>
            </w:r>
          </w:p>
        </w:tc>
      </w:tr>
      <w:tr>
        <w:tc>
          <w:tcPr>
            <w:tcW w:type="dxa" w:w="14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2026-07-14 01:55</w:t>
            </w:r>
          </w:p>
        </w:tc>
        <w:tc>
          <w:tcPr>
            <w:tcW w:type="dxa" w:w="19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S2 corrida puente 3 — 1 000 VUs (pooler 6543)</w:t>
            </w:r>
          </w:p>
        </w:tc>
        <w:tc>
          <w:tcPr>
            <w:tcW w:type="dxa" w:w="21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87.9 % de caídas WS; firma de inanición de E/S</w:t>
            </w:r>
          </w:p>
        </w:tc>
        <w:tc>
          <w:tcPr>
            <w:tcW w:type="dxa" w:w="38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EXCLUIDA: el colapso se repite con el otro modo de pooler, lo que lo descarta como causa; el diagnóstico apunta a los créditos de ráfaga agotados de la instancia gratuita de BD (t3a.nano) tras la pausa. Queda como evidencia operativa.</w:t>
            </w:r>
          </w:p>
        </w:tc>
      </w:tr>
      <w:tr>
        <w:tc>
          <w:tcPr>
            <w:tcW w:type="dxa" w:w="14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2026-07-14</w:t>
            </w:r>
          </w:p>
        </w:tc>
        <w:tc>
          <w:tcPr>
            <w:tcW w:type="dxa" w:w="195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Cierre de la recolección</w:t>
            </w:r>
          </w:p>
        </w:tc>
        <w:tc>
          <w:tcPr>
            <w:tcW w:type="dxa" w:w="21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Dataset final: niveles 100 y 1 000 (6 corridas válidas + piloto)</w:t>
            </w:r>
          </w:p>
        </w:tc>
        <w:tc>
          <w:tcPr>
            <w:tcW w:type="dxa" w:w="38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El punto de quiebre quedó localizado en 1 000 VUs; los niveles 2 500/5 000 se declaran trabajo futuro con un plan que administre los créditos de la capa de datos.</w:t>
            </w:r>
          </w:p>
        </w:tc>
      </w:tr>
    </w:tbl>
    <w:p>
      <w:pPr>
        <w:spacing w:after="240" w:before="60"/>
      </w:pPr>
      <w:r>
        <w:rPr>
          <w:color w:val="898781"/>
          <w:sz w:val="18"/>
          <w:szCs w:val="18"/>
        </w:rPr>
        <w:t xml:space="preserve">Tabla 1. Bitácora de recolección. Las exclusiones se decidieron por causa asignable (protocolo v2 §6.2), nunca por el valor de las métricas.</w:t>
      </w:r>
    </w:p>
    <w:p>
      <w:pPr>
        <w:pStyle w:val="Heading1"/>
        <w:spacing w:after="160" w:before="320"/>
      </w:pPr>
      <w:r>
        <w:rPr>
          <w:b/>
          <w:bCs/>
          <w:color w:val="0B0B0B"/>
          <w:sz w:val="28"/>
          <w:szCs w:val="28"/>
        </w:rPr>
        <w:t xml:space="preserve">3. Verificación del registro en el momento</w:t>
      </w:r>
    </w:p>
    <w:p>
      <w:pPr>
        <w:pStyle w:val="ListParagraph"/>
        <w:numPr>
          <w:ilvl w:val="0"/>
          <w:numId w:val="2"/>
        </w:numPr>
        <w:spacing w:after="100"/>
      </w:pPr>
      <w:r>
        <w:rPr>
          <w:b/>
          <w:bCs/>
          <w:color w:val="262626"/>
          <w:sz w:val="22"/>
          <w:szCs w:val="22"/>
        </w:rPr>
        <w:t xml:space="preserve">Cruce inmediato de fuentes. </w:t>
      </w:r>
      <w:r>
        <w:rPr>
          <w:color w:val="262626"/>
          <w:sz w:val="22"/>
          <w:szCs w:val="22"/>
        </w:rPr>
        <w:t xml:space="preserve">Al terminar cada corrida, el orquestador escribe en la bitácora los indicadores clave (P95, errores, caídas WS) calculados desde k6, lo que permitió detectar en el momento tanto el artefacto del piloto 1 como los colapsos de la Sesión 2.</w:t>
      </w:r>
    </w:p>
    <w:p>
      <w:pPr>
        <w:pStyle w:val="ListParagraph"/>
        <w:numPr>
          <w:ilvl w:val="0"/>
          <w:numId w:val="2"/>
        </w:numPr>
        <w:spacing w:after="100"/>
      </w:pPr>
      <w:r>
        <w:rPr>
          <w:b/>
          <w:bCs/>
          <w:color w:val="262626"/>
          <w:sz w:val="22"/>
          <w:szCs w:val="22"/>
        </w:rPr>
        <w:t xml:space="preserve">El hueco también es dato. </w:t>
      </w:r>
      <w:r>
        <w:rPr>
          <w:color w:val="262626"/>
          <w:sz w:val="22"/>
          <w:szCs w:val="22"/>
        </w:rPr>
        <w:t xml:space="preserve">El scraper registra igualmente los scrapes fallidos: si un servicio muriera por falta de memoria, el hueco en la serie sería la evidencia. La Sesión 1 no presenta huecos de telemetría.</w:t>
      </w:r>
    </w:p>
    <w:p>
      <w:pPr>
        <w:pStyle w:val="ListParagraph"/>
        <w:numPr>
          <w:ilvl w:val="0"/>
          <w:numId w:val="2"/>
        </w:numPr>
        <w:spacing w:after="100"/>
      </w:pPr>
      <w:r>
        <w:rPr>
          <w:b/>
          <w:bCs/>
          <w:color w:val="262626"/>
          <w:sz w:val="22"/>
          <w:szCs w:val="22"/>
        </w:rPr>
        <w:t xml:space="preserve">Validación de artefactos. </w:t>
      </w:r>
      <w:r>
        <w:rPr>
          <w:color w:val="262626"/>
          <w:sz w:val="22"/>
          <w:szCs w:val="22"/>
        </w:rPr>
        <w:t xml:space="preserve">La corrida 20260713-193625 expuso un defecto del orquestador v1: reportó “OK” una corrida en la que k6 nunca ejecutó. La versión v2 valida la presencia de los artefactos (summary.json) antes de dar por buena una corrida — una corrección del proceso de recolección surgida de la propia recolección.</w:t>
      </w:r>
    </w:p>
    <w:p>
      <w:pPr>
        <w:pStyle w:val="ListParagraph"/>
        <w:numPr>
          <w:ilvl w:val="0"/>
          <w:numId w:val="2"/>
        </w:numPr>
        <w:spacing w:after="100"/>
      </w:pPr>
      <w:r>
        <w:rPr>
          <w:b/>
          <w:bCs/>
          <w:color w:val="262626"/>
          <w:sz w:val="22"/>
          <w:szCs w:val="22"/>
        </w:rPr>
        <w:t xml:space="preserve">Trazabilidad. </w:t>
      </w:r>
      <w:r>
        <w:rPr>
          <w:color w:val="262626"/>
          <w:sz w:val="22"/>
          <w:szCs w:val="22"/>
        </w:rPr>
        <w:t xml:space="preserve">Cada corrida guarda el commit hash del código medido en metadata.json, de modo que cualquier número del análisis puede rastrearse a la versión exacta del sistema que lo produjo.</w:t>
      </w:r>
    </w:p>
    <w:p>
      <w:pPr>
        <w:pStyle w:val="Heading1"/>
        <w:spacing w:after="160" w:before="320"/>
      </w:pPr>
      <w:r>
        <w:rPr>
          <w:b/>
          <w:bCs/>
          <w:color w:val="0B0B0B"/>
          <w:sz w:val="28"/>
          <w:szCs w:val="28"/>
        </w:rPr>
        <w:t xml:space="preserve">4. Alcance logrado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Indicador</w:t>
            </w:r>
          </w:p>
        </w:tc>
        <w:tc>
          <w:tcPr>
            <w:tcW w:type="dxa" w:w="4360"/>
            <w:tcBorders>
              <w:top w:val="single" w:color="D9D7D0" w:sz="4"/>
              <w:left w:val="single" w:color="D9D7D0" w:sz="4"/>
              <w:bottom w:val="single" w:color="D9D7D0" w:sz="4"/>
              <w:right w:val="single" w:color="D9D7D0" w:sz="4"/>
            </w:tcBorders>
            <w:shd w:fill="EFEDE8" w:val="clear"/>
            <w:tcMar>
              <w:top w:type="dxa" w:w="70"/>
              <w:left w:type="dxa" w:w="100"/>
              <w:bottom w:type="dxa" w:w="70"/>
              <w:right w:type="dxa" w:w="100"/>
            </w:tcMar>
          </w:tcPr>
          <w:p>
            <w:pPr>
              <w:jc w:val="left"/>
            </w:pPr>
            <w:r>
              <w:rPr>
                <w:b/>
                <w:bCs/>
                <w:color w:val="0B0B0B"/>
                <w:sz w:val="19"/>
                <w:szCs w:val="19"/>
              </w:rPr>
              <w:t xml:space="preserve">Valor</w:t>
            </w:r>
          </w:p>
        </w:tc>
      </w:tr>
      <w:tr>
        <w:tc>
          <w:tcPr>
            <w:tcW w:type="dxa" w:w="50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Corridas registradas en el banco</w:t>
            </w:r>
          </w:p>
        </w:tc>
        <w:tc>
          <w:tcPr>
            <w:tcW w:type="dxa" w:w="43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11</w:t>
            </w:r>
          </w:p>
        </w:tc>
      </w:tr>
      <w:tr>
        <w:tc>
          <w:tcPr>
            <w:tcW w:type="dxa" w:w="50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Corridas válidas para análisis</w:t>
            </w:r>
          </w:p>
        </w:tc>
        <w:tc>
          <w:tcPr>
            <w:tcW w:type="dxa" w:w="43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7 (63.6 %): piloto 2 + 6 de matriz</w:t>
            </w:r>
          </w:p>
        </w:tc>
      </w:tr>
      <w:tr>
        <w:tc>
          <w:tcPr>
            <w:tcW w:type="dxa" w:w="50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Matriz Sesión 1 (niveles 100 y 1 000)</w:t>
            </w:r>
          </w:p>
        </w:tc>
        <w:tc>
          <w:tcPr>
            <w:tcW w:type="dxa" w:w="43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6/6 válidas (100 %)</w:t>
            </w:r>
          </w:p>
        </w:tc>
      </w:tr>
      <w:tr>
        <w:tc>
          <w:tcPr>
            <w:tcW w:type="dxa" w:w="50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Niveles no ejecutados</w:t>
            </w:r>
          </w:p>
        </w:tc>
        <w:tc>
          <w:tcPr>
            <w:tcW w:type="dxa" w:w="43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2 500 y 5 000 VUs (ajuste razonado)</w:t>
            </w:r>
          </w:p>
        </w:tc>
      </w:tr>
      <w:tr>
        <w:tc>
          <w:tcPr>
            <w:tcW w:type="dxa" w:w="50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Peticiones HTTP en corridas válidas</w:t>
            </w:r>
          </w:p>
        </w:tc>
        <w:tc>
          <w:tcPr>
            <w:tcW w:type="dxa" w:w="43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151 068</w:t>
            </w:r>
          </w:p>
        </w:tc>
      </w:tr>
      <w:tr>
        <w:tc>
          <w:tcPr>
            <w:tcW w:type="dxa" w:w="50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Sesiones WebSocket en corridas válidas</w:t>
            </w:r>
          </w:p>
        </w:tc>
        <w:tc>
          <w:tcPr>
            <w:tcW w:type="dxa" w:w="43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15 528</w:t>
            </w:r>
          </w:p>
        </w:tc>
      </w:tr>
      <w:tr>
        <w:tc>
          <w:tcPr>
            <w:tcW w:type="dxa" w:w="50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Fallos HTTP en corridas válidas</w:t>
            </w:r>
          </w:p>
        </w:tc>
        <w:tc>
          <w:tcPr>
            <w:tcW w:type="dxa" w:w="43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0 (0.00 %)</w:t>
            </w:r>
          </w:p>
        </w:tc>
      </w:tr>
      <w:tr>
        <w:tc>
          <w:tcPr>
            <w:tcW w:type="dxa" w:w="50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Telemetría del servidor</w:t>
            </w:r>
          </w:p>
        </w:tc>
        <w:tc>
          <w:tcPr>
            <w:tcW w:type="dxa" w:w="43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4 servicios × muestreo cada 5 s, sin huecos en S1</w:t>
            </w:r>
          </w:p>
        </w:tc>
      </w:tr>
      <w:tr>
        <w:tc>
          <w:tcPr>
            <w:tcW w:type="dxa" w:w="500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left"/>
            </w:pPr>
            <w:r>
              <w:rPr>
                <w:b w:val="false"/>
                <w:bCs w:val="false"/>
                <w:color w:val="262626"/>
                <w:sz w:val="19"/>
                <w:szCs w:val="19"/>
              </w:rPr>
              <w:t xml:space="preserve">Egreso movido durante la Sesión 1</w:t>
            </w:r>
          </w:p>
        </w:tc>
        <w:tc>
          <w:tcPr>
            <w:tcW w:type="dxa" w:w="4360"/>
            <w:tcBorders>
              <w:top w:val="single" w:color="D9D7D0" w:sz="4"/>
              <w:left w:val="single" w:color="D9D7D0" w:sz="4"/>
              <w:bottom w:val="single" w:color="D9D7D0" w:sz="4"/>
              <w:right w:val="single" w:color="D9D7D0" w:sz="4"/>
            </w:tcBorders>
            <w:tcMar>
              <w:top w:type="dxa" w:w="70"/>
              <w:left w:type="dxa" w:w="100"/>
              <w:bottom w:type="dxa" w:w="70"/>
              <w:right w:type="dxa" w:w="100"/>
            </w:tcMar>
          </w:tcPr>
          <w:p>
            <w:pPr>
              <w:jc w:val="right"/>
            </w:pPr>
            <w:r>
              <w:rPr>
                <w:b w:val="false"/>
                <w:bCs w:val="false"/>
                <w:color w:val="262626"/>
                <w:sz w:val="19"/>
                <w:szCs w:val="19"/>
              </w:rPr>
              <w:t xml:space="preserve">~17.8 GB (causa de la incidencia de cuota)</w:t>
            </w:r>
          </w:p>
        </w:tc>
      </w:tr>
    </w:tbl>
    <w:p>
      <w:pPr>
        <w:spacing w:after="240" w:before="60"/>
      </w:pPr>
      <w:r>
        <w:rPr>
          <w:color w:val="898781"/>
          <w:sz w:val="18"/>
          <w:szCs w:val="18"/>
        </w:rPr>
        <w:t xml:space="preserve">Tabla 2. Resumen del alcance de la recolección.</w:t>
      </w:r>
    </w:p>
    <w:p>
      <w:pPr>
        <w:spacing w:after="140"/>
      </w:pPr>
      <w:r>
        <w:rPr>
          <w:b/>
          <w:bCs/>
          <w:color w:val="262626"/>
          <w:sz w:val="22"/>
          <w:szCs w:val="22"/>
        </w:rPr>
        <w:t xml:space="preserve">Datos brutos entregados. </w:t>
      </w:r>
      <w:r>
        <w:rPr>
          <w:color w:val="262626"/>
          <w:sz w:val="22"/>
          <w:szCs w:val="22"/>
        </w:rPr>
        <w:t xml:space="preserve">(a) Artefactos completos por corrida (metadata.json, summary.json, metrics.csv, salida de k6) versionados en el repositorio en load-tests/results/, con la bitácora operativa matriz.log; (b) el banco consolidado a nivel corrida, “Actividad 3.4 - Banco de datos (corridas).csv”, construido programáticamente desde esos artefactos (documentado en la Actividad 3.4).</w:t>
      </w:r>
    </w:p>
    <w:p>
      <w:pPr>
        <w:pStyle w:val="Heading1"/>
        <w:spacing w:after="160" w:before="320"/>
      </w:pPr>
      <w:r>
        <w:rPr>
          <w:b/>
          <w:bCs/>
          <w:color w:val="0B0B0B"/>
          <w:sz w:val="28"/>
          <w:szCs w:val="28"/>
        </w:rPr>
        <w:t xml:space="preserve">5. Cumplimiento ético y de permisos</w:t>
      </w:r>
    </w:p>
    <w:p>
      <w:pPr>
        <w:pStyle w:val="ListParagraph"/>
        <w:numPr>
          <w:ilvl w:val="0"/>
          <w:numId w:val="2"/>
        </w:numPr>
        <w:spacing w:after="100"/>
      </w:pPr>
      <w:r>
        <w:rPr>
          <w:b/>
          <w:bCs/>
          <w:color w:val="262626"/>
          <w:sz w:val="22"/>
          <w:szCs w:val="22"/>
        </w:rPr>
        <w:t xml:space="preserve">Sin sujetos humanos ni datos personales. </w:t>
      </w:r>
      <w:r>
        <w:rPr>
          <w:color w:val="262626"/>
          <w:sz w:val="22"/>
          <w:szCs w:val="22"/>
        </w:rPr>
        <w:t xml:space="preserve">La carga es sintética y los datos recolectados son métricas técnicas de infraestructura (latencias, memoria, conteos). El consentimiento informado no aplica; la base sembrada para las pruebas contiene exclusivamente datos sintéticos (1 000 grupos generados y una cuenta de pruebas dedicada), nunca información de usuarios reales.</w:t>
      </w:r>
    </w:p>
    <w:p>
      <w:pPr>
        <w:pStyle w:val="ListParagraph"/>
        <w:numPr>
          <w:ilvl w:val="0"/>
          <w:numId w:val="2"/>
        </w:numPr>
        <w:spacing w:after="100"/>
      </w:pPr>
      <w:r>
        <w:rPr>
          <w:b/>
          <w:bCs/>
          <w:color w:val="262626"/>
          <w:sz w:val="22"/>
          <w:szCs w:val="22"/>
        </w:rPr>
        <w:t xml:space="preserve">Infraestructura propia y autorizada. </w:t>
      </w:r>
      <w:r>
        <w:rPr>
          <w:color w:val="262626"/>
          <w:sz w:val="22"/>
          <w:szCs w:val="22"/>
        </w:rPr>
        <w:t xml:space="preserve">Las pruebas de estrés se dirigen únicamente a servicios del propio equipo, desplegados en cuatro cuentas de Render (una por integrante, cada una dentro de su asignación gratuita) y en el proyecto Supabase del equipo: la cuota y el presupuesto consumidos son propios. No se generó carga contra infraestructura de terceros.</w:t>
      </w:r>
    </w:p>
    <w:p>
      <w:pPr>
        <w:pStyle w:val="ListParagraph"/>
        <w:numPr>
          <w:ilvl w:val="0"/>
          <w:numId w:val="2"/>
        </w:numPr>
        <w:spacing w:after="100"/>
      </w:pPr>
      <w:r>
        <w:rPr>
          <w:b/>
          <w:bCs/>
          <w:color w:val="262626"/>
          <w:sz w:val="22"/>
          <w:szCs w:val="22"/>
        </w:rPr>
        <w:t xml:space="preserve">Protección de credenciales. </w:t>
      </w:r>
      <w:r>
        <w:rPr>
          <w:color w:val="262626"/>
          <w:sz w:val="22"/>
          <w:szCs w:val="22"/>
        </w:rPr>
        <w:t xml:space="preserve">Tokens y secretos (JWT de la cuenta de pruebas, token interno entre servicios, llaves de la BD) viajan por variables de entorno y están excluidos del repositorio; los artefactos publicados con los datos crudos no contienen credenciales.</w:t>
      </w:r>
    </w:p>
    <w:p>
      <w:pPr>
        <w:pStyle w:val="ListParagraph"/>
        <w:numPr>
          <w:ilvl w:val="0"/>
          <w:numId w:val="2"/>
        </w:numPr>
        <w:spacing w:after="100"/>
      </w:pPr>
      <w:r>
        <w:rPr>
          <w:b/>
          <w:bCs/>
          <w:color w:val="262626"/>
          <w:sz w:val="22"/>
          <w:szCs w:val="22"/>
        </w:rPr>
        <w:t xml:space="preserve">Cambios de configuración documentados. </w:t>
      </w:r>
      <w:r>
        <w:rPr>
          <w:color w:val="262626"/>
          <w:sz w:val="22"/>
          <w:szCs w:val="22"/>
        </w:rPr>
        <w:t xml:space="preserve">El único cambio al sistema durante la recolección (elevar el límite de tasa por usuario, causa del artefacto del piloto 1) se hizo por configuración, se documentó con sus valores y los límites de producción se conservan por defecto.</w:t>
      </w:r>
    </w:p>
    <w:p>
      <w:pPr>
        <w:pStyle w:val="ListParagraph"/>
        <w:numPr>
          <w:ilvl w:val="0"/>
          <w:numId w:val="2"/>
        </w:numPr>
        <w:spacing w:after="100"/>
      </w:pPr>
      <w:r>
        <w:rPr>
          <w:b/>
          <w:bCs/>
          <w:color w:val="262626"/>
          <w:sz w:val="22"/>
          <w:szCs w:val="22"/>
        </w:rPr>
        <w:t xml:space="preserve">Transparencia. </w:t>
      </w:r>
      <w:r>
        <w:rPr>
          <w:color w:val="262626"/>
          <w:sz w:val="22"/>
          <w:szCs w:val="22"/>
        </w:rPr>
        <w:t xml:space="preserve">Todas las corridas —incluidas las excluidas— se conservan y publican con su causa de exclusión; ninguna medición se descartó por el valor de sus métricas.</w:t>
      </w:r>
    </w:p>
    <w:p>
      <w:pPr>
        <w:spacing w:after="300"/>
      </w:pPr>
      <w:r>
        <w:rPr>
          <w:b/>
          <w:bCs/>
          <w:color w:val="262626"/>
          <w:sz w:val="22"/>
          <w:szCs w:val="22"/>
        </w:rPr>
        <w:t xml:space="preserve">Continuidad. </w:t>
      </w:r>
      <w:r>
        <w:rPr>
          <w:color w:val="262626"/>
          <w:sz w:val="22"/>
          <w:szCs w:val="22"/>
        </w:rPr>
        <w:t xml:space="preserve">Los datos brutos aquí reportados alimentan el banco, el análisis descriptivo y las visualizaciones de la Actividad 3.4, y con ello las secciones de resultados del informe (Actividad 3.5).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2026-07-17T23:21:49.977Z</dcterms:created>
  <dcterms:modified xsi:type="dcterms:W3CDTF">2026-07-17T23:21:49.978Z</dcterms:modified>
</cp:coreProperties>
</file>

<file path=docProps/custom.xml><?xml version="1.0" encoding="utf-8"?>
<Properties xmlns="http://schemas.openxmlformats.org/officeDocument/2006/custom-properties" xmlns:vt="http://schemas.openxmlformats.org/officeDocument/2006/docPropsVTypes"/>
</file>