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Actividad 4.1. Elaboración del informe final y comunicación visual de hallazgos</w:t>
      </w:r>
    </w:p>
    <w:p>
      <w:pPr>
        <w:pStyle w:val="Subtitle"/>
      </w:pPr>
      <w:r>
        <w:t xml:space="preserve">Proyecto Dydi · Equipo 3 · Universidad Tecnológica de Durango · Integradora 2026</w:t>
      </w:r>
    </w:p>
    <w:p>
      <w:pPr>
        <w:pStyle w:val="Date"/>
      </w:pPr>
      <w:r>
        <w:t xml:space="preserve">28 de julio de 2026</w:t>
      </w:r>
    </w:p>
    <w:p>
      <w:pPr>
        <w:pStyle w:val="FirstParagraph"/>
      </w:pPr>
      <w:r>
        <w:t xml:space="preserve">PROYECTO DYDI · UTD · INTEGRADORA 2026 · Modalidad: equipo · Equipo 3, Resiliencia y</w:t>
      </w:r>
      <w:r>
        <w:t xml:space="preserve"> </w:t>
      </w:r>
      <w:r>
        <w:t xml:space="preserve">consumo de recursos en microservicios.</w:t>
      </w:r>
    </w:p>
    <w:p>
      <w:pPr>
        <w:pStyle w:val="BlockText"/>
      </w:pPr>
      <w:r>
        <w:rPr>
          <w:b/>
          <w:bCs/>
        </w:rPr>
        <w:t xml:space="preserve">Qué entrega esta actividad.</w:t>
      </w:r>
      <w:r>
        <w:t xml:space="preserve"> </w:t>
      </w:r>
      <w:r>
        <w:t xml:space="preserve">Las tres subtareas se completaron en orden y cada</w:t>
      </w:r>
      <w:r>
        <w:t xml:space="preserve"> </w:t>
      </w:r>
      <w:r>
        <w:t xml:space="preserve">una dejó un entregable parcial verificable antes de integrar el informe final:</w:t>
      </w:r>
      <w:r>
        <w:t xml:space="preserve"> </w:t>
      </w:r>
      <w:r>
        <w:t xml:space="preserve">(a) la estructura del informe, el tipo de documento y el reparto de redacción;</w:t>
      </w:r>
      <w:r>
        <w:t xml:space="preserve"> </w:t>
      </w:r>
      <w:r>
        <w:t xml:space="preserve">(b) resultados, discusión y conclusiones redactados, con la declaración de</w:t>
      </w:r>
      <w:r>
        <w:t xml:space="preserve"> </w:t>
      </w:r>
      <w:r>
        <w:t xml:space="preserve">confiabilidad, validez y limitaciones; (c) las visualizaciones seleccionadas, la</w:t>
      </w:r>
      <w:r>
        <w:t xml:space="preserve"> </w:t>
      </w:r>
      <w:r>
        <w:t xml:space="preserve">narrativa que las conecta y el cuadro de mando con jerarquía de indicadores.</w:t>
      </w:r>
      <w:r>
        <w:t xml:space="preserve"> </w:t>
      </w:r>
      <w:r>
        <w:t xml:space="preserve">El informe final integrado es</w:t>
      </w:r>
      <w:r>
        <w:t xml:space="preserve"> </w:t>
      </w:r>
      <w:r>
        <w:rPr>
          <w:rStyle w:val="VerbatimChar"/>
        </w:rPr>
        <w:t xml:space="preserve">Documentos/articulo.md</w:t>
      </w:r>
      <w:r>
        <w:t xml:space="preserve"> </w:t>
      </w:r>
      <w:r>
        <w:t xml:space="preserve">en el repositorio del</w:t>
      </w:r>
      <w:r>
        <w:t xml:space="preserve"> </w:t>
      </w:r>
      <w:r>
        <w:t xml:space="preserve">proyecto.</w:t>
      </w:r>
    </w:p>
    <w:p>
      <w:pPr>
        <w:pStyle w:val="FirstParagraph"/>
      </w:pPr>
      <w:r>
        <w:t xml:space="preserve">Pregunta de investigación: ¿puede una arquitectura de microservicios fragmentada en</w:t>
      </w:r>
      <w:r>
        <w:t xml:space="preserve"> </w:t>
      </w:r>
      <w:r>
        <w:t xml:space="preserve">cuatro cuentas de la capa gratuita de Render soportar tráfico concurrente y</w:t>
      </w:r>
      <w:r>
        <w:t xml:space="preserve"> </w:t>
      </w:r>
      <w:r>
        <w:t xml:space="preserve">procesamiento en tiempo real sin colapsar por falta de memoria (OOM) ni degradar</w:t>
      </w:r>
      <w:r>
        <w:t xml:space="preserve"> </w:t>
      </w:r>
      <w:r>
        <w:t xml:space="preserve">inaceptablemente su latencia?</w:t>
      </w:r>
    </w:p>
    <w:p>
      <w:r>
        <w:pict>
          <v:rect style="width:0;height:1.5pt" o:hralign="center" o:hrstd="t" o:hr="t"/>
        </w:pict>
      </w:r>
    </w:p>
    <w:bookmarkStart w:id="13" w:name="subtarea-a.-estructura-del-informe"/>
    <w:p>
      <w:pPr>
        <w:pStyle w:val="Heading1"/>
      </w:pPr>
      <w:r>
        <w:t xml:space="preserve">Subtarea a. Estructura del informe</w:t>
      </w:r>
    </w:p>
    <w:bookmarkStart w:id="9" w:name="a.1-tipo-de-documento-y-audiencia-real"/>
    <w:p>
      <w:pPr>
        <w:pStyle w:val="Heading2"/>
      </w:pPr>
      <w:r>
        <w:t xml:space="preserve">a.1 Tipo de documento y audiencia real</w:t>
      </w:r>
    </w:p>
    <w:p>
      <w:pPr>
        <w:pStyle w:val="FirstParagraph"/>
      </w:pPr>
      <w:r>
        <w:t xml:space="preserve">El proyecto tiene tres audiencias con necesidades distintas, y un solo documento no</w:t>
      </w:r>
      <w:r>
        <w:t xml:space="preserve"> </w:t>
      </w:r>
      <w:r>
        <w:t xml:space="preserve">las cubre.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Audiencia</w:t>
            </w:r>
          </w:p>
        </w:tc>
        <w:tc>
          <w:tcPr/>
          <w:p>
            <w:pPr>
              <w:pStyle w:val="Compact"/>
            </w:pPr>
            <w:r>
              <w:t xml:space="preserve">Qué necesita</w:t>
            </w:r>
          </w:p>
        </w:tc>
        <w:tc>
          <w:tcPr/>
          <w:p>
            <w:pPr>
              <w:pStyle w:val="Compact"/>
            </w:pPr>
            <w:r>
              <w:t xml:space="preserve">Documento que la atiende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Evaluación académica (profesora y jurado de la Integradora)</w:t>
            </w:r>
          </w:p>
        </w:tc>
        <w:tc>
          <w:tcPr/>
          <w:p>
            <w:pPr>
              <w:pStyle w:val="Compact"/>
            </w:pPr>
            <w:r>
              <w:t xml:space="preserve">Rigor metodológico, trazabilidad del dato y defensa de las decisiones</w:t>
            </w:r>
          </w:p>
        </w:tc>
        <w:tc>
          <w:tcPr/>
          <w:p>
            <w:pPr>
              <w:pStyle w:val="Compact"/>
            </w:pPr>
            <w:r>
              <w:t xml:space="preserve">Informe académico (este entregable) más la defensa oral (Act. 4.2a)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Comunidad técnica y académica que consulte el trabajo</w:t>
            </w:r>
          </w:p>
        </w:tc>
        <w:tc>
          <w:tcPr/>
          <w:p>
            <w:pPr>
              <w:pStyle w:val="Compact"/>
            </w:pPr>
            <w:r>
              <w:t xml:space="preserve">Replicabilidad, evidencia y contraste con la literatura</w:t>
            </w:r>
          </w:p>
        </w:tc>
        <w:tc>
          <w:tcPr/>
          <w:p>
            <w:pPr>
              <w:pStyle w:val="Compact"/>
            </w:pPr>
            <w:r>
              <w:t xml:space="preserve">El mismo informe, en formato de artículo publicable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Equipos que evalúan desplegar sin presupuesto</w:t>
            </w:r>
          </w:p>
        </w:tc>
        <w:tc>
          <w:tcPr/>
          <w:p>
            <w:pPr>
              <w:pStyle w:val="Compact"/>
            </w:pPr>
            <w:r>
              <w:t xml:space="preserve">El veredicto práctico y sus límites, sin metodología</w:t>
            </w:r>
          </w:p>
        </w:tc>
        <w:tc>
          <w:tcPr/>
          <w:p>
            <w:pPr>
              <w:pStyle w:val="Compact"/>
            </w:pPr>
            <w:r>
              <w:t xml:space="preserve">Producto de divulgación (Act. 4.2b)</w:t>
            </w:r>
          </w:p>
        </w:tc>
      </w:tr>
    </w:tbl>
    <w:p>
      <w:pPr>
        <w:pStyle w:val="BodyText"/>
      </w:pPr>
      <w:r>
        <w:t xml:space="preserve">Decisión tomada:</w:t>
      </w:r>
      <w:r>
        <w:t xml:space="preserve"> </w:t>
      </w:r>
      <w:r>
        <w:rPr>
          <w:b/>
          <w:bCs/>
        </w:rPr>
        <w:t xml:space="preserve">informe académico en formato de artículo científico (IMRyD</w:t>
      </w:r>
      <w:r>
        <w:rPr>
          <w:b/>
          <w:bCs/>
        </w:rPr>
        <w:t xml:space="preserve"> </w:t>
      </w:r>
      <w:r>
        <w:rPr>
          <w:b/>
          <w:bCs/>
        </w:rPr>
        <w:t xml:space="preserve">extendido)</w:t>
      </w:r>
      <w:r>
        <w:t xml:space="preserve"> </w:t>
      </w:r>
      <w:r>
        <w:t xml:space="preserve">con normas APA 7.ª edición. Se entrega a una columna. El documento</w:t>
      </w:r>
      <w:r>
        <w:t xml:space="preserve"> </w:t>
      </w:r>
      <w:r>
        <w:t xml:space="preserve">resultante son unas 7 200 palabras que, en la maqueta de salida (Carta, márgenes de</w:t>
      </w:r>
      <w:r>
        <w:t xml:space="preserve"> </w:t>
      </w:r>
      <w:r>
        <w:t xml:space="preserve">2.5 cm), ocupan 21 páginas con sus 6 tablas, 3 figuras y la bibliografía. El reparto</w:t>
      </w:r>
      <w:r>
        <w:t xml:space="preserve"> </w:t>
      </w:r>
      <w:r>
        <w:t xml:space="preserve">por sección está en la tabla de §a.2.</w:t>
      </w:r>
    </w:p>
    <w:p>
      <w:pPr>
        <w:pStyle w:val="BodyText"/>
      </w:pPr>
      <w:r>
        <w:t xml:space="preserve">Las tres opciones del planteamiento se evaluaron así: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Informe ejecutivo.</w:t>
      </w:r>
      <w:r>
        <w:t xml:space="preserve"> </w:t>
      </w:r>
      <w:r>
        <w:t xml:space="preserve">Descartado. Este trabajo no sustenta una decisión de</w:t>
      </w:r>
      <w:r>
        <w:t xml:space="preserve"> </w:t>
      </w:r>
      <w:r>
        <w:t xml:space="preserve">inversión; produce evidencia sobre una pregunta. El registro ejecutivo se conserva,</w:t>
      </w:r>
      <w:r>
        <w:t xml:space="preserve"> </w:t>
      </w:r>
      <w:r>
        <w:t xml:space="preserve">pero como pieza de divulgación dirigida a otro público (Act. 4.2b).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Informe técnico.</w:t>
      </w:r>
      <w:r>
        <w:t xml:space="preserve"> </w:t>
      </w:r>
      <w:r>
        <w:t xml:space="preserve">Descartado. La documentación del sistema ya vive en el</w:t>
      </w:r>
      <w:r>
        <w:t xml:space="preserve"> </w:t>
      </w:r>
      <w:r>
        <w:t xml:space="preserve">repositorio 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 Lo que este trabajo</w:t>
      </w:r>
      <w:r>
        <w:t xml:space="preserve"> </w:t>
      </w:r>
      <w:r>
        <w:t xml:space="preserve">agrega es la medición, así que la arquitectura entra al informe solo como objeto</w:t>
      </w:r>
      <w:r>
        <w:t xml:space="preserve"> </w:t>
      </w:r>
      <w:r>
        <w:t xml:space="preserve">bajo prueba (§3 del artículo).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Artículo académico.</w:t>
      </w:r>
      <w:r>
        <w:t xml:space="preserve"> </w:t>
      </w:r>
      <w:r>
        <w:t xml:space="preserve">Elegido. El estudio se formuló desde la Unidad I como</w:t>
      </w:r>
      <w:r>
        <w:t xml:space="preserve"> </w:t>
      </w:r>
      <w:r>
        <w:t xml:space="preserve">cuantitativo, correlacional y evaluativo, con hipótesis y umbrales predefinidos</w:t>
      </w:r>
      <w:r>
        <w:t xml:space="preserve"> </w:t>
      </w:r>
      <w:r>
        <w:t xml:space="preserve">(Protocolo v2, §6.4). El género que corresponde a ese diseño es el artículo</w:t>
      </w:r>
      <w:r>
        <w:t xml:space="preserve"> </w:t>
      </w:r>
      <w:r>
        <w:t xml:space="preserve">empírico.</w:t>
      </w:r>
    </w:p>
    <w:bookmarkEnd w:id="9"/>
    <w:bookmarkStart w:id="10" w:name="a.2-estructura-completa-del-informe"/>
    <w:p>
      <w:pPr>
        <w:pStyle w:val="Heading2"/>
      </w:pPr>
      <w:r>
        <w:t xml:space="preserve">a.2 Estructura completa del informe</w:t>
      </w:r>
    </w:p>
    <w:p>
      <w:pPr>
        <w:pStyle w:val="FirstParagraph"/>
      </w:pPr>
      <w:r>
        <w:t xml:space="preserve">Cada sección declara de dónde sale su evidencia y con qué unidad del curso se</w:t>
      </w:r>
      <w:r>
        <w:t xml:space="preserve"> </w:t>
      </w:r>
      <w:r>
        <w:t xml:space="preserve">articula. La columna de peso es la proporción de palabras que cada sección ocupa en</w:t>
      </w:r>
      <w:r>
        <w:t xml:space="preserve"> </w:t>
      </w:r>
      <w:r>
        <w:t xml:space="preserve">el informe ya entregado, medida sobre</w:t>
      </w:r>
      <w:r>
        <w:t xml:space="preserve"> </w:t>
      </w:r>
      <w:r>
        <w:rPr>
          <w:rStyle w:val="VerbatimChar"/>
        </w:rPr>
        <w:t xml:space="preserve">articulo.md</w:t>
      </w:r>
      <w:r>
        <w:t xml:space="preserve">; no es una extensión objetivo.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Origen de la evidencia</w:t>
            </w:r>
          </w:p>
        </w:tc>
        <w:tc>
          <w:tcPr/>
          <w:p>
            <w:pPr>
              <w:pStyle w:val="Compact"/>
            </w:pPr>
            <w:r>
              <w:t xml:space="preserve">Articulación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Título, autores, resumen y palabras clave</w:t>
            </w:r>
          </w:p>
        </w:tc>
        <w:tc>
          <w:tcPr/>
          <w:p>
            <w:pPr>
              <w:pStyle w:val="Compact"/>
            </w:pPr>
            <w:r>
              <w:t xml:space="preserve">Resumen estructurado (problema, método, resultado, aporte)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t xml:space="preserve">Síntesis final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Introducción</w:t>
            </w:r>
          </w:p>
        </w:tc>
        <w:tc>
          <w:tcPr/>
          <w:p>
            <w:pPr>
              <w:pStyle w:val="Compact"/>
            </w:pPr>
            <w:r>
              <w:t xml:space="preserve">Problema (barrera económica del despliegue), pregunta de investigación, tres contribuciones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t xml:space="preserve">Protocolo v2 §1–§3</w:t>
            </w:r>
          </w:p>
        </w:tc>
        <w:tc>
          <w:tcPr/>
          <w:p>
            <w:pPr>
              <w:pStyle w:val="Compact"/>
            </w:pPr>
            <w:r>
              <w:t xml:space="preserve">Unidad I (planteamiento y objetivos)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Trabajo relacionado</w:t>
            </w:r>
          </w:p>
        </w:tc>
        <w:tc>
          <w:tcPr/>
          <w:p>
            <w:pPr>
              <w:pStyle w:val="Compact"/>
            </w:pPr>
            <w:r>
              <w:t xml:space="preserve">Cuatro antecedentes y el hueco que deja la literatura</w:t>
            </w:r>
          </w:p>
        </w:tc>
        <w:tc>
          <w:tcPr/>
          <w:p>
            <w:pPr>
              <w:pStyle w:val="Compact"/>
            </w:pPr>
            <w:r>
              <w:t xml:space="preserve">4 %</w:t>
            </w:r>
          </w:p>
        </w:tc>
        <w:tc>
          <w:tcPr/>
          <w:p>
            <w:pPr>
              <w:pStyle w:val="Compact"/>
            </w:pPr>
            <w:r>
              <w:t xml:space="preserve">Act. 3.1 (matriz de fuentes)</w:t>
            </w:r>
          </w:p>
        </w:tc>
        <w:tc>
          <w:tcPr/>
          <w:p>
            <w:pPr>
              <w:pStyle w:val="Compact"/>
            </w:pPr>
            <w:r>
              <w:t xml:space="preserve">Unidad II (marco teórico)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Arquitectura del sistema bajo prueba</w:t>
            </w:r>
          </w:p>
        </w:tc>
        <w:tc>
          <w:tcPr/>
          <w:p>
            <w:pPr>
              <w:pStyle w:val="Compact"/>
            </w:pPr>
            <w:r>
              <w:t xml:space="preserve">Topología, los 4 servicios, decisiones de diseño condicionadas por el free tier</w:t>
            </w:r>
          </w:p>
        </w:tc>
        <w:tc>
          <w:tcPr/>
          <w:p>
            <w:pPr>
              <w:pStyle w:val="Compact"/>
            </w:pPr>
            <w:r>
              <w:t xml:space="preserve">4 %</w:t>
            </w:r>
          </w:p>
        </w:tc>
        <w:tc>
          <w:tcPr/>
          <w:p>
            <w:pPr>
              <w:pStyle w:val="Compact"/>
            </w:pPr>
            <w:r>
              <w:t xml:space="preserve">Código del repositorio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</w:pPr>
            <w:r>
              <w:t xml:space="preserve">Diseño, población/muestra, instrumentos, matriz experimental, procedimiento y validación del instrumento (piloto)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Protocolo v2 · Act. 3.2 · Act. 3.3</w:t>
            </w:r>
          </w:p>
        </w:tc>
        <w:tc>
          <w:tcPr/>
          <w:p>
            <w:pPr>
              <w:pStyle w:val="Compact"/>
            </w:pPr>
            <w:r>
              <w:t xml:space="preserve">Unidad III (recolección)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Resultados</w:t>
            </w:r>
          </w:p>
        </w:tc>
        <w:tc>
          <w:tcPr/>
          <w:p>
            <w:pPr>
              <w:pStyle w:val="Compact"/>
            </w:pPr>
            <w:r>
              <w:t xml:space="preserve">Línea base, matriz ejecutada y punto de quiebre, arranque en frío, hallazgos operativos del free tier, fiabilidad de la medición</w:t>
            </w:r>
          </w:p>
        </w:tc>
        <w:tc>
          <w:tcPr/>
          <w:p>
            <w:pPr>
              <w:pStyle w:val="Compact"/>
            </w:pPr>
            <w:r>
              <w:t xml:space="preserve">35 %</w:t>
            </w:r>
          </w:p>
        </w:tc>
        <w:tc>
          <w:tcPr/>
          <w:p>
            <w:pPr>
              <w:pStyle w:val="Compact"/>
            </w:pPr>
            <w:r>
              <w:t xml:space="preserve">Act. 3.4 (banco) · Act. 3.5</w:t>
            </w:r>
          </w:p>
        </w:tc>
        <w:tc>
          <w:tcPr/>
          <w:p>
            <w:pPr>
              <w:pStyle w:val="Compact"/>
            </w:pPr>
            <w:r>
              <w:t xml:space="preserve">Unidad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Discusión</w:t>
            </w:r>
          </w:p>
        </w:tc>
        <w:tc>
          <w:tcPr/>
          <w:p>
            <w:pPr>
              <w:pStyle w:val="Compact"/>
            </w:pPr>
            <w:r>
              <w:t xml:space="preserve">Mecanismo del quiebre, aislamiento frente a propagación, margen real de uso, traducción a usuarios, costo operativo</w:t>
            </w:r>
          </w:p>
        </w:tc>
        <w:tc>
          <w:tcPr/>
          <w:p>
            <w:pPr>
              <w:pStyle w:val="Compact"/>
            </w:pPr>
            <w:r>
              <w:t xml:space="preserve">11 %</w:t>
            </w:r>
          </w:p>
        </w:tc>
        <w:tc>
          <w:tcPr/>
          <w:p>
            <w:pPr>
              <w:pStyle w:val="Compact"/>
            </w:pPr>
            <w:r>
              <w:t xml:space="preserve">Act. 3.5 y literatura de §2</w:t>
            </w:r>
          </w:p>
        </w:tc>
        <w:tc>
          <w:tcPr/>
          <w:p>
            <w:pPr>
              <w:pStyle w:val="Compact"/>
            </w:pPr>
            <w:r>
              <w:t xml:space="preserve">Unidad II y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Amenazas a la validez</w:t>
            </w:r>
          </w:p>
        </w:tc>
        <w:tc>
          <w:tcPr/>
          <w:p>
            <w:pPr>
              <w:pStyle w:val="Compact"/>
            </w:pPr>
            <w:r>
              <w:t xml:space="preserve">Constructo, interna, externa y fiabilidad (esquema de Runeson y Höst), instrumento, alcance, exclusiones</w:t>
            </w:r>
          </w:p>
        </w:tc>
        <w:tc>
          <w:tcPr/>
          <w:p>
            <w:pPr>
              <w:pStyle w:val="Compact"/>
            </w:pPr>
            <w:r>
              <w:t xml:space="preserve">11 %</w:t>
            </w:r>
          </w:p>
        </w:tc>
        <w:tc>
          <w:tcPr/>
          <w:p>
            <w:pPr>
              <w:pStyle w:val="Compact"/>
            </w:pPr>
            <w:r>
              <w:t xml:space="preserve">Bitácora</w:t>
            </w:r>
            <w:r>
              <w:t xml:space="preserve"> </w:t>
            </w:r>
            <w:r>
              <w:rPr>
                <w:rStyle w:val="VerbatimChar"/>
              </w:rPr>
              <w:t xml:space="preserve">matriz.log</w:t>
            </w:r>
          </w:p>
        </w:tc>
        <w:tc>
          <w:tcPr/>
          <w:p>
            <w:pPr>
              <w:pStyle w:val="Compact"/>
            </w:pPr>
            <w:r>
              <w:t xml:space="preserve">Unidad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Conclusiones y trabajo futuro</w:t>
            </w:r>
          </w:p>
        </w:tc>
        <w:tc>
          <w:tcPr/>
          <w:p>
            <w:pPr>
              <w:pStyle w:val="Compact"/>
            </w:pPr>
            <w:r>
              <w:t xml:space="preserve">Respuesta a la pregunta, viabilidad operativa, aporte metodológico, 4 recomendaciones para la práctica y 4 líneas futuras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Síntesis</w:t>
            </w:r>
          </w:p>
        </w:tc>
        <w:tc>
          <w:tcPr/>
          <w:p>
            <w:pPr>
              <w:pStyle w:val="Compact"/>
            </w:pPr>
            <w:r>
              <w:t xml:space="preserve">Unidad I (cierre del objetivo)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Disponibilidad de datos y código</w:t>
            </w:r>
          </w:p>
        </w:tc>
        <w:tc>
          <w:tcPr/>
          <w:p>
            <w:pPr>
              <w:pStyle w:val="Compact"/>
            </w:pPr>
            <w:r>
              <w:t xml:space="preserve">Repositorio, arnés y datos crudos con</w:t>
            </w:r>
            <w:r>
              <w:t xml:space="preserve"> </w:t>
            </w:r>
            <w:r>
              <w:rPr>
                <w:i/>
                <w:iCs/>
              </w:rPr>
              <w:t xml:space="preserve">commit hash</w:t>
            </w:r>
            <w:r>
              <w:t xml:space="preserve"> </w:t>
            </w:r>
            <w:r>
              <w:t xml:space="preserve">por corrida</w:t>
            </w:r>
          </w:p>
        </w:tc>
        <w:tc>
          <w:tcPr/>
          <w:p>
            <w:pPr>
              <w:pStyle w:val="Compact"/>
            </w:pPr>
            <w:r>
              <w:t xml:space="preserve">1 %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load-tests/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Referencias (APA 7)</w:t>
            </w:r>
          </w:p>
        </w:tc>
        <w:tc>
          <w:tcPr/>
          <w:p>
            <w:pPr>
              <w:pStyle w:val="Compact"/>
            </w:pPr>
            <w:r>
              <w:t xml:space="preserve">14 fuentes: 6 artículos de revista con revisión por pares (5 con indexación internacional verificable), 1 ponencia arbitrada, 1 libro, 1 preprint sin arbitrar y 5 documentos técnicos fechados</w:t>
            </w:r>
          </w:p>
        </w:tc>
        <w:tc>
          <w:tcPr/>
          <w:p>
            <w:pPr>
              <w:pStyle w:val="Compact"/>
            </w:pPr>
            <w:r>
              <w:t xml:space="preserve">4 %</w:t>
            </w:r>
          </w:p>
        </w:tc>
        <w:tc>
          <w:tcPr/>
          <w:p>
            <w:pPr>
              <w:pStyle w:val="Compact"/>
            </w:pPr>
            <w:r>
              <w:t xml:space="preserve">Act. 3.1</w:t>
            </w:r>
          </w:p>
        </w:tc>
        <w:tc>
          <w:tcPr/>
          <w:p>
            <w:pPr>
              <w:pStyle w:val="Compact"/>
            </w:pPr>
            <w:r>
              <w:t xml:space="preserve">Unidad II</w:t>
            </w:r>
          </w:p>
        </w:tc>
      </w:tr>
    </w:tbl>
    <w:p>
      <w:pPr>
        <w:pStyle w:val="BodyText"/>
      </w:pPr>
      <w:r>
        <w:t xml:space="preserve">Hay dos decisiones de estructura que conviene poder sostener en la defensa.</w:t>
      </w:r>
    </w:p>
    <w:p>
      <w:pPr>
        <w:pStyle w:val="BodyText"/>
      </w:pPr>
      <w:r>
        <w:t xml:space="preserve">La primera es que §4.6, «Validación del instrumento (piloto)», ocupa una sección</w:t>
      </w:r>
      <w:r>
        <w:t xml:space="preserve"> </w:t>
      </w:r>
      <w:r>
        <w:t xml:space="preserve">propia. El piloto detectó que se estaba midiendo un limitador de tasa en lugar de la</w:t>
      </w:r>
      <w:r>
        <w:t xml:space="preserve"> </w:t>
      </w:r>
      <w:r>
        <w:t xml:space="preserve">arquitectura, y ese episodio figura entre las tres contribuciones declaradas del</w:t>
      </w:r>
      <w:r>
        <w:t xml:space="preserve"> </w:t>
      </w:r>
      <w:r>
        <w:t xml:space="preserve">trabajo, así que tiene su lugar dentro de la metodología.</w:t>
      </w:r>
    </w:p>
    <w:p>
      <w:pPr>
        <w:pStyle w:val="BodyText"/>
      </w:pPr>
      <w:r>
        <w:t xml:space="preserve">La segunda es que §5.4, «Hallazgos operativos de la capa gratuita», se ubica en</w:t>
      </w:r>
      <w:r>
        <w:t xml:space="preserve"> </w:t>
      </w:r>
      <w:r>
        <w:t xml:space="preserve">Resultados. Las cuotas, las pausas por inactividad y los créditos de ráfaga son</w:t>
      </w:r>
      <w:r>
        <w:t xml:space="preserve"> </w:t>
      </w:r>
      <w:r>
        <w:t xml:space="preserve">propiedades del objeto estudiado y responden parte de la pregunta de investigación.</w:t>
      </w:r>
      <w:r>
        <w:t xml:space="preserve"> </w:t>
      </w:r>
      <w:r>
        <w:t xml:space="preserve">Tratarlas como limitaciones del experimento las sacaría del hallazgo.</w:t>
      </w:r>
    </w:p>
    <w:bookmarkEnd w:id="10"/>
    <w:bookmarkStart w:id="11" w:name="Xf3775bd3f4cc51bfb591e54eff46b1dcdcc7728"/>
    <w:p>
      <w:pPr>
        <w:pStyle w:val="Heading2"/>
      </w:pPr>
      <w:r>
        <w:t xml:space="preserve">a.3 Asignación de responsabilidades de redacción</w:t>
      </w:r>
    </w:p>
    <w:p>
      <w:pPr>
        <w:pStyle w:val="FirstParagraph"/>
      </w:pPr>
      <w:r>
        <w:t xml:space="preserve">El reparto sigue los roles que ya declara el protocolo metodológico: quien ejecutó una</w:t>
      </w:r>
      <w:r>
        <w:t xml:space="preserve"> </w:t>
      </w:r>
      <w:r>
        <w:t xml:space="preserve">parte del experimento redacta esa parte y la defiende. Cada sección tiene un redactor</w:t>
      </w:r>
      <w:r>
        <w:t xml:space="preserve"> </w:t>
      </w:r>
      <w:r>
        <w:t xml:space="preserve">y un revisor distintos.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Redacta</w:t>
            </w:r>
          </w:p>
        </w:tc>
        <w:tc>
          <w:tcPr/>
          <w:p>
            <w:pPr>
              <w:pStyle w:val="Compact"/>
            </w:pPr>
            <w:r>
              <w:t xml:space="preserve">Revisa</w:t>
            </w:r>
          </w:p>
        </w:tc>
        <w:tc>
          <w:tcPr/>
          <w:p>
            <w:pPr>
              <w:pStyle w:val="Compact"/>
            </w:pPr>
            <w:r>
              <w:t xml:space="preserve">Base de su autoridad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§0 Resumen · §1 Introducción</w:t>
            </w:r>
          </w:p>
        </w:tc>
        <w:tc>
          <w:tcPr/>
          <w:p>
            <w:pPr>
              <w:pStyle w:val="Compact"/>
            </w:pPr>
            <w:r>
              <w:t xml:space="preserve">García Páez David</w:t>
            </w:r>
          </w:p>
        </w:tc>
        <w:tc>
          <w:tcPr/>
          <w:p>
            <w:pPr>
              <w:pStyle w:val="Compact"/>
            </w:pPr>
            <w:r>
              <w:t xml:space="preserve">Casiano Gamzi Juan David</w:t>
            </w:r>
          </w:p>
        </w:tc>
        <w:tc>
          <w:tcPr/>
          <w:p>
            <w:pPr>
              <w:pStyle w:val="Compact"/>
            </w:pPr>
            <w:r>
              <w:t xml:space="preserve">Coordinación del artículo y ejecución de corridas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 Trabajo relacionado</w:t>
            </w:r>
          </w:p>
        </w:tc>
        <w:tc>
          <w:tcPr/>
          <w:p>
            <w:pPr>
              <w:pStyle w:val="Compact"/>
            </w:pPr>
            <w:r>
              <w:t xml:space="preserve">Casiano Gamzi Juan David</w:t>
            </w:r>
          </w:p>
        </w:tc>
        <w:tc>
          <w:tcPr/>
          <w:p>
            <w:pPr>
              <w:pStyle w:val="Compact"/>
            </w:pPr>
            <w:r>
              <w:t xml:space="preserve">Cervantes Guerrero Keila</w:t>
            </w:r>
          </w:p>
        </w:tc>
        <w:tc>
          <w:tcPr/>
          <w:p>
            <w:pPr>
              <w:pStyle w:val="Compact"/>
            </w:pPr>
            <w:r>
              <w:t xml:space="preserve">Responsable de análisis; construyó la matriz de fuentes (Act. 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 Arquitectura del sistema</w:t>
            </w:r>
          </w:p>
        </w:tc>
        <w:tc>
          <w:tcPr/>
          <w:p>
            <w:pPr>
              <w:pStyle w:val="Compact"/>
            </w:pPr>
            <w:r>
              <w:t xml:space="preserve">Solis Flores Irvin</w:t>
            </w:r>
          </w:p>
        </w:tc>
        <w:tc>
          <w:tcPr/>
          <w:p>
            <w:pPr>
              <w:pStyle w:val="Compact"/>
            </w:pPr>
            <w:r>
              <w:t xml:space="preserve">García Páez David</w:t>
            </w:r>
          </w:p>
        </w:tc>
        <w:tc>
          <w:tcPr/>
          <w:p>
            <w:pPr>
              <w:pStyle w:val="Compact"/>
            </w:pPr>
            <w:r>
              <w:t xml:space="preserve">Responsable de setup y despliegue de las 4 cuentas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 Metodología (§4.1–§4.5)</w:t>
            </w:r>
          </w:p>
        </w:tc>
        <w:tc>
          <w:tcPr/>
          <w:p>
            <w:pPr>
              <w:pStyle w:val="Compact"/>
            </w:pPr>
            <w:r>
              <w:t xml:space="preserve">Cervantes Guerrero Keila</w:t>
            </w:r>
          </w:p>
        </w:tc>
        <w:tc>
          <w:tcPr/>
          <w:p>
            <w:pPr>
              <w:pStyle w:val="Compact"/>
            </w:pPr>
            <w:r>
              <w:t xml:space="preserve">Solis Flores Irvin</w:t>
            </w:r>
          </w:p>
        </w:tc>
        <w:tc>
          <w:tcPr/>
          <w:p>
            <w:pPr>
              <w:pStyle w:val="Compact"/>
            </w:pPr>
            <w:r>
              <w:t xml:space="preserve">Responsable de datos y telemetría; autora del banco (Act. 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§4.6 Validación del instrumento</w:t>
            </w:r>
          </w:p>
        </w:tc>
        <w:tc>
          <w:tcPr/>
          <w:p>
            <w:pPr>
              <w:pStyle w:val="Compact"/>
            </w:pPr>
            <w:r>
              <w:t xml:space="preserve">García Páez David</w:t>
            </w:r>
          </w:p>
        </w:tc>
        <w:tc>
          <w:tcPr/>
          <w:p>
            <w:pPr>
              <w:pStyle w:val="Compact"/>
            </w:pPr>
            <w:r>
              <w:t xml:space="preserve">Cervantes Guerrero Keila</w:t>
            </w:r>
          </w:p>
        </w:tc>
        <w:tc>
          <w:tcPr/>
          <w:p>
            <w:pPr>
              <w:pStyle w:val="Compact"/>
            </w:pPr>
            <w:r>
              <w:t xml:space="preserve">Ejecutó ambos pilotos y detectó el confusor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 Resultados</w:t>
            </w:r>
          </w:p>
        </w:tc>
        <w:tc>
          <w:tcPr/>
          <w:p>
            <w:pPr>
              <w:pStyle w:val="Compact"/>
            </w:pPr>
            <w:r>
              <w:t xml:space="preserve">Cervantes Guerrero Keila</w:t>
            </w:r>
          </w:p>
        </w:tc>
        <w:tc>
          <w:tcPr/>
          <w:p>
            <w:pPr>
              <w:pStyle w:val="Compact"/>
            </w:pPr>
            <w:r>
              <w:t xml:space="preserve">Casiano Gamzi Juan David</w:t>
            </w:r>
          </w:p>
        </w:tc>
        <w:tc>
          <w:tcPr/>
          <w:p>
            <w:pPr>
              <w:pStyle w:val="Compact"/>
            </w:pPr>
            <w:r>
              <w:t xml:space="preserve">Consolidó los artefactos por corrida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§5.4 Hallazgos operativos</w:t>
            </w:r>
          </w:p>
        </w:tc>
        <w:tc>
          <w:tcPr/>
          <w:p>
            <w:pPr>
              <w:pStyle w:val="Compact"/>
            </w:pPr>
            <w:r>
              <w:t xml:space="preserve">Solis Flores Irvin</w:t>
            </w:r>
          </w:p>
        </w:tc>
        <w:tc>
          <w:tcPr/>
          <w:p>
            <w:pPr>
              <w:pStyle w:val="Compact"/>
            </w:pPr>
            <w:r>
              <w:t xml:space="preserve">García Páez David</w:t>
            </w:r>
          </w:p>
        </w:tc>
        <w:tc>
          <w:tcPr/>
          <w:p>
            <w:pPr>
              <w:pStyle w:val="Compact"/>
            </w:pPr>
            <w:r>
              <w:t xml:space="preserve">Diagnosticó las suspensiones y la restauración de la 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 Discusión</w:t>
            </w:r>
          </w:p>
        </w:tc>
        <w:tc>
          <w:tcPr/>
          <w:p>
            <w:pPr>
              <w:pStyle w:val="Compact"/>
            </w:pPr>
            <w:r>
              <w:t xml:space="preserve">Equipo completo (sesión conjunta)</w:t>
            </w:r>
          </w:p>
        </w:tc>
        <w:tc>
          <w:tcPr/>
          <w:p>
            <w:pPr>
              <w:pStyle w:val="Compact"/>
            </w:pPr>
            <w:r>
              <w:t xml:space="preserve">García Páez David</w:t>
            </w:r>
          </w:p>
        </w:tc>
        <w:tc>
          <w:tcPr/>
          <w:p>
            <w:pPr>
              <w:pStyle w:val="Compact"/>
            </w:pPr>
            <w:r>
              <w:t xml:space="preserve">Interpretación acordada, no delegable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 Amenazas a la validez</w:t>
            </w:r>
          </w:p>
        </w:tc>
        <w:tc>
          <w:tcPr/>
          <w:p>
            <w:pPr>
              <w:pStyle w:val="Compact"/>
            </w:pPr>
            <w:r>
              <w:t xml:space="preserve">Casiano Gamzi Juan David</w:t>
            </w:r>
          </w:p>
        </w:tc>
        <w:tc>
          <w:tcPr/>
          <w:p>
            <w:pPr>
              <w:pStyle w:val="Compact"/>
            </w:pPr>
            <w:r>
              <w:t xml:space="preserve">Solis Flores Irvin</w:t>
            </w:r>
          </w:p>
        </w:tc>
        <w:tc>
          <w:tcPr/>
          <w:p>
            <w:pPr>
              <w:pStyle w:val="Compact"/>
            </w:pPr>
            <w:r>
              <w:t xml:space="preserve">Custodia de los criterios de exclusión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 Conclusiones</w:t>
            </w:r>
          </w:p>
        </w:tc>
        <w:tc>
          <w:tcPr/>
          <w:p>
            <w:pPr>
              <w:pStyle w:val="Compact"/>
            </w:pPr>
            <w:r>
              <w:t xml:space="preserve">García Páez David</w:t>
            </w:r>
          </w:p>
        </w:tc>
        <w:tc>
          <w:tcPr/>
          <w:p>
            <w:pPr>
              <w:pStyle w:val="Compact"/>
            </w:pPr>
            <w:r>
              <w:t xml:space="preserve">Equipo completo</w:t>
            </w:r>
          </w:p>
        </w:tc>
        <w:tc>
          <w:tcPr/>
          <w:p>
            <w:pPr>
              <w:pStyle w:val="Compact"/>
            </w:pPr>
            <w:r>
              <w:t xml:space="preserve">Cierre del objetivo declarado en la Unidad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 Datos y código · §10 Referencias</w:t>
            </w:r>
          </w:p>
        </w:tc>
        <w:tc>
          <w:tcPr/>
          <w:p>
            <w:pPr>
              <w:pStyle w:val="Compact"/>
            </w:pPr>
            <w:r>
              <w:t xml:space="preserve">Cervantes Guerrero Keila</w:t>
            </w:r>
          </w:p>
        </w:tc>
        <w:tc>
          <w:tcPr/>
          <w:p>
            <w:pPr>
              <w:pStyle w:val="Compact"/>
            </w:pPr>
            <w:r>
              <w:t xml:space="preserve">Casiano Gamzi Juan David</w:t>
            </w:r>
          </w:p>
        </w:tc>
        <w:tc>
          <w:tcPr/>
          <w:p>
            <w:pPr>
              <w:pStyle w:val="Compact"/>
            </w:pPr>
            <w:r>
              <w:t xml:space="preserve">Versionado de artefactos y bibliografía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Figuras y cuadro de mando (subtarea c)</w:t>
            </w:r>
          </w:p>
        </w:tc>
        <w:tc>
          <w:tcPr/>
          <w:p>
            <w:pPr>
              <w:pStyle w:val="Compact"/>
            </w:pPr>
            <w:r>
              <w:t xml:space="preserve">Cervantes Guerrero Keila</w:t>
            </w:r>
          </w:p>
        </w:tc>
        <w:tc>
          <w:tcPr/>
          <w:p>
            <w:pPr>
              <w:pStyle w:val="Compact"/>
            </w:pPr>
            <w:r>
              <w:t xml:space="preserve">García Páez David</w:t>
            </w:r>
          </w:p>
        </w:tc>
        <w:tc>
          <w:tcPr/>
          <w:p>
            <w:pPr>
              <w:pStyle w:val="Compact"/>
            </w:pPr>
            <w:r>
              <w:t xml:space="preserve">Genera las figuras desde</w:t>
            </w:r>
            <w:r>
              <w:t xml:space="preserve"> </w:t>
            </w:r>
            <w:r>
              <w:rPr>
                <w:rStyle w:val="VerbatimChar"/>
              </w:rPr>
              <w:t xml:space="preserve">analyze_results.py</w:t>
            </w:r>
          </w:p>
        </w:tc>
      </w:tr>
    </w:tbl>
    <w:bookmarkEnd w:id="11"/>
    <w:bookmarkStart w:id="12" w:name="a.4-criterios-editoriales-comunes"/>
    <w:p>
      <w:pPr>
        <w:pStyle w:val="Heading2"/>
      </w:pPr>
      <w:r>
        <w:t xml:space="preserve">a.4 Criterios editoriales comunes</w:t>
      </w:r>
    </w:p>
    <w:p>
      <w:pPr>
        <w:pStyle w:val="FirstParagraph"/>
      </w:pPr>
      <w:r>
        <w:t xml:space="preserve">Estas reglas se acordaron antes de repartir la redacción, para que el documento</w:t>
      </w:r>
      <w:r>
        <w:t xml:space="preserve"> </w:t>
      </w:r>
      <w:r>
        <w:t xml:space="preserve">conserve una sola voz pese a repartirse entre los cuatro integrantes del equipo.</w:t>
      </w:r>
    </w:p>
    <w:p>
      <w:pPr>
        <w:pStyle w:val="BodyText"/>
      </w:pPr>
      <w:r>
        <w:t xml:space="preserve">Ninguna cifra entra al texto sin procedencia. Toda cifra debe existir en</w:t>
      </w:r>
      <w:r>
        <w:t xml:space="preserve"> </w:t>
      </w:r>
      <w:r>
        <w:rPr>
          <w:rStyle w:val="VerbatimChar"/>
        </w:rPr>
        <w:t xml:space="preserve">load-tests/analysis/stats.json</w:t>
      </w:r>
      <w:r>
        <w:t xml:space="preserve"> </w:t>
      </w:r>
      <w:r>
        <w:t xml:space="preserve">o en un artefacto de corrida; si no está ahí, no se</w:t>
      </w:r>
      <w:r>
        <w:t xml:space="preserve"> </w:t>
      </w:r>
      <w:r>
        <w:t xml:space="preserve">escribe. Nadie transcribe números a mano.</w:t>
      </w:r>
    </w:p>
    <w:p>
      <w:pPr>
        <w:pStyle w:val="BodyText"/>
      </w:pPr>
      <w:r>
        <w:t xml:space="preserve">Se reporta mediana con rango mín–máx, nunca el promedio solo. En capa gratuita los</w:t>
      </w:r>
      <w:r>
        <w:t xml:space="preserve"> </w:t>
      </w:r>
      <w:r>
        <w:t xml:space="preserve">valores atípicos por «vecinos ruidosos» son esperables, y ocultarlos falsearía la</w:t>
      </w:r>
      <w:r>
        <w:t xml:space="preserve"> </w:t>
      </w:r>
      <w:r>
        <w:t xml:space="preserve">dispersión.</w:t>
      </w:r>
    </w:p>
    <w:p>
      <w:pPr>
        <w:pStyle w:val="BodyText"/>
      </w:pPr>
      <w:r>
        <w:t xml:space="preserve">Las cifras llevan espacio fino como separador de millar (1 000, 64 706) y punto</w:t>
      </w:r>
      <w:r>
        <w:t xml:space="preserve"> </w:t>
      </w:r>
      <w:r>
        <w:t xml:space="preserve">decimal, con la unidad siempre explícita (ms, MB, %, VUs).</w:t>
      </w:r>
    </w:p>
    <w:p>
      <w:pPr>
        <w:pStyle w:val="BodyText"/>
      </w:pPr>
      <w:r>
        <w:t xml:space="preserve">Los verbos van en pasado para lo medido y en presente para lo que el sistema hace. Una</w:t>
      </w:r>
      <w:r>
        <w:t xml:space="preserve"> </w:t>
      </w:r>
      <w:r>
        <w:t xml:space="preserve">estimación nunca se redacta como medición: la traducción a usuarios (§6) va marcada</w:t>
      </w:r>
      <w:r>
        <w:t xml:space="preserve"> </w:t>
      </w:r>
      <w:r>
        <w:t xml:space="preserve">como «estimación condicionada, no resultado observado».</w:t>
      </w:r>
    </w:p>
    <w:p>
      <w:pPr>
        <w:pStyle w:val="BodyText"/>
      </w:pPr>
      <w:r>
        <w:t xml:space="preserve">Se citan según APA 7. Los sitios de documentación técnica (Render, Supabase, k6,</w:t>
      </w:r>
      <w:r>
        <w:t xml:space="preserve"> </w:t>
      </w:r>
      <w:r>
        <w:t xml:space="preserve">Prometheus) se tratan como fuentes secundarias fechadas.</w:t>
      </w:r>
    </w:p>
    <w:p>
      <w:pPr>
        <w:pStyle w:val="BodyText"/>
      </w:pPr>
      <w:r>
        <w:t xml:space="preserve">El informe vive en</w:t>
      </w:r>
      <w:r>
        <w:t xml:space="preserve"> </w:t>
      </w:r>
      <w:r>
        <w:rPr>
          <w:rStyle w:val="VerbatimChar"/>
        </w:rPr>
        <w:t xml:space="preserve">Documentos/articulo.md</w:t>
      </w:r>
      <w:r>
        <w:t xml:space="preserve"> </w:t>
      </w:r>
      <w:r>
        <w:t xml:space="preserve">dentro del repositorio, con una rama y un</w:t>
      </w:r>
      <w:r>
        <w:t xml:space="preserve"> </w:t>
      </w:r>
      <w:r>
        <w:rPr>
          <w:i/>
          <w:iCs/>
        </w:rPr>
        <w:t xml:space="preserve">pull request</w:t>
      </w:r>
      <w:r>
        <w:t xml:space="preserve"> </w:t>
      </w:r>
      <w:r>
        <w:t xml:space="preserve">por sección y el revisor asignado como aprobador obligatorio.</w:t>
      </w:r>
    </w:p>
    <w:p>
      <w:pPr>
        <w:pStyle w:val="BlockText"/>
      </w:pPr>
      <w:r>
        <w:t xml:space="preserve">Entregable parcial verificable (a): esta sección, más el esqueleto de</w:t>
      </w:r>
      <w:r>
        <w:t xml:space="preserve"> </w:t>
      </w:r>
      <w:r>
        <w:rPr>
          <w:rStyle w:val="VerbatimChar"/>
        </w:rPr>
        <w:t xml:space="preserve">Documentos/articulo.md</w:t>
      </w:r>
      <w:r>
        <w:t xml:space="preserve"> </w:t>
      </w:r>
      <w:r>
        <w:t xml:space="preserve">con las diez secciones y sus responsables asignados.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X96c49082fc495726fe44eb8aa2d37b24fa6e0e9"/>
    <w:p>
      <w:pPr>
        <w:pStyle w:val="Heading1"/>
      </w:pPr>
      <w:r>
        <w:t xml:space="preserve">Subtarea b. Resultados, discusión y conclusiones</w:t>
      </w:r>
    </w:p>
    <w:bookmarkStart w:id="14" w:name="X43bccb211cc95620b7f67bd18ebe96ff1f5d019"/>
    <w:p>
      <w:pPr>
        <w:pStyle w:val="Heading2"/>
      </w:pPr>
      <w:r>
        <w:t xml:space="preserve">b.1 Organización de los resultados por objetivo</w:t>
      </w:r>
    </w:p>
    <w:p>
      <w:pPr>
        <w:pStyle w:val="FirstParagraph"/>
      </w:pPr>
      <w:r>
        <w:t xml:space="preserve">Los resultados se ordenan por objetivo específico y no por la cronología de las</w:t>
      </w:r>
      <w:r>
        <w:t xml:space="preserve"> </w:t>
      </w:r>
      <w:r>
        <w:t xml:space="preserve">corridas. La tabla siguiente es el índice de trazabilidad entre lo que se prometió</w:t>
      </w:r>
      <w:r>
        <w:t xml:space="preserve"> </w:t>
      </w:r>
      <w:r>
        <w:t xml:space="preserve">medir en la Unidad I y lo que se reporta.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Objetivo específico (Unidad I)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Sección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Medir consumo de recursos bajo carga concurrente</w:t>
            </w:r>
          </w:p>
        </w:tc>
        <w:tc>
          <w:tcPr/>
          <w:p>
            <w:pPr>
              <w:pStyle w:val="Compact"/>
            </w:pPr>
            <w:r>
              <w:t xml:space="preserve">La memoria crece proporcional a las conexiones y se concentra en la ruta WS; el peor servicio llega a 46.6 % del límite</w:t>
            </w:r>
          </w:p>
        </w:tc>
        <w:tc>
          <w:tcPr/>
          <w:p>
            <w:pPr>
              <w:pStyle w:val="Compact"/>
            </w:pPr>
            <w:r>
              <w:t xml:space="preserve">RAM pico por servicio, 2 niveles × 3 rep.</w:t>
            </w:r>
          </w:p>
        </w:tc>
        <w:tc>
          <w:tcPr/>
          <w:p>
            <w:pPr>
              <w:pStyle w:val="Compact"/>
            </w:pPr>
            <w:r>
              <w:t xml:space="preserve">§5.1,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Medir latencia y su degradación</w:t>
            </w:r>
          </w:p>
        </w:tc>
        <w:tc>
          <w:tcPr/>
          <w:p>
            <w:pPr>
              <w:pStyle w:val="Compact"/>
            </w:pPr>
            <w:r>
              <w:t xml:space="preserve">El plano HTTP se degrada sin fallar: P95 de 826 a 1 045 ms (+26 %), 0 fallos en 64 706 peticiones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summary.json</w:t>
            </w:r>
            <w:r>
              <w:t xml:space="preserve"> </w:t>
            </w:r>
            <w:r>
              <w:t xml:space="preserve">de k6 por corrida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Localizar el punto de quiebre (H4)</w:t>
            </w:r>
          </w:p>
        </w:tc>
        <w:tc>
          <w:tcPr/>
          <w:p>
            <w:pPr>
              <w:pStyle w:val="Compact"/>
            </w:pPr>
            <w:r>
              <w:t xml:space="preserve">Aparece en el nivel 1 000 y en el plano de tiempo real, con 23.87 % de conexiones caídas y establecimiento P95 de ~20 s. En el nivel 100 la latencia HTTP rebasa su criterio por margen estrecho (826 ms contra 800 ms), cruce que no califica como punto de quiebre por no ser sostenido</w:t>
            </w:r>
          </w:p>
        </w:tc>
        <w:tc>
          <w:tcPr/>
          <w:p>
            <w:pPr>
              <w:pStyle w:val="Compact"/>
            </w:pPr>
            <w:r>
              <w:t xml:space="preserve">Umbrales predefinidos frente a la medición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Caracterizar el costo de la capa gratuita</w:t>
            </w:r>
          </w:p>
        </w:tc>
        <w:tc>
          <w:tcPr/>
          <w:p>
            <w:pPr>
              <w:pStyle w:val="Compact"/>
            </w:pPr>
            <w:r>
              <w:t xml:space="preserve">Cuatro restricciones operativas condicionan la viabilidad del sistema y también la del experimento</w:t>
            </w:r>
          </w:p>
        </w:tc>
        <w:tc>
          <w:tcPr/>
          <w:p>
            <w:pPr>
              <w:pStyle w:val="Compact"/>
            </w:pPr>
            <w:r>
              <w:t xml:space="preserve">Bitácora y telemetría del incidente</w:t>
            </w:r>
          </w:p>
        </w:tc>
        <w:tc>
          <w:tcPr/>
          <w:p>
            <w:pPr>
              <w:pStyle w:val="Compact"/>
            </w:pPr>
            <w:r>
              <w:t xml:space="preserve">§5.3, §5.4</w:t>
            </w:r>
          </w:p>
        </w:tc>
      </w:tr>
    </w:tbl>
    <w:bookmarkEnd w:id="14"/>
    <w:bookmarkStart w:id="15" w:name="b.2-síntesis-de-resultados"/>
    <w:p>
      <w:pPr>
        <w:pStyle w:val="Heading2"/>
      </w:pPr>
      <w:r>
        <w:t xml:space="preserve">b.2 Síntesis de resultados</w:t>
      </w:r>
    </w:p>
    <w:p>
      <w:pPr>
        <w:pStyle w:val="FirstParagraph"/>
      </w:pPr>
      <w:r>
        <w:rPr>
          <w:b/>
          <w:bCs/>
        </w:rPr>
        <w:t xml:space="preserve">Línea base (100 VUs).</w:t>
      </w:r>
      <w:r>
        <w:t xml:space="preserve"> </w:t>
      </w:r>
      <w:r>
        <w:t xml:space="preserve">21 596 peticiones HTTP sin fallos (35.3 req/s sostenidas),</w:t>
      </w:r>
      <w:r>
        <w:t xml:space="preserve"> </w:t>
      </w:r>
      <w:r>
        <w:t xml:space="preserve">408 sesiones WebSocket sin caídas, conexión media de 682 ms y latencia HTTP P95 de</w:t>
      </w:r>
      <w:r>
        <w:t xml:space="preserve"> </w:t>
      </w:r>
      <w:r>
        <w:t xml:space="preserve">404 ms, con un consumo pico de 20.9 a 44.5 MB por servicio (4.1 % a 8.7 % de los</w:t>
      </w:r>
      <w:r>
        <w:t xml:space="preserve"> </w:t>
      </w:r>
      <w:r>
        <w:t xml:space="preserve">512 MB). A esta escala la arquitectura opera con holgura de un orden de magnitud en</w:t>
      </w:r>
      <w:r>
        <w:t xml:space="preserve"> </w:t>
      </w:r>
      <w:r>
        <w:t xml:space="preserve">memoria y de un factor de dos en latencia.</w:t>
      </w:r>
    </w:p>
    <w:p>
      <w:pPr>
        <w:pStyle w:val="BodyText"/>
      </w:pPr>
      <w:r>
        <w:rPr>
          <w:b/>
          <w:bCs/>
        </w:rPr>
        <w:t xml:space="preserve">Matriz ejecutada (100 y 1 000 VUs, 6 corridas válidas de 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VUs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 VUs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Peticiones HTTP fallidas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0.00 % (0 / 64 706)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HTTP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 ms (790–847)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1 045 ms (955–1 138)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Conexiones WS caídas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0.00 % (0–1.92)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23.87 % (23.59–24.16)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establecimiento 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 ms (894–932)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19 974 ms (19 817–20 251)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api-gateway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 MB (43.5–43.8)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238.5 MB (236.8–239.2)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realtime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 MB (36.6–50.7)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231.3 MB (164.1–293.0)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 MB (51.0–52.3)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 MB (49.9–60.4)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habits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 MB (20.6–21.0)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 MB (20.7–21.5)</w:t>
            </w:r>
          </w:p>
        </w:tc>
      </w:tr>
    </w:tbl>
    <w:p>
      <w:pPr>
        <w:pStyle w:val="BodyText"/>
      </w:pPr>
      <w:r>
        <w:rPr>
          <w:i/>
          <w:iCs/>
        </w:rPr>
        <w:t xml:space="preserve">Mediana de 3 repeticiones por nivel; mín–máx entre paréntesis. En negritas, los</w:t>
      </w:r>
      <w:r>
        <w:rPr>
          <w:i/>
          <w:iCs/>
        </w:rPr>
        <w:t xml:space="preserve"> </w:t>
      </w:r>
      <w:r>
        <w:rPr>
          <w:i/>
          <w:iCs/>
        </w:rPr>
        <w:t xml:space="preserve">valores que cruzan uno de los seis criterios de servicio fijados antes de medir</w:t>
      </w:r>
      <w:r>
        <w:rPr>
          <w:i/>
          <w:iCs/>
        </w:rPr>
        <w:t xml:space="preserve"> </w:t>
      </w:r>
      <w:r>
        <w:rPr>
          <w:i/>
          <w:iCs/>
        </w:rPr>
        <w:t xml:space="preserve">(latencia HTTP P95 &lt; 800 ms, latencia HTTP P99 &lt; 2 000 ms, fallos HTTP &lt; 5 %,</w:t>
      </w:r>
      <w:r>
        <w:rPr>
          <w:i/>
          <w:iCs/>
        </w:rPr>
        <w:t xml:space="preserve"> </w:t>
      </w:r>
      <w:r>
        <w:rPr>
          <w:i/>
          <w:iCs/>
        </w:rPr>
        <w:t xml:space="preserve">establecimiento WS P95 &lt; 2 s, caídas WS &lt; 10 %, verificaciones &gt; 95 %).</w:t>
      </w:r>
    </w:p>
    <w:p>
      <w:pPr>
        <w:pStyle w:val="BodyText"/>
      </w:pPr>
      <w:r>
        <w:rPr>
          <w:b/>
          <w:bCs/>
        </w:rPr>
        <w:t xml:space="preserve">Arranque en frío.</w:t>
      </w:r>
      <w:r>
        <w:t xml:space="preserve"> </w:t>
      </w:r>
      <w:r>
        <w:t xml:space="preserve">Tras la suspensión por inactividad, la primera respuesta de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tardó entre 10.7 y 13.5 s por servicio, contra 0.3 a 0.6 s en caliente.</w:t>
      </w:r>
      <w:r>
        <w:t xml:space="preserve"> </w:t>
      </w:r>
      <w:r>
        <w:t xml:space="preserve">El efecto compuesto es peor que el individual, porque mientras un servicio proxeado</w:t>
      </w:r>
      <w:r>
        <w:t xml:space="preserve"> </w:t>
      </w:r>
      <w:r>
        <w:t xml:space="preserve">despierta el gateway agota su espera y responde 502 en cadena; un cliente que llega en</w:t>
      </w:r>
      <w:r>
        <w:t xml:space="preserve"> </w:t>
      </w:r>
      <w:r>
        <w:t xml:space="preserve">frío percibe la aplicación caída durante 30 a 60 s.</w:t>
      </w:r>
    </w:p>
    <w:p>
      <w:pPr>
        <w:pStyle w:val="BodyText"/>
      </w:pPr>
      <w:r>
        <w:rPr>
          <w:b/>
          <w:bCs/>
        </w:rPr>
        <w:t xml:space="preserve">Hallazgos operativos del free tier.</w:t>
      </w:r>
      <w:r>
        <w:t xml:space="preserve"> </w:t>
      </w:r>
      <w:r>
        <w:t xml:space="preserve">Fueron cuatro. La cuota de egreso: la Sesión 1</w:t>
      </w:r>
      <w:r>
        <w:t xml:space="preserve"> </w:t>
      </w:r>
      <w:r>
        <w:t xml:space="preserve">movió unos 17.8 GB contra los 5 GB mensuales por cuenta y provocó la suspensión de</w:t>
      </w:r>
      <w:r>
        <w:t xml:space="preserve"> </w:t>
      </w:r>
      <w:r>
        <w:t xml:space="preserve">dos cuentas, y la compresión gzip midió 270 788 a 28 114 bytes, un 89.6 % menos. La</w:t>
      </w:r>
      <w:r>
        <w:t xml:space="preserve"> </w:t>
      </w:r>
      <w:r>
        <w:t xml:space="preserve">pausa de la capa de datos tras 8 días de inactividad, con restauración manual de unos</w:t>
      </w:r>
      <w:r>
        <w:t xml:space="preserve"> </w:t>
      </w:r>
      <w:r>
        <w:t xml:space="preserve">2.5 minutos. Los créditos de ráfaga de la instancia de base de datos, donde dos</w:t>
      </w:r>
      <w:r>
        <w:t xml:space="preserve"> </w:t>
      </w:r>
      <w:r>
        <w:t xml:space="preserve">corridas colapsaron con 87.2 % y 87.9 % de caídas, memoria al tope y CPU ociosa, la</w:t>
      </w:r>
      <w:r>
        <w:t xml:space="preserve"> </w:t>
      </w:r>
      <w:r>
        <w:t xml:space="preserve">firma de una inanición de E/S. Y el modo de</w:t>
      </w:r>
      <w:r>
        <w:t xml:space="preserve"> </w:t>
      </w:r>
      <w:r>
        <w:rPr>
          <w:i/>
          <w:iCs/>
        </w:rPr>
        <w:t xml:space="preserve">pooling</w:t>
      </w:r>
      <w:r>
        <w:t xml:space="preserve">, que quedó descartado como causa raíz en</w:t>
      </w:r>
      <w:r>
        <w:t xml:space="preserve"> </w:t>
      </w:r>
      <w:r>
        <w:t xml:space="preserve">este caso pero documentado como multiplicador de riesgo.</w:t>
      </w:r>
    </w:p>
    <w:bookmarkEnd w:id="15"/>
    <w:bookmarkStart w:id="16" w:name="X20f1048dccc428001b5707cfd5e19928aee13a0"/>
    <w:p>
      <w:pPr>
        <w:pStyle w:val="Heading2"/>
      </w:pPr>
      <w:r>
        <w:t xml:space="preserve">b.3 Discusión: vínculo con el marco teórico y con la hipótesis</w:t>
      </w:r>
    </w:p>
    <w:p>
      <w:pPr>
        <w:pStyle w:val="FirstParagraph"/>
      </w:pPr>
      <w:r>
        <w:t xml:space="preserve">La discusión del informe responde cuatro preguntas y ata cada una a la literatura</w:t>
      </w:r>
      <w:r>
        <w:t xml:space="preserve"> </w:t>
      </w:r>
      <w:r>
        <w:t xml:space="preserve">seleccionada en la Unidad II.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 de la discusión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  <w:tc>
          <w:tcPr/>
          <w:p>
            <w:pPr>
              <w:pStyle w:val="Compact"/>
            </w:pPr>
            <w:r>
              <w:t xml:space="preserve">Vínculo con el marco teórico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¿Dónde se quiebra primero y por qué?</w:t>
            </w:r>
          </w:p>
        </w:tc>
        <w:tc>
          <w:tcPr/>
          <w:p>
            <w:pPr>
              <w:pStyle w:val="Compact"/>
            </w:pPr>
            <w:r>
              <w:t xml:space="preserve">Por calidad de servicio del canal en vivo. El handshake WS valida membresía contra</w:t>
            </w:r>
            <w:r>
              <w:t xml:space="preserve"> </w:t>
            </w:r>
            <w:r>
              <w:rPr>
                <w:rStyle w:val="VerbatimChar"/>
              </w:rPr>
              <w:t xml:space="preserve">groups-service</w:t>
            </w:r>
            <w:r>
              <w:t xml:space="preserve">, de modo que la salud del tiempo real depende de un servicio transaccional y de su capa de datos</w:t>
            </w:r>
          </w:p>
        </w:tc>
        <w:tc>
          <w:tcPr/>
          <w:p>
            <w:pPr>
              <w:pStyle w:val="Compact"/>
            </w:pPr>
            <w:r>
              <w:t xml:space="preserve">Nor Sobri et al. (2022): el</w:t>
            </w:r>
            <w:r>
              <w:t xml:space="preserve"> </w:t>
            </w:r>
            <w:r>
              <w:rPr>
                <w:i/>
                <w:iCs/>
              </w:rPr>
              <w:t xml:space="preserve">pool</w:t>
            </w:r>
            <w:r>
              <w:t xml:space="preserve"> </w:t>
            </w:r>
            <w:r>
              <w:t xml:space="preserve">de conexiones a la BD es determinante bajo estrés, y aquí es el eslabón que rompe la cadena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¿La fragmentación en 4 cuentas aísla o propaga fallos?</w:t>
            </w:r>
          </w:p>
        </w:tc>
        <w:tc>
          <w:tcPr/>
          <w:p>
            <w:pPr>
              <w:pStyle w:val="Compact"/>
            </w:pPr>
            <w:r>
              <w:t xml:space="preserve">Hace las dos cosas. Aísla presupuestos (el egreso suspendió 2 cuentas y dejó intactas las otras 2) y propaga por dependencias (un realtime sano entregó 87 % de fallos por un groups bloqueado)</w:t>
            </w:r>
          </w:p>
        </w:tc>
        <w:tc>
          <w:tcPr/>
          <w:p>
            <w:pPr>
              <w:pStyle w:val="Compact"/>
            </w:pPr>
            <w:r>
              <w:t xml:space="preserve">Newman (2021): aislamiento de recursos ≠ aislamiento de fallos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¿Qué margen real ofrece para uso académico?</w:t>
            </w:r>
          </w:p>
        </w:tc>
        <w:tc>
          <w:tcPr/>
          <w:p>
            <w:pPr>
              <w:pStyle w:val="Compact"/>
            </w:pPr>
            <w:r>
              <w:t xml:space="preserve">A 100 conexiones concurrentes hay holgura amplia en memoria, errores y estabilidad del canal en vivo, y ninguna en latencia HTTP (826 ms contra 800 ms); el criterio del canal en vivo se cruza en algún punto entre 100 y 1 000</w:t>
            </w:r>
          </w:p>
        </w:tc>
        <w:tc>
          <w:tcPr/>
          <w:p>
            <w:pPr>
              <w:pStyle w:val="Compact"/>
            </w:pPr>
            <w:r>
              <w:t xml:space="preserve">Blinowski et al. (2022): línea base de expectativas en hardware restringido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¿Cuántos usuarios reales son?</w:t>
            </w:r>
          </w:p>
        </w:tc>
        <w:tc>
          <w:tcPr/>
          <w:p>
            <w:pPr>
              <w:pStyle w:val="Compact"/>
            </w:pPr>
            <w:r>
              <w:t xml:space="preserve">Unos 3 200 UAD (≈400 grupos llenos), como</w:t>
            </w:r>
            <w:r>
              <w:t xml:space="preserve"> </w:t>
            </w:r>
            <w:r>
              <w:rPr>
                <w:b/>
                <w:bCs/>
              </w:rPr>
              <w:t xml:space="preserve">estimación condicionada</w:t>
            </w:r>
            <w:r>
              <w:t xml:space="preserve"> </w:t>
            </w:r>
            <w:r>
              <w:t xml:space="preserve">por Ley de Little con supuestos declarados. Una cota independiente por cuota de egreso (1 100 a 3 700 UAD) converge al mismo orden</w:t>
            </w:r>
          </w:p>
        </w:tc>
        <w:tc>
          <w:tcPr/>
          <w:p>
            <w:pPr>
              <w:pStyle w:val="Compact"/>
            </w:pPr>
            <w:r>
              <w:t xml:space="preserve">Little (1961)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Contraste con la hipótesis.</w:t>
      </w:r>
      <w:r>
        <w:t xml:space="preserve"> </w:t>
      </w:r>
      <w:r>
        <w:t xml:space="preserve">H4, que postulaba un nivel ≤ 5 000 conexiones donde el</w:t>
      </w:r>
      <w:r>
        <w:t xml:space="preserve"> </w:t>
      </w:r>
      <w:r>
        <w:t xml:space="preserve">sistema incumpliera sus umbrales, queda confirmada. Los dos matices que la precisan</w:t>
      </w:r>
      <w:r>
        <w:t xml:space="preserve"> </w:t>
      </w:r>
      <w:r>
        <w:t xml:space="preserve">son la parte interesante. El quiebre llegó un orden de magnitud antes de lo esperado,</w:t>
      </w:r>
      <w:r>
        <w:t xml:space="preserve"> </w:t>
      </w:r>
      <w:r>
        <w:t xml:space="preserve">en el nivel 1 000. Y llegó por una vía distinta a la hipotetizada: calidad de servicio</w:t>
      </w:r>
      <w:r>
        <w:t xml:space="preserve"> </w:t>
      </w:r>
      <w:r>
        <w:t xml:space="preserve">con la memoria al 46.6 %, en lugar del agotamiento de memoria que se anticipaba. La</w:t>
      </w:r>
      <w:r>
        <w:t xml:space="preserve"> </w:t>
      </w:r>
      <w:r>
        <w:t xml:space="preserve">elección de Go se sostiene con Fernando y Engel (2025), aunque el estudio muestra que</w:t>
      </w:r>
      <w:r>
        <w:t xml:space="preserve"> </w:t>
      </w:r>
      <w:r>
        <w:t xml:space="preserve">en esta clase de despliegue el factor limitante resultó ser el acoplamiento</w:t>
      </w:r>
      <w:r>
        <w:t xml:space="preserve"> </w:t>
      </w:r>
      <w:r>
        <w:t xml:space="preserve">arquitectónico, por encima del lenguaje.</w:t>
      </w:r>
    </w:p>
    <w:bookmarkEnd w:id="16"/>
    <w:bookmarkStart w:id="17" w:name="b.4-conclusiones-y-recomendaciones"/>
    <w:p>
      <w:pPr>
        <w:pStyle w:val="Heading2"/>
      </w:pPr>
      <w:r>
        <w:t xml:space="preserve">b.4 Conclusiones y recomendaciones</w:t>
      </w:r>
    </w:p>
    <w:p>
      <w:pPr>
        <w:pStyle w:val="FirstParagraph"/>
      </w:pPr>
      <w:r>
        <w:rPr>
          <w:b/>
          <w:bCs/>
        </w:rPr>
        <w:t xml:space="preserve">Respuesta a la pregunta de investigación.</w:t>
      </w:r>
      <w:r>
        <w:t xml:space="preserve"> </w:t>
      </w:r>
      <w:r>
        <w:t xml:space="preserve">La arquitectura sí sostiene tráfico</w:t>
      </w:r>
      <w:r>
        <w:t xml:space="preserve"> </w:t>
      </w:r>
      <w:r>
        <w:t xml:space="preserve">concurrente con tiempo real, con un límite medido. A 100 conexiones concurrentes opera</w:t>
      </w:r>
      <w:r>
        <w:t xml:space="preserve"> </w:t>
      </w:r>
      <w:r>
        <w:t xml:space="preserve">con holgura; a 1 000, el plano HTTP sigue sin fallar mientras el canal en vivo cruza su</w:t>
      </w:r>
      <w:r>
        <w:t xml:space="preserve"> </w:t>
      </w:r>
      <w:r>
        <w:t xml:space="preserve">umbral de servicio. El punto de quiebre está por debajo de las 1 000 conexiones y llegó</w:t>
      </w:r>
      <w:r>
        <w:t xml:space="preserve"> </w:t>
      </w:r>
      <w:r>
        <w:t xml:space="preserve">por calidad de servicio del canal en vivo.</w:t>
      </w:r>
    </w:p>
    <w:p>
      <w:pPr>
        <w:pStyle w:val="BodyText"/>
      </w:pPr>
      <w:r>
        <w:t xml:space="preserve">Recomendaciones derivadas de la evidencia, ordenadas por la relación costo/beneficio</w:t>
      </w:r>
      <w:r>
        <w:t xml:space="preserve"> </w:t>
      </w:r>
      <w:r>
        <w:t xml:space="preserve">que se pudo medir: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Comprimir las respuestas antes de cualquier otra optimización.</w:t>
      </w:r>
      <w:r>
        <w:t xml:space="preserve"> </w:t>
      </w:r>
      <w:r>
        <w:t xml:space="preserve">Es la única</w:t>
      </w:r>
      <w:r>
        <w:t xml:space="preserve"> </w:t>
      </w:r>
      <w:r>
        <w:t xml:space="preserve">mitigación cuyo efecto se midió directamente (89.6 % menos bytes en el cable) y</w:t>
      </w:r>
      <w:r>
        <w:t xml:space="preserve"> </w:t>
      </w:r>
      <w:r>
        <w:t xml:space="preserve">ataca la restricción que efectivamente dejó el sistema fuera de línea.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Desacoplar la verificación de membresía del handshake WebSocket</w:t>
      </w:r>
      <w:r>
        <w:t xml:space="preserve">, con caché con</w:t>
      </w:r>
      <w:r>
        <w:t xml:space="preserve"> </w:t>
      </w:r>
      <w:r>
        <w:t xml:space="preserve">expiración o token firmado de sala. Es el mecanismo identificado del quiebre.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Tratar el ciclo de la capa de datos como decisión de diseño.</w:t>
      </w:r>
      <w:r>
        <w:t xml:space="preserve"> </w:t>
      </w:r>
      <w:r>
        <w:t xml:space="preserve">Los créditos de</w:t>
      </w:r>
      <w:r>
        <w:t xml:space="preserve"> </w:t>
      </w:r>
      <w:r>
        <w:t xml:space="preserve">ráfaga hacen que el mismo sistema rinda distinto según su historial de consumo, así</w:t>
      </w:r>
      <w:r>
        <w:t xml:space="preserve"> </w:t>
      </w:r>
      <w:r>
        <w:t xml:space="preserve">que dejarlo en manos de la operación deja el rendimiento al azar.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Presupuestar el arranque en frío dentro de la experiencia de usuario</w:t>
      </w:r>
      <w:r>
        <w:t xml:space="preserve">, con</w:t>
      </w:r>
      <w:r>
        <w:t xml:space="preserve"> </w:t>
      </w:r>
      <w:r>
        <w:t xml:space="preserve">despertar en cascada y pinger externo, porque 30 a 60 s de percepción de caída pesan</w:t>
      </w:r>
      <w:r>
        <w:t xml:space="preserve"> </w:t>
      </w:r>
      <w:r>
        <w:t xml:space="preserve">más que 200 ms de P95.</w:t>
      </w:r>
    </w:p>
    <w:bookmarkEnd w:id="17"/>
    <w:bookmarkStart w:id="21" w:name="b.5-confiabilidad-validez-y-limitaciones"/>
    <w:p>
      <w:pPr>
        <w:pStyle w:val="Heading2"/>
      </w:pPr>
      <w:r>
        <w:t xml:space="preserve">b.5 Confiabilidad, validez y limitaciones</w:t>
      </w:r>
    </w:p>
    <w:p>
      <w:pPr>
        <w:pStyle w:val="FirstParagraph"/>
      </w:pPr>
      <w:r>
        <w:t xml:space="preserve">Esta declaración es requisito del entregable, y se sostiene con la dispersión medida</w:t>
      </w:r>
      <w:r>
        <w:t xml:space="preserve"> </w:t>
      </w:r>
      <w:r>
        <w:t xml:space="preserve">en lugar de con afirmaciones cualitativas. Vive también dentro del informe: §5.5 de</w:t>
      </w:r>
      <w:r>
        <w:t xml:space="preserve"> </w:t>
      </w:r>
      <w:r>
        <w:rPr>
          <w:rStyle w:val="VerbatimChar"/>
        </w:rPr>
        <w:t xml:space="preserve">articulo.md</w:t>
      </w:r>
      <w:r>
        <w:t xml:space="preserve"> </w:t>
      </w:r>
      <w:r>
        <w:t xml:space="preserve">recoge la tabla de coeficientes de variación y §7 incorpora la fiabilidad</w:t>
      </w:r>
      <w:r>
        <w:t xml:space="preserve"> </w:t>
      </w:r>
      <w:r>
        <w:t xml:space="preserve">como la cuarta categoría de validez del esquema que Runeson y Höst (2009) proponen para</w:t>
      </w:r>
      <w:r>
        <w:t xml:space="preserve"> </w:t>
      </w:r>
      <w:r>
        <w:t xml:space="preserve">estudios de caso en ingeniería de software, junto a constructo, interna y externa.</w:t>
      </w:r>
    </w:p>
    <w:bookmarkStart w:id="18" w:name="X33aadc60dd869efe9806724b844a68d65e4b2b8"/>
    <w:p>
      <w:pPr>
        <w:pStyle w:val="Heading3"/>
      </w:pPr>
      <w:r>
        <w:t xml:space="preserve">Confiabilidad (repetibilidad de la medición)</w:t>
      </w:r>
    </w:p>
    <w:p>
      <w:pPr>
        <w:pStyle w:val="FirstParagraph"/>
      </w:pPr>
      <w:r>
        <w:t xml:space="preserve">Tres repeticiones por nivel, mismo</w:t>
      </w:r>
      <w:r>
        <w:t xml:space="preserve"> </w:t>
      </w:r>
      <w:r>
        <w:rPr>
          <w:i/>
          <w:iCs/>
        </w:rPr>
        <w:t xml:space="preserve">commit</w:t>
      </w:r>
      <w:r>
        <w:t xml:space="preserve">, misma ventana horaria. El coeficiente de</w:t>
      </w:r>
      <w:r>
        <w:t xml:space="preserve"> </w:t>
      </w:r>
      <w:r>
        <w:t xml:space="preserve">variación (CV = desviación estándar / media) entre repeticiones quedó así: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a 100 VUs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a 1 000 VUs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Conexiones WS caídas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173.4 %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1.2 %</w:t>
            </w:r>
          </w:p>
        </w:tc>
        <w:tc>
          <w:tcPr/>
          <w:p>
            <w:pPr>
              <w:pStyle w:val="Compact"/>
            </w:pPr>
            <w:r>
              <w:t xml:space="preserve">A 100 VUs el CV es artificial, porque la media ronda cero (dos ceros y un 1.92 %). A 1 000 la medición es muy 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establecimiento 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1.1 %</w:t>
            </w:r>
          </w:p>
        </w:tc>
        <w:tc>
          <w:tcPr/>
          <w:p>
            <w:pPr>
              <w:pStyle w:val="Compact"/>
            </w:pPr>
            <w:r>
              <w:t xml:space="preserve">Altamente repetible en ambos niveles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HTTP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8.8 %</w:t>
            </w:r>
          </w:p>
        </w:tc>
        <w:tc>
          <w:tcPr/>
          <w:p>
            <w:pPr>
              <w:pStyle w:val="Compact"/>
            </w:pPr>
            <w:r>
              <w:t xml:space="preserve">Repetible; la dispersión crece con la carga, como se esperaba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api-gateway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0.5 %</w:t>
            </w:r>
          </w:p>
        </w:tc>
        <w:tc>
          <w:tcPr/>
          <w:p>
            <w:pPr>
              <w:pStyle w:val="Compact"/>
            </w:pPr>
            <w:r>
              <w:t xml:space="preserve">Prácticamente determinista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9.5 %</w:t>
            </w:r>
          </w:p>
        </w:tc>
        <w:tc>
          <w:tcPr/>
          <w:p>
            <w:pPr>
              <w:pStyle w:val="Compact"/>
            </w:pPr>
            <w:r>
              <w:t xml:space="preserve">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habits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2.2 %</w:t>
            </w:r>
          </w:p>
        </w:tc>
        <w:tc>
          <w:tcPr/>
          <w:p>
            <w:pPr>
              <w:pStyle w:val="Compact"/>
            </w:pPr>
            <w:r>
              <w:t xml:space="preserve">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pico realtime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28.1 %</w:t>
            </w:r>
          </w:p>
        </w:tc>
        <w:tc>
          <w:tcPr/>
          <w:p>
            <w:pPr>
              <w:pStyle w:val="Compact"/>
            </w:pPr>
            <w:r>
              <w:t xml:space="preserve">La métrica menos repetible del conjunto (164 a 293 MB). Se reporta con su rango y queda fuera de las conclusiones finas</w:t>
            </w:r>
          </w:p>
        </w:tc>
      </w:tr>
    </w:tbl>
    <w:p>
      <w:pPr>
        <w:pStyle w:val="BodyText"/>
      </w:pPr>
      <w:r>
        <w:t xml:space="preserve">La conclusión central del estudio descansa en la métrica más estable del conjunto,</w:t>
      </w:r>
      <w:r>
        <w:t xml:space="preserve"> </w:t>
      </w:r>
      <w:r>
        <w:t xml:space="preserve">las caídas WS a 1 000 VUs con un CV de 1.2 %, lo que descarta el ruido de plataforma</w:t>
      </w:r>
      <w:r>
        <w:t xml:space="preserve"> </w:t>
      </w:r>
      <w:r>
        <w:t xml:space="preserve">como explicación del quiebre. La métrica más volátil, la RAM de realtime, se usa</w:t>
      </w:r>
      <w:r>
        <w:t xml:space="preserve"> </w:t>
      </w:r>
      <w:r>
        <w:t xml:space="preserve">únicamente para afirmar el patrón grueso, el crecimiento ×5 en la ruta WS, y queda</w:t>
      </w:r>
      <w:r>
        <w:t xml:space="preserve"> </w:t>
      </w:r>
      <w:r>
        <w:t xml:space="preserve">fuera de cualquier proyección puntual.</w:t>
      </w:r>
    </w:p>
    <w:p>
      <w:pPr>
        <w:pStyle w:val="BodyText"/>
      </w:pPr>
      <w:r>
        <w:t xml:space="preserve">La confiabilidad se apoya además en otros tres soportes: el instrumento versionado con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commit hash</w:t>
      </w:r>
      <w:r>
        <w:t xml:space="preserve"> </w:t>
      </w:r>
      <w:r>
        <w:t xml:space="preserve">del código medido en cada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; el banco, los estadísticos</w:t>
      </w:r>
      <w:r>
        <w:t xml:space="preserve"> </w:t>
      </w:r>
      <w:r>
        <w:t xml:space="preserve">y las figuras regenerables con un solo comando desde los datos crudos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analyze_results.py</w:t>
      </w:r>
      <w:r>
        <w:t xml:space="preserve">), de modo que ninguna cifra depende de una transcripción manual;</w:t>
      </w:r>
      <w:r>
        <w:t xml:space="preserve"> </w:t>
      </w:r>
      <w:r>
        <w:t xml:space="preserve">y la bitácora de las 11 corridas (7 válidas y 4 excluidas) con la causa asignable de</w:t>
      </w:r>
      <w:r>
        <w:t xml:space="preserve"> </w:t>
      </w:r>
      <w:r>
        <w:t xml:space="preserve">cada exclusión.</w:t>
      </w:r>
    </w:p>
    <w:bookmarkEnd w:id="18"/>
    <w:bookmarkStart w:id="19" w:name="validez"/>
    <w:p>
      <w:pPr>
        <w:pStyle w:val="Heading3"/>
      </w:pPr>
      <w:r>
        <w:t xml:space="preserve">Validez</w:t>
      </w:r>
    </w:p>
    <w:p>
      <w:pPr>
        <w:pStyle w:val="FirstParagraph"/>
      </w:pPr>
      <w:r>
        <w:rPr>
          <w:b/>
          <w:bCs/>
        </w:rPr>
        <w:t xml:space="preserve">De constructo.</w:t>
      </w:r>
      <w:r>
        <w:t xml:space="preserve"> </w:t>
      </w:r>
      <w:r>
        <w:t xml:space="preserve">Se mide lo que se dice medir en el plano de recursos y latencia,</w:t>
      </w:r>
      <w:r>
        <w:t xml:space="preserve"> </w:t>
      </w:r>
      <w:r>
        <w:t xml:space="preserve">con telemetría del servidor e inyector independiente como dos fuentes que se cruzan.</w:t>
      </w:r>
      <w:r>
        <w:t xml:space="preserve"> </w:t>
      </w:r>
      <w:r>
        <w:t xml:space="preserve">La amenaza reconocida es que todos los usuarios virtuales se autentican con una sola</w:t>
      </w:r>
      <w:r>
        <w:t xml:space="preserve"> </w:t>
      </w:r>
      <w:r>
        <w:t xml:space="preserve">cuenta, por lo que los patrones de caché de base de datos no representan a miles de</w:t>
      </w:r>
      <w:r>
        <w:t xml:space="preserve"> </w:t>
      </w:r>
      <w:r>
        <w:t xml:space="preserve">usuarios distintos.</w:t>
      </w:r>
    </w:p>
    <w:p>
      <w:pPr>
        <w:pStyle w:val="BodyText"/>
      </w:pPr>
      <w:r>
        <w:rPr>
          <w:b/>
          <w:bCs/>
        </w:rPr>
        <w:t xml:space="preserve">Interna.</w:t>
      </w:r>
      <w:r>
        <w:t xml:space="preserve"> </w:t>
      </w:r>
      <w:r>
        <w:t xml:space="preserve">Las condiciones quedaron fijadas y declaradas: mismo</w:t>
      </w:r>
      <w:r>
        <w:t xml:space="preserve"> </w:t>
      </w:r>
      <w:r>
        <w:rPr>
          <w:i/>
          <w:iCs/>
        </w:rPr>
        <w:t xml:space="preserve">commit</w:t>
      </w:r>
      <w:r>
        <w:t xml:space="preserve">, keep-alive</w:t>
      </w:r>
      <w:r>
        <w:t xml:space="preserve"> </w:t>
      </w:r>
      <w:r>
        <w:t xml:space="preserve">pausado, servicios despertados antes de cada corrida y 10 minutos de reposo entre</w:t>
      </w:r>
      <w:r>
        <w:t xml:space="preserve"> </w:t>
      </w:r>
      <w:r>
        <w:t xml:space="preserve">corridas. El confusor más grave, el limitador de tasa por usuario, fue detectado y</w:t>
      </w:r>
      <w:r>
        <w:t xml:space="preserve"> </w:t>
      </w:r>
      <w:r>
        <w:t xml:space="preserve">eliminado por el piloto antes de medir, y el episodio queda documentado en §4.6. Los</w:t>
      </w:r>
      <w:r>
        <w:t xml:space="preserve"> </w:t>
      </w:r>
      <w:r>
        <w:t xml:space="preserve">criterios de exclusión se fijaron antes de las corridas y se aplicaron por causa</w:t>
      </w:r>
      <w:r>
        <w:t xml:space="preserve"> </w:t>
      </w:r>
      <w:r>
        <w:t xml:space="preserve">asignable, nunca por el valor de las métricas.</w:t>
      </w:r>
    </w:p>
    <w:p>
      <w:pPr>
        <w:pStyle w:val="BodyText"/>
      </w:pPr>
      <w:r>
        <w:rPr>
          <w:b/>
          <w:bCs/>
        </w:rPr>
        <w:t xml:space="preserve">De conclusión estadística.</w:t>
      </w:r>
      <w:r>
        <w:t xml:space="preserve"> </w:t>
      </w:r>
      <w:r>
        <w:t xml:space="preserve">Con n = 3 por nivel no se aplican pruebas de</w:t>
      </w:r>
      <w:r>
        <w:t xml:space="preserve"> </w:t>
      </w:r>
      <w:r>
        <w:t xml:space="preserve">significancia; se reporta estadística descriptiva (mediana, rango, CV). La distancia</w:t>
      </w:r>
      <w:r>
        <w:t xml:space="preserve"> </w:t>
      </w:r>
      <w:r>
        <w:t xml:space="preserve">entre lo medido y el umbral es de tal magnitud (23.87 % contra un límite de 10 %, con</w:t>
      </w:r>
      <w:r>
        <w:t xml:space="preserve"> </w:t>
      </w:r>
      <w:r>
        <w:t xml:space="preserve">rango de 23.59 a 24.16) que la conclusión no depende de un contraste inferencial.</w:t>
      </w:r>
    </w:p>
    <w:p>
      <w:pPr>
        <w:pStyle w:val="BodyText"/>
      </w:pPr>
      <w:r>
        <w:rPr>
          <w:b/>
          <w:bCs/>
        </w:rPr>
        <w:t xml:space="preserve">Externa.</w:t>
      </w:r>
      <w:r>
        <w:t xml:space="preserve"> </w:t>
      </w:r>
      <w:r>
        <w:t xml:space="preserve">Es un estudio de caso de una combinación concreta, Go con Render y</w:t>
      </w:r>
      <w:r>
        <w:t xml:space="preserve"> </w:t>
      </w:r>
      <w:r>
        <w:t xml:space="preserve">Supabase. Los hallazgos informan sobre esta clase de arquitectura y no sobre cualquier</w:t>
      </w:r>
      <w:r>
        <w:t xml:space="preserve"> </w:t>
      </w:r>
      <w:r>
        <w:t xml:space="preserve">PaaS gratuita. El aporte se sostiene en la replicabilidad, que descansa en el artefacto</w:t>
      </w:r>
      <w:r>
        <w:t xml:space="preserve"> </w:t>
      </w:r>
      <w:r>
        <w:t xml:space="preserve">publicado.</w:t>
      </w:r>
    </w:p>
    <w:bookmarkEnd w:id="19"/>
    <w:bookmarkStart w:id="20" w:name="limitaciones-declaradas"/>
    <w:p>
      <w:pPr>
        <w:pStyle w:val="Heading3"/>
      </w:pPr>
      <w:r>
        <w:t xml:space="preserve">Limitaciones declaradas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 de los cuatro niveles.</w:t>
      </w:r>
      <w:r>
        <w:t xml:space="preserve"> </w:t>
      </w:r>
      <w:r>
        <w:t xml:space="preserve">Las restricciones operativas del propio free tier</w:t>
      </w:r>
      <w:r>
        <w:t xml:space="preserve"> </w:t>
      </w:r>
      <w:r>
        <w:t xml:space="preserve">agotaron la ventana experimental antes de 2 500 y 5 000 VUs. Como el quiebre apareció</w:t>
      </w:r>
      <w:r>
        <w:t xml:space="preserve"> </w:t>
      </w:r>
      <w:r>
        <w:t xml:space="preserve">en el nivel 1 000, los niveles superiores habrían caracterizado el comportamiento</w:t>
      </w:r>
      <w:r>
        <w:t xml:space="preserve"> </w:t>
      </w:r>
      <w:r>
        <w:rPr>
          <w:i/>
          <w:iCs/>
        </w:rPr>
        <w:t xml:space="preserve">posterior</w:t>
      </w:r>
      <w:r>
        <w:t xml:space="preserve"> </w:t>
      </w:r>
      <w:r>
        <w:t xml:space="preserve">al quiebre, incluida la búsqueda del OOM, sin cambiar la conclusión</w:t>
      </w:r>
      <w:r>
        <w:t xml:space="preserve"> </w:t>
      </w:r>
      <w:r>
        <w:t xml:space="preserve">sobre su existencia. Queda declarado como trabajo futuro.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Inyector único.</w:t>
      </w:r>
      <w:r>
        <w:t xml:space="preserve"> </w:t>
      </w:r>
      <w:r>
        <w:t xml:space="preserve">k6 corre desde una sola máquina y red; su ancho de banda podría</w:t>
      </w:r>
      <w:r>
        <w:t xml:space="preserve"> </w:t>
      </w:r>
      <w:r>
        <w:t xml:space="preserve">haber sido cuello de botella en los niveles altos que no se ejecutaron.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Usuario único</w:t>
      </w:r>
      <w:r>
        <w:t xml:space="preserve">, la amenaza de constructo descrita arriba.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traducción a usuarios activos diarios es una estimación.</w:t>
      </w:r>
      <w:r>
        <w:t xml:space="preserve"> </w:t>
      </w:r>
      <w:r>
        <w:t xml:space="preserve">Depende de supuestos</w:t>
      </w:r>
      <w:r>
        <w:t xml:space="preserve"> </w:t>
      </w:r>
      <w:r>
        <w:t xml:space="preserve">de duración de sesión, sesiones por día y concentración en hora pico que no se</w:t>
      </w:r>
      <w:r>
        <w:t xml:space="preserve"> </w:t>
      </w:r>
      <w:r>
        <w:t xml:space="preserve">midieron sobre usuarios reales. Variarlos en rangos plausibles la mueve entre 10³ y</w:t>
      </w:r>
      <w:r>
        <w:t xml:space="preserve"> </w:t>
      </w:r>
      <w:r>
        <w:t xml:space="preserve">10⁴ UAD por el lado de concurrencia; la cota de egreso, independiente, la regresa al</w:t>
      </w:r>
      <w:r>
        <w:t xml:space="preserve"> </w:t>
      </w:r>
      <w:r>
        <w:t xml:space="preserve">orden de 10³.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Ruido de plataforma no eliminable.</w:t>
      </w:r>
      <w:r>
        <w:t xml:space="preserve"> </w:t>
      </w:r>
      <w:r>
        <w:t xml:space="preserve">Se observaron errores transitorios del borde</w:t>
      </w:r>
      <w:r>
        <w:t xml:space="preserve"> </w:t>
      </w:r>
      <w:r>
        <w:t xml:space="preserve">(Cloudflare 502/520) a razón de aproximadamente 1 de cada 40 peticiones incluso en</w:t>
      </w:r>
      <w:r>
        <w:t xml:space="preserve"> </w:t>
      </w:r>
      <w:r>
        <w:t xml:space="preserve">reposo.</w:t>
      </w:r>
    </w:p>
    <w:p>
      <w:pPr>
        <w:pStyle w:val="BlockText"/>
      </w:pPr>
      <w:r>
        <w:t xml:space="preserve">Entregable parcial verificable (b): §5, §6, §7 y §8 de</w:t>
      </w:r>
      <w:r>
        <w:t xml:space="preserve"> </w:t>
      </w:r>
      <w:r>
        <w:rPr>
          <w:rStyle w:val="VerbatimChar"/>
        </w:rPr>
        <w:t xml:space="preserve">articulo.md</w:t>
      </w:r>
      <w:r>
        <w:t xml:space="preserve"> </w:t>
      </w:r>
      <w:r>
        <w:t xml:space="preserve">—con la</w:t>
      </w:r>
      <w:r>
        <w:t xml:space="preserve"> </w:t>
      </w:r>
      <w:r>
        <w:t xml:space="preserve">fiabilidad declarada en §5.5, las amenazas a la validez en §7 y las recomendaciones</w:t>
      </w:r>
      <w:r>
        <w:t xml:space="preserve"> </w:t>
      </w:r>
      <w:r>
        <w:t xml:space="preserve">en §8.1—, más el borrador previo de la Actividad 3.5 del que derivan.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Xda017db0b286c0bc3851f8c54c896f9c4fb3297"/>
    <w:p>
      <w:pPr>
        <w:pStyle w:val="Heading1"/>
      </w:pPr>
      <w:r>
        <w:t xml:space="preserve">Subtarea c. Visualización y storytelling de datos</w:t>
      </w:r>
    </w:p>
    <w:bookmarkStart w:id="23" w:name="X02777bd178006714e65b8ff711a545a2b257ff3"/>
    <w:p>
      <w:pPr>
        <w:pStyle w:val="Heading2"/>
      </w:pPr>
      <w:r>
        <w:t xml:space="preserve">c.1 Criterio de selección de las visualizaciones</w:t>
      </w:r>
    </w:p>
    <w:p>
      <w:pPr>
        <w:pStyle w:val="FirstParagraph"/>
      </w:pPr>
      <w:r>
        <w:t xml:space="preserve">Se generaron dos alternativas por hallazgo, seis figuras en total, y de cada par se</w:t>
      </w:r>
      <w:r>
        <w:t xml:space="preserve"> </w:t>
      </w:r>
      <w:r>
        <w:t xml:space="preserve">eligió una por la pregunta que responde. Las descartadas se conservan versionadas;</w:t>
      </w:r>
      <w:r>
        <w:t xml:space="preserve"> </w:t>
      </w:r>
      <w:r>
        <w:t xml:space="preserve">algunas sirven para otro público aunque no funcionen dentro del informe.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</w:pPr>
            <w:r>
              <w:t xml:space="preserve">Pregunta que debe responder la figura</w:t>
            </w:r>
          </w:p>
        </w:tc>
        <w:tc>
          <w:tcPr/>
          <w:p>
            <w:pPr>
              <w:pStyle w:val="Compact"/>
            </w:pPr>
            <w:r>
              <w:t xml:space="preserve">Forma elegida</w:t>
            </w:r>
          </w:p>
        </w:tc>
        <w:tc>
          <w:tcPr/>
          <w:p>
            <w:pPr>
              <w:pStyle w:val="Compact"/>
            </w:pPr>
            <w:r>
              <w:t xml:space="preserve">Alternativa descartada y 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· El canal en vivo cruza su umbral</w:t>
            </w:r>
          </w:p>
        </w:tc>
        <w:tc>
          <w:tcPr/>
          <w:p>
            <w:pPr>
              <w:pStyle w:val="Compact"/>
            </w:pPr>
            <w:r>
              <w:t xml:space="preserve">¿Cuánto se rompe y contra qué límite?</w:t>
            </w:r>
          </w:p>
        </w:tc>
        <w:tc>
          <w:tcPr/>
          <w:p>
            <w:pPr>
              <w:pStyle w:val="Compact"/>
            </w:pPr>
            <w:r>
              <w:t xml:space="preserve">Barras por nivel con línea de umbral QoS y los 3 puntos de repetición superpuestos (</w:t>
            </w:r>
            <w:r>
              <w:rPr>
                <w:rStyle w:val="VerbatimChar"/>
              </w:rPr>
              <w:t xml:space="preserve">fig_h1_barras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Dona de composición (</w:t>
            </w:r>
            <w:r>
              <w:rPr>
                <w:rStyle w:val="VerbatimChar"/>
              </w:rPr>
              <w:t xml:space="preserve">fig_h1_pastel</w:t>
            </w:r>
            <w:r>
              <w:t xml:space="preserve">). Muestra una sola corrida, así que ni compara niveles ni exhibe dispersión. Se reserva para la infografía, donde el mensaje es «1 de cada 4»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· La presión se concentra en la ruta WS</w:t>
            </w:r>
          </w:p>
        </w:tc>
        <w:tc>
          <w:tcPr/>
          <w:p>
            <w:pPr>
              <w:pStyle w:val="Compact"/>
            </w:pPr>
            <w:r>
              <w:t xml:space="preserve">¿Qué servicio paga la carga y qué tan lejos está del límite?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Dumbbell</w:t>
            </w:r>
            <w:r>
              <w:t xml:space="preserve"> </w:t>
            </w:r>
            <w:r>
              <w:t xml:space="preserve">por servicio (100 a 1 000 VUs) con la línea vertical de 512 MB (</w:t>
            </w:r>
            <w:r>
              <w:rPr>
                <w:rStyle w:val="VerbatimChar"/>
              </w:rPr>
              <w:t xml:space="preserve">fig_h2_dumbbell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Barras agrupadas (</w:t>
            </w:r>
            <w:r>
              <w:rPr>
                <w:rStyle w:val="VerbatimChar"/>
              </w:rPr>
              <w:t xml:space="preserve">fig_h2_barras</w:t>
            </w:r>
            <w:r>
              <w:t xml:space="preserve">). Convierte cuatro servicios en ocho barras y obliga a reconstruir el salto comparando alturas; además la altura de la barra compite con la línea del límite en lugar de apoyarse en ella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 · La memoria sigue a la rampa y se aplana</w:t>
            </w:r>
          </w:p>
        </w:tc>
        <w:tc>
          <w:tcPr/>
          <w:p>
            <w:pPr>
              <w:pStyle w:val="Compact"/>
            </w:pPr>
            <w:r>
              <w:t xml:space="preserve">¿El consumo se dispara o se estabiliza? ¿Hay fuga?</w:t>
            </w:r>
          </w:p>
        </w:tc>
        <w:tc>
          <w:tcPr/>
          <w:p>
            <w:pPr>
              <w:pStyle w:val="Compact"/>
            </w:pPr>
            <w:r>
              <w:t xml:space="preserve">Serie de tiempo por servicio con la línea de 512 MB (</w:t>
            </w:r>
            <w:r>
              <w:rPr>
                <w:rStyle w:val="VerbatimChar"/>
              </w:rPr>
              <w:t xml:space="preserve">fig_h3_linea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Barras del pico (</w:t>
            </w:r>
            <w:r>
              <w:rPr>
                <w:rStyle w:val="VerbatimChar"/>
              </w:rPr>
              <w:t xml:space="preserve">fig_h3_barras</w:t>
            </w:r>
            <w:r>
              <w:t xml:space="preserve">). Reduce la corrida a un punto y borra justamente lo que se quiere mostrar, la forma de la curva y su meseta</w:t>
            </w:r>
          </w:p>
        </w:tc>
      </w:tr>
    </w:tbl>
    <w:p>
      <w:pPr>
        <w:pStyle w:val="BodyText"/>
      </w:pPr>
      <w:r>
        <w:t xml:space="preserve">A las tres figuras finales se les aplicaron cuatro reglas de forma. El límite o umbral</w:t>
      </w:r>
      <w:r>
        <w:t xml:space="preserve"> </w:t>
      </w:r>
      <w:r>
        <w:t xml:space="preserve">siempre queda visible, porque una medición sin su criterio no dice nada. La escala de</w:t>
      </w:r>
      <w:r>
        <w:t xml:space="preserve"> </w:t>
      </w:r>
      <w:r>
        <w:t xml:space="preserve">magnitud arranca en cero. El valor va etiquetado junto a la marca, sin rejilla densa. Y</w:t>
      </w:r>
      <w:r>
        <w:t xml:space="preserve"> </w:t>
      </w:r>
      <w:r>
        <w:t xml:space="preserve">donde la figura compara niveles, los puntos de las repeticiones se dibujan junto a la</w:t>
      </w:r>
      <w:r>
        <w:t xml:space="preserve"> </w:t>
      </w:r>
      <w:r>
        <w:t xml:space="preserve">mediana para que la dispersión se vea sin ir a la tabla: eso es el caso de la Figura 1.</w:t>
      </w:r>
      <w:r>
        <w:t xml:space="preserve"> </w:t>
      </w:r>
      <w:r>
        <w:t xml:space="preserve">En el</w:t>
      </w:r>
      <w:r>
        <w:t xml:space="preserve"> </w:t>
      </w:r>
      <w:r>
        <w:rPr>
          <w:i/>
          <w:iCs/>
        </w:rPr>
        <w:t xml:space="preserve">dumbbell</w:t>
      </w:r>
      <w:r>
        <w:t xml:space="preserve"> </w:t>
      </w:r>
      <w:r>
        <w:t xml:space="preserve">de la Figura 2 se dibujan solo las medianas, porque sobre un eje que</w:t>
      </w:r>
      <w:r>
        <w:t xml:space="preserve"> </w:t>
      </w:r>
      <w:r>
        <w:t xml:space="preserve">llega a 512 MB los tres puntos de cada extremo se apilan hasta volverse un trazo único;</w:t>
      </w:r>
      <w:r>
        <w:t xml:space="preserve"> </w:t>
      </w:r>
      <w:r>
        <w:t xml:space="preserve">su dispersión se remite a la Tabla 5 y queda declarada en el pie de la figura. La</w:t>
      </w:r>
      <w:r>
        <w:t xml:space="preserve"> </w:t>
      </w:r>
      <w:r>
        <w:t xml:space="preserve">Figura 3 es una corrida única, así que la regla no le aplica.</w:t>
      </w:r>
    </w:p>
    <w:p>
      <w:pPr>
        <w:pStyle w:val="BodyText"/>
      </w:pPr>
      <w:r>
        <w:t xml:space="preserve">En el</w:t>
      </w:r>
      <w:r>
        <w:t xml:space="preserve"> </w:t>
      </w:r>
      <w:r>
        <w:rPr>
          <w:i/>
          <w:iCs/>
        </w:rPr>
        <w:t xml:space="preserve">dumbbell</w:t>
      </w:r>
      <w:r>
        <w:t xml:space="preserve"> </w:t>
      </w:r>
      <w:r>
        <w:t xml:space="preserve">de H2 esa última regla rinde un beneficio extra. Como el eje llega</w:t>
      </w:r>
      <w:r>
        <w:t xml:space="preserve"> </w:t>
      </w:r>
      <w:r>
        <w:t xml:space="preserve">hasta 512 MB, el espacio vacío a la derecha de los puntos es la holgura de memoria: el</w:t>
      </w:r>
      <w:r>
        <w:t xml:space="preserve"> </w:t>
      </w:r>
      <w:r>
        <w:t xml:space="preserve">hallazgo, que el sistema falló con más de la mitad del límite libre, se ve sin leer un</w:t>
      </w:r>
      <w:r>
        <w:t xml:space="preserve"> </w:t>
      </w:r>
      <w:r>
        <w:t xml:space="preserve">solo número.</w:t>
      </w:r>
    </w:p>
    <w:bookmarkEnd w:id="23"/>
    <w:bookmarkStart w:id="24" w:name="X1d08b88937ca5b1cc876e84c8222f10bcb4f1a2"/>
    <w:p>
      <w:pPr>
        <w:pStyle w:val="Heading2"/>
      </w:pPr>
      <w:r>
        <w:t xml:space="preserve">c.2 Narrativa: cómo se conectan los hallazgos con el problema</w:t>
      </w:r>
    </w:p>
    <w:p>
      <w:pPr>
        <w:pStyle w:val="FirstParagraph"/>
      </w:pPr>
      <w:r>
        <w:t xml:space="preserve">El informe cuenta una sola historia en cinco movimientos. Cada figura entra en el</w:t>
      </w:r>
      <w:r>
        <w:t xml:space="preserve"> </w:t>
      </w:r>
      <w:r>
        <w:t xml:space="preserve">movimiento donde hace falta y no antes; ninguna se muestra «porque ya la teníamos».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Movimiento</w:t>
            </w:r>
          </w:p>
        </w:tc>
        <w:tc>
          <w:tcPr/>
          <w:p>
            <w:pPr>
              <w:pStyle w:val="Compact"/>
            </w:pPr>
            <w:r>
              <w:t xml:space="preserve">Frase que lo sostiene</w:t>
            </w:r>
          </w:p>
        </w:tc>
        <w:tc>
          <w:tcPr/>
          <w:p>
            <w:pPr>
              <w:pStyle w:val="Compact"/>
            </w:pPr>
            <w:r>
              <w:t xml:space="preserve">Apoyo 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Contexto: la barrera</w:t>
            </w:r>
          </w:p>
        </w:tc>
        <w:tc>
          <w:tcPr/>
          <w:p>
            <w:pPr>
              <w:pStyle w:val="Compact"/>
            </w:pPr>
            <w:r>
              <w:t xml:space="preserve">Los proyectos académicos no llegan a producción porque la infraestructura cuesta; el free tier existe pero se presume que solo sirve para demos</w:t>
            </w:r>
          </w:p>
        </w:tc>
        <w:tc>
          <w:tcPr/>
          <w:p>
            <w:pPr>
              <w:pStyle w:val="Compact"/>
            </w:pPr>
            <w:r>
              <w:t xml:space="preserve">Diagrama de topología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Conflicto: la apuesta</w:t>
            </w:r>
          </w:p>
        </w:tc>
        <w:tc>
          <w:tcPr/>
          <w:p>
            <w:pPr>
              <w:pStyle w:val="Compact"/>
            </w:pPr>
            <w:r>
              <w:t xml:space="preserve">Cuatro microservicios en cuatro cuentas gratuitas, con WebSockets propios</w:t>
            </w:r>
            <w:r>
              <w:t xml:space="preserve"> </w:t>
            </w:r>
            <w:r>
              <w:rPr>
                <w:i/>
                <w:iCs/>
              </w:rPr>
              <w:t xml:space="preserve">a propósito</w:t>
            </w:r>
            <w:r>
              <w:t xml:space="preserve">, para que el costo del tiempo real quede dentro de la medición</w:t>
            </w:r>
          </w:p>
        </w:tc>
        <w:tc>
          <w:tcPr/>
          <w:p>
            <w:pPr>
              <w:pStyle w:val="Compact"/>
            </w:pPr>
            <w:r>
              <w:t xml:space="preserve">Tabla de decisiones condicionadas por el free tier (§3.2)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Falsa pista: lo que casi medimos mal</w:t>
            </w:r>
          </w:p>
        </w:tc>
        <w:tc>
          <w:tcPr/>
          <w:p>
            <w:pPr>
              <w:pStyle w:val="Compact"/>
            </w:pPr>
            <w:r>
              <w:t xml:space="preserve">El primer piloto reportó 88 % de fallos mientras la telemetría del servidor mostraba consumo mínimo. La causa estaba en nuestro propio limitador de tasa</w:t>
            </w:r>
          </w:p>
        </w:tc>
        <w:tc>
          <w:tcPr/>
          <w:p>
            <w:pPr>
              <w:pStyle w:val="Compact"/>
            </w:pPr>
            <w:r>
              <w:t xml:space="preserve">Tabla piloto 1 frente a piloto 2 (§4.6)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Giro: el quiebre no está donde se esperaba</w:t>
            </w:r>
          </w:p>
        </w:tc>
        <w:tc>
          <w:tcPr/>
          <w:p>
            <w:pPr>
              <w:pStyle w:val="Compact"/>
            </w:pPr>
            <w:r>
              <w:t xml:space="preserve">Se buscaba un OOM y apareció un colapso de calidad de servicio con la memoria al 46.6 %</w:t>
            </w:r>
          </w:p>
        </w:tc>
        <w:tc>
          <w:tcPr/>
          <w:p>
            <w:pPr>
              <w:pStyle w:val="Compact"/>
            </w:pPr>
            <w:r>
              <w:t xml:space="preserve">Figura 1 (caídas frente al umbral) y Figura 2 (RAM frente a 512 MB), juntas: el contraste entre ambas</w:t>
            </w:r>
            <w:r>
              <w:t xml:space="preserve"> </w:t>
            </w:r>
            <w:r>
              <w:rPr>
                <w:i/>
                <w:iCs/>
              </w:rPr>
              <w:t xml:space="preserve">es</w:t>
            </w:r>
            <w:r>
              <w:t xml:space="preserve"> </w:t>
            </w:r>
            <w:r>
              <w:t xml:space="preserve">el hallazgo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Resolución: el veredicto con su precio</w:t>
            </w:r>
          </w:p>
        </w:tc>
        <w:tc>
          <w:tcPr/>
          <w:p>
            <w:pPr>
              <w:pStyle w:val="Compact"/>
            </w:pPr>
            <w:r>
              <w:t xml:space="preserve">Sirve hasta cientos de usuarios concurrentes, y la factura llega por cuotas, pausas y créditos antes que por RAM</w:t>
            </w:r>
          </w:p>
        </w:tc>
        <w:tc>
          <w:tcPr/>
          <w:p>
            <w:pPr>
              <w:pStyle w:val="Compact"/>
            </w:pPr>
            <w:r>
              <w:t xml:space="preserve">Figura 3 (la meseta) y §5.4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de una frase por figura.</w:t>
      </w:r>
      <w:r>
        <w:t xml:space="preserve"> </w:t>
      </w:r>
      <w:r>
        <w:t xml:space="preserve">El pie de cada figura afirma algo. Describir los</w:t>
      </w:r>
      <w:r>
        <w:t xml:space="preserve"> </w:t>
      </w:r>
      <w:r>
        <w:t xml:space="preserve">ejes es trabajo de la propia figura. En el informe esa frase ocupa la</w:t>
      </w:r>
      <w:r>
        <w:t xml:space="preserve"> </w:t>
      </w:r>
      <w:r>
        <w:rPr>
          <w:i/>
          <w:iCs/>
        </w:rPr>
        <w:t xml:space="preserve">Nota</w:t>
      </w:r>
      <w:r>
        <w:t xml:space="preserve"> </w:t>
      </w:r>
      <w:r>
        <w:t xml:space="preserve">que APA 7</w:t>
      </w:r>
      <w:r>
        <w:t xml:space="preserve"> </w:t>
      </w:r>
      <w:r>
        <w:t xml:space="preserve">coloca debajo de la imagen, mientras el número en negritas y el título en cursiva van</w:t>
      </w:r>
      <w:r>
        <w:t xml:space="preserve"> </w:t>
      </w:r>
      <w:r>
        <w:t xml:space="preserve">arriba, como pide la norma: la afirmación se conserva y el formato cumple.</w:t>
      </w:r>
    </w:p>
    <w:p>
      <w:pPr>
        <w:pStyle w:val="Compact"/>
        <w:numPr>
          <w:ilvl w:val="0"/>
          <w:numId w:val="1004"/>
        </w:numPr>
      </w:pPr>
      <w:r>
        <w:t xml:space="preserve">Figura 1: «A 1 000 conexiones concurrentes falla ~1 de cada 4, más del doble del</w:t>
      </w:r>
      <w:r>
        <w:t xml:space="preserve"> </w:t>
      </w:r>
      <w:r>
        <w:t xml:space="preserve">umbral, con dispersión mínima entre repeticiones.»</w:t>
      </w:r>
    </w:p>
    <w:p>
      <w:pPr>
        <w:pStyle w:val="Compact"/>
        <w:numPr>
          <w:ilvl w:val="0"/>
          <w:numId w:val="1004"/>
        </w:numPr>
      </w:pPr>
      <w:r>
        <w:t xml:space="preserve">Figura 2: «El costo se concentra en gateway y realtime (×5) mientras los servicios</w:t>
      </w:r>
      <w:r>
        <w:t xml:space="preserve"> </w:t>
      </w:r>
      <w:r>
        <w:t xml:space="preserve">transaccionales permanecen planos, y aun así el peor se queda a menos de la mitad del</w:t>
      </w:r>
      <w:r>
        <w:t xml:space="preserve"> </w:t>
      </w:r>
      <w:r>
        <w:t xml:space="preserve">límite.»</w:t>
      </w:r>
    </w:p>
    <w:p>
      <w:pPr>
        <w:pStyle w:val="Compact"/>
        <w:numPr>
          <w:ilvl w:val="0"/>
          <w:numId w:val="1004"/>
        </w:numPr>
      </w:pPr>
      <w:r>
        <w:t xml:space="preserve">Figura 3: «El consumo sigue a la rampa y se aplana en la meseta, señal de techo de</w:t>
      </w:r>
      <w:r>
        <w:t xml:space="preserve"> </w:t>
      </w:r>
      <w:r>
        <w:t xml:space="preserve">carga y no de fuga de memoria.»</w:t>
      </w:r>
    </w:p>
    <w:p>
      <w:pPr>
        <w:pStyle w:val="FirstParagraph"/>
      </w:pPr>
      <w:r>
        <w:t xml:space="preserve">El par Figura 1 y Figura 2 es el núcleo narrativo, porque juntas dicen que el sistema</w:t>
      </w:r>
      <w:r>
        <w:t xml:space="preserve"> </w:t>
      </w:r>
      <w:r>
        <w:t xml:space="preserve">falla mientras la memoria sobra. Deben verse en la misma página del informe y en la</w:t>
      </w:r>
      <w:r>
        <w:t xml:space="preserve"> </w:t>
      </w:r>
      <w:r>
        <w:t xml:space="preserve">misma lámina de la presentación.</w:t>
      </w:r>
    </w:p>
    <w:bookmarkEnd w:id="24"/>
    <w:bookmarkStart w:id="25" w:name="X79e69bb4383f810be3944c9cfbbc7123597b434"/>
    <w:p>
      <w:pPr>
        <w:pStyle w:val="Heading2"/>
      </w:pPr>
      <w:r>
        <w:t xml:space="preserve">c.3 Cuadro de mando con jerarquía de indicadores</w:t>
      </w:r>
    </w:p>
    <w:p>
      <w:pPr>
        <w:pStyle w:val="FirstParagraph"/>
      </w:pPr>
      <w:r>
        <w:t xml:space="preserve">Tres niveles de lectura, para que la misma evidencia sirva a quien quiere el veredicto</w:t>
      </w:r>
      <w:r>
        <w:t xml:space="preserve"> </w:t>
      </w:r>
      <w:r>
        <w:t xml:space="preserve">en cinco segundos y a quien quiere la causa raíz.</w:t>
      </w:r>
    </w:p>
    <w:p>
      <w:pPr>
        <w:pStyle w:val="BodyText"/>
      </w:pPr>
      <w:r>
        <w:rPr>
          <w:b/>
          <w:bCs/>
        </w:rPr>
        <w:t xml:space="preserve">Nivel 1, veredicto (¿cumple o no cumple?).</w:t>
      </w:r>
      <w:r>
        <w:t xml:space="preserve"> </w:t>
      </w:r>
      <w:r>
        <w:t xml:space="preserve">Un solo indicador de titular.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VUs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 VUs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Conexiones WebSocket caídas</w:t>
            </w:r>
          </w:p>
        </w:tc>
        <w:tc>
          <w:tcPr/>
          <w:p>
            <w:pPr>
              <w:pStyle w:val="Compact"/>
            </w:pPr>
            <w:r>
              <w:t xml:space="preserve">&lt; 10 %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23.87 %</w:t>
            </w:r>
          </w:p>
        </w:tc>
        <w:tc>
          <w:tcPr/>
          <w:p>
            <w:pPr>
              <w:pStyle w:val="Compact"/>
            </w:pPr>
            <w:r>
              <w:t xml:space="preserve">🟢 → 🔴</w:t>
            </w:r>
          </w:p>
        </w:tc>
      </w:tr>
    </w:tbl>
    <w:p>
      <w:pPr>
        <w:pStyle w:val="BodyText"/>
      </w:pPr>
      <w:r>
        <w:rPr>
          <w:b/>
          <w:bCs/>
        </w:rPr>
        <w:t xml:space="preserve">Nivel 2, diagnóstico (¿qué plano se rompió?).</w:t>
      </w:r>
      <w:r>
        <w:t xml:space="preserve"> </w:t>
      </w:r>
      <w:r>
        <w:t xml:space="preserve">Separa tiempo real, HTTP y recursos.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584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Plano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VUs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 VUs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real</w:t>
            </w:r>
          </w:p>
        </w:tc>
        <w:tc>
          <w:tcPr/>
          <w:p>
            <w:pPr>
              <w:pStyle w:val="Compact"/>
            </w:pPr>
            <w:r>
              <w:t xml:space="preserve">P95 de establecimiento WS</w:t>
            </w:r>
          </w:p>
        </w:tc>
        <w:tc>
          <w:tcPr/>
          <w:p>
            <w:pPr>
              <w:pStyle w:val="Compact"/>
            </w:pPr>
            <w:r>
              <w:t xml:space="preserve">&lt; 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19 974 ms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Peticiones fallidas</w:t>
            </w:r>
          </w:p>
        </w:tc>
        <w:tc>
          <w:tcPr/>
          <w:p>
            <w:pPr>
              <w:pStyle w:val="Compact"/>
            </w:pPr>
            <w:r>
              <w:t xml:space="preserve">&lt; 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P95 de latencia</w:t>
            </w:r>
          </w:p>
        </w:tc>
        <w:tc>
          <w:tcPr/>
          <w:p>
            <w:pPr>
              <w:pStyle w:val="Compact"/>
            </w:pPr>
            <w:r>
              <w:t xml:space="preserve">&lt; 800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1 045 ms</w:t>
            </w:r>
          </w:p>
        </w:tc>
        <w:tc>
          <w:tcPr/>
          <w:p>
            <w:pPr>
              <w:pStyle w:val="Compact"/>
            </w:pPr>
            <w:r>
              <w:t xml:space="preserve">🔴 cruzado en los dos niveles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</w:t>
            </w:r>
          </w:p>
        </w:tc>
        <w:tc>
          <w:tcPr/>
          <w:p>
            <w:pPr>
              <w:pStyle w:val="Compact"/>
            </w:pPr>
            <w:r>
              <w:t xml:space="preserve">RAM del peor servicio, % de 512 MB</w:t>
            </w:r>
          </w:p>
        </w:tc>
        <w:tc>
          <w:tcPr/>
          <w:p>
            <w:pPr>
              <w:pStyle w:val="Compact"/>
            </w:pPr>
            <w:r>
              <w:t xml:space="preserve">&lt; 90 %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46.6 %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</w:tbl>
    <w:p>
      <w:pPr>
        <w:pStyle w:val="BodyText"/>
      </w:pPr>
      <w:r>
        <w:rPr>
          <w:b/>
          <w:bCs/>
        </w:rPr>
        <w:t xml:space="preserve">Nivel 3, causa raíz y operación (¿por qué, y qué lo condiciona?).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Valor observado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Acoplamiento</w:t>
            </w:r>
          </w:p>
        </w:tc>
        <w:tc>
          <w:tcPr/>
          <w:p>
            <w:pPr>
              <w:pStyle w:val="Compact"/>
            </w:pPr>
            <w:r>
              <w:t xml:space="preserve">Dependencia del handshake WS con</w:t>
            </w:r>
            <w:r>
              <w:t xml:space="preserve"> </w:t>
            </w:r>
            <w:r>
              <w:rPr>
                <w:rStyle w:val="VerbatimChar"/>
              </w:rPr>
              <w:t xml:space="preserve">groups-service</w:t>
            </w:r>
          </w:p>
        </w:tc>
        <w:tc>
          <w:tcPr/>
          <w:p>
            <w:pPr>
              <w:pStyle w:val="Compact"/>
            </w:pPr>
            <w:r>
              <w:t xml:space="preserve">Diseño e incidente de la Sesión 2</w:t>
            </w:r>
          </w:p>
        </w:tc>
        <w:tc>
          <w:tcPr/>
          <w:p>
            <w:pPr>
              <w:pStyle w:val="Compact"/>
            </w:pPr>
            <w:r>
              <w:t xml:space="preserve">Un realtime sano entregó 87.2 % y 87.9 % de fallos por un groups bloqueado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Cómputo</w:t>
            </w:r>
          </w:p>
        </w:tc>
        <w:tc>
          <w:tcPr/>
          <w:p>
            <w:pPr>
              <w:pStyle w:val="Compact"/>
            </w:pPr>
            <w:r>
              <w:t xml:space="preserve">CPU del gateway durante la corrida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100 % de su asignación (0.1 vCPU) en Sesión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 de datos</w:t>
            </w:r>
          </w:p>
        </w:tc>
        <w:tc>
          <w:tcPr/>
          <w:p>
            <w:pPr>
              <w:pStyle w:val="Compact"/>
            </w:pPr>
            <w:r>
              <w:t xml:space="preserve">Saturación del</w:t>
            </w:r>
            <w:r>
              <w:t xml:space="preserve"> </w:t>
            </w:r>
            <w:r>
              <w:rPr>
                <w:i/>
                <w:iCs/>
              </w:rPr>
              <w:t xml:space="preserve">pool</w:t>
            </w:r>
            <w:r>
              <w:t xml:space="preserve"> </w:t>
            </w:r>
            <w:r>
              <w:t xml:space="preserve">de conexiones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(pgx)</w:t>
            </w:r>
          </w:p>
        </w:tc>
        <w:tc>
          <w:tcPr/>
          <w:p>
            <w:pPr>
              <w:pStyle w:val="Compact"/>
            </w:pPr>
            <w:r>
              <w:t xml:space="preserve">10/10 en uso, cientos de esperas en el colapso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Cuota</w:t>
            </w:r>
          </w:p>
        </w:tc>
        <w:tc>
          <w:tcPr/>
          <w:p>
            <w:pPr>
              <w:pStyle w:val="Compact"/>
            </w:pPr>
            <w:r>
              <w:t xml:space="preserve">Egreso por corrida frente a 5 GB/mes por cuenta</w:t>
            </w:r>
          </w:p>
        </w:tc>
        <w:tc>
          <w:tcPr/>
          <w:p>
            <w:pPr>
              <w:pStyle w:val="Compact"/>
            </w:pPr>
            <w:r>
              <w:t xml:space="preserve">Panel de Render</w:t>
            </w:r>
          </w:p>
        </w:tc>
        <w:tc>
          <w:tcPr/>
          <w:p>
            <w:pPr>
              <w:pStyle w:val="Compact"/>
            </w:pPr>
            <w:r>
              <w:t xml:space="preserve">~3.03 GB por corrida, ~0.3 GB con gzip (89.6 % menos)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Arranque en frío de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Medición instrumentada</w:t>
            </w:r>
          </w:p>
        </w:tc>
        <w:tc>
          <w:tcPr/>
          <w:p>
            <w:pPr>
              <w:pStyle w:val="Compact"/>
            </w:pPr>
            <w:r>
              <w:t xml:space="preserve">10.7 a 13.5 s por servicio; 30 a 60 s de efecto compuesto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de la BD</w:t>
            </w:r>
          </w:p>
        </w:tc>
        <w:tc>
          <w:tcPr/>
          <w:p>
            <w:pPr>
              <w:pStyle w:val="Compact"/>
            </w:pPr>
            <w:r>
              <w:t xml:space="preserve">Créditos de ráfaga disponibles</w:t>
            </w:r>
          </w:p>
        </w:tc>
        <w:tc>
          <w:tcPr/>
          <w:p>
            <w:pPr>
              <w:pStyle w:val="Compact"/>
            </w:pPr>
            <w:r>
              <w:t xml:space="preserve">Diagnóstico del incidente</w:t>
            </w:r>
          </w:p>
        </w:tc>
        <w:tc>
          <w:tcPr/>
          <w:p>
            <w:pPr>
              <w:pStyle w:val="Compact"/>
            </w:pPr>
            <w:r>
              <w:t xml:space="preserve">Firma de inanición de E/S, con RAM al tope y CPU ociosa</w:t>
            </w:r>
          </w:p>
        </w:tc>
      </w:tr>
    </w:tbl>
    <w:p>
      <w:pPr>
        <w:pStyle w:val="BodyText"/>
      </w:pPr>
      <w:r>
        <w:t xml:space="preserve">El cuadro se usa así: el Nivel 1 es lo que se responde en la defensa antes de cualquier</w:t>
      </w:r>
      <w:r>
        <w:t xml:space="preserve"> </w:t>
      </w:r>
      <w:r>
        <w:t xml:space="preserve">matiz; el Nivel 2 es la lámina de resultados de la presentación y la Tabla 5 del</w:t>
      </w:r>
      <w:r>
        <w:t xml:space="preserve"> </w:t>
      </w:r>
      <w:r>
        <w:t xml:space="preserve">informe; el Nivel 3 solo aparece si preguntan por el mecanismo. Ese último nivel es</w:t>
      </w:r>
      <w:r>
        <w:t xml:space="preserve"> </w:t>
      </w:r>
      <w:r>
        <w:t xml:space="preserve">donde se nota el valor de haber instrumentado telemetría propia, porque ninguno de sus</w:t>
      </w:r>
      <w:r>
        <w:t xml:space="preserve"> </w:t>
      </w:r>
      <w:r>
        <w:t xml:space="preserve">seis indicadores es observable desde el cliente.</w:t>
      </w:r>
    </w:p>
    <w:bookmarkEnd w:id="25"/>
    <w:bookmarkStart w:id="26" w:name="X831a68a82d298b7397cd56dc15da9a101626f7a"/>
    <w:p>
      <w:pPr>
        <w:pStyle w:val="Heading2"/>
      </w:pPr>
      <w:r>
        <w:t xml:space="preserve">c.4 Producción y regeneración de las figuras</w:t>
      </w:r>
    </w:p>
    <w:p>
      <w:pPr>
        <w:pStyle w:val="FirstParagraph"/>
      </w:pPr>
      <w:r>
        <w:t xml:space="preserve">Las figuras se generan desde los datos crudos versionados con un único comando, de modo</w:t>
      </w:r>
      <w:r>
        <w:t xml:space="preserve"> </w:t>
      </w:r>
      <w:r>
        <w:t xml:space="preserve">que cualquier corrección de datos se propaga sola. Ninguna se edita a mano.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/load-tests"</w:t>
      </w:r>
      <w:r>
        <w:rPr>
          <w:rStyle w:val="NormalTok"/>
        </w:rPr>
        <w:t xml:space="preserve">:/lt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/lt python:3.12-slim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 install -q matplotlib &amp;&amp; python analyze_results.py"</w:t>
      </w:r>
    </w:p>
    <w:p>
      <w:pPr>
        <w:pStyle w:val="FirstParagraph"/>
      </w:pPr>
      <w:r>
        <w:t xml:space="preserve">Las salidas quedan en</w:t>
      </w:r>
      <w:r>
        <w:t xml:space="preserve"> </w:t>
      </w:r>
      <w:r>
        <w:rPr>
          <w:rStyle w:val="VerbatimChar"/>
        </w:rPr>
        <w:t xml:space="preserve">load-tests/analysis/</w:t>
      </w:r>
      <w:r>
        <w:t xml:space="preserve">:</w:t>
      </w:r>
      <w:r>
        <w:t xml:space="preserve"> </w:t>
      </w:r>
      <w:r>
        <w:rPr>
          <w:rStyle w:val="VerbatimChar"/>
        </w:rPr>
        <w:t xml:space="preserve">banco_corridas.csv</w:t>
      </w:r>
      <w:r>
        <w:t xml:space="preserve"> </w:t>
      </w:r>
      <w:r>
        <w:t xml:space="preserve">(el banco de la</w:t>
      </w:r>
      <w:r>
        <w:t xml:space="preserve"> </w:t>
      </w:r>
      <w:r>
        <w:t xml:space="preserve">Act. 3.4),</w:t>
      </w:r>
      <w:r>
        <w:t xml:space="preserve"> </w:t>
      </w:r>
      <w:r>
        <w:rPr>
          <w:rStyle w:val="VerbatimChar"/>
        </w:rPr>
        <w:t xml:space="preserve">stats.json</w:t>
      </w:r>
      <w:r>
        <w:t xml:space="preserve"> </w:t>
      </w:r>
      <w:r>
        <w:t xml:space="preserve">(descriptivos y frecuencias) y las seis figuras</w:t>
      </w:r>
      <w:r>
        <w:t xml:space="preserve"> </w:t>
      </w:r>
      <w:r>
        <w:rPr>
          <w:rStyle w:val="VerbatimChar"/>
        </w:rPr>
        <w:t xml:space="preserve">fig_*.png</w:t>
      </w:r>
      <w:r>
        <w:t xml:space="preserve">.</w:t>
      </w:r>
      <w:r>
        <w:t xml:space="preserve"> </w:t>
      </w:r>
      <w:r>
        <w:t xml:space="preserve">Las tres elegidas están insertadas en</w:t>
      </w:r>
      <w:r>
        <w:t xml:space="preserve"> </w:t>
      </w:r>
      <w:r>
        <w:rPr>
          <w:rStyle w:val="VerbatimChar"/>
        </w:rPr>
        <w:t xml:space="preserve">articulo.md</w:t>
      </w:r>
      <w:r>
        <w:t xml:space="preserve"> </w:t>
      </w:r>
      <w:r>
        <w:t xml:space="preserve">§5.2 como Figuras 1, 2 y 3,</w:t>
      </w:r>
      <w:r>
        <w:t xml:space="preserve"> </w:t>
      </w:r>
      <w:r>
        <w:t xml:space="preserve">con copias versionadas en</w:t>
      </w:r>
      <w:r>
        <w:t xml:space="preserve"> </w:t>
      </w:r>
      <w:r>
        <w:rPr>
          <w:rStyle w:val="VerbatimChar"/>
        </w:rPr>
        <w:t xml:space="preserve">Documentos/figuras/</w:t>
      </w:r>
      <w:r>
        <w:t xml:space="preserve"> </w:t>
      </w:r>
      <w:r>
        <w:t xml:space="preserve">para que el documento no dependa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load-tests/analysis/</w:t>
      </w:r>
      <w:r>
        <w:t xml:space="preserve">, que está fuera del control de versiones.</w:t>
      </w:r>
    </w:p>
    <w:p>
      <w:pPr>
        <w:pStyle w:val="BodyText"/>
      </w:pPr>
      <w:r>
        <w:t xml:space="preserve">La regeneración de control ejecutada al cerrar esta actividad reprodujo</w:t>
      </w:r>
      <w:r>
        <w:t xml:space="preserve"> </w:t>
      </w:r>
      <w:r>
        <w:rPr>
          <w:rStyle w:val="VerbatimChar"/>
        </w:rPr>
        <w:t xml:space="preserve">stats.json</w:t>
      </w:r>
      <w:r>
        <w:t xml:space="preserve">,</w:t>
      </w:r>
      <w:r>
        <w:t xml:space="preserve"> </w:t>
      </w:r>
      <w:r>
        <w:t xml:space="preserve">el banco y las tres figuras del informe de forma idéntica byte a byte a partir de los</w:t>
      </w:r>
      <w:r>
        <w:t xml:space="preserve"> </w:t>
      </w:r>
      <w:r>
        <w:t xml:space="preserve">artefactos crudos, lo que confirma que la cadena entre el dato y la figura no depende</w:t>
      </w:r>
      <w:r>
        <w:t xml:space="preserve"> </w:t>
      </w:r>
      <w:r>
        <w:t xml:space="preserve">de ningún paso manual.</w:t>
      </w:r>
    </w:p>
    <w:p>
      <w:pPr>
        <w:pStyle w:val="BodyText"/>
      </w:pPr>
      <w:r>
        <w:t xml:space="preserve">Durante esta actividad se detectó y corrigió un defecto. En</w:t>
      </w:r>
      <w:r>
        <w:t xml:space="preserve"> </w:t>
      </w:r>
      <w:r>
        <w:rPr>
          <w:rStyle w:val="VerbatimChar"/>
        </w:rPr>
        <w:t xml:space="preserve">fig_h1_pastel.png</w:t>
      </w:r>
      <w:r>
        <w:t xml:space="preserve"> </w:t>
      </w:r>
      <w:r>
        <w:t xml:space="preserve">la</w:t>
      </w:r>
      <w:r>
        <w:t xml:space="preserve"> </w:t>
      </w:r>
      <w:r>
        <w:t xml:space="preserve">leyenda se recortaba por el borde derecho del lienzo, porque</w:t>
      </w:r>
      <w:r>
        <w:t xml:space="preserve"> </w:t>
      </w:r>
      <w:r>
        <w:rPr>
          <w:rStyle w:val="VerbatimChar"/>
        </w:rPr>
        <w:t xml:space="preserve">tight_layout</w:t>
      </w:r>
      <w:r>
        <w:t xml:space="preserve"> </w:t>
      </w:r>
      <w:r>
        <w:t xml:space="preserve">no</w:t>
      </w:r>
      <w:r>
        <w:t xml:space="preserve"> </w:t>
      </w:r>
      <w:r>
        <w:t xml:space="preserve">contempla una leyenda anclada fuera de los ejes. Esa figura no entra al informe, pero</w:t>
      </w:r>
      <w:r>
        <w:t xml:space="preserve"> </w:t>
      </w:r>
      <w:r>
        <w:t xml:space="preserve">sí se reutiliza en la infografía de la Actividad 4.2b, así que se corrigió en</w:t>
      </w:r>
      <w:r>
        <w:t xml:space="preserve"> </w:t>
      </w:r>
      <w:r>
        <w:rPr>
          <w:rStyle w:val="VerbatimChar"/>
        </w:rPr>
        <w:t xml:space="preserve">analyze_results.py</w:t>
      </w:r>
      <w:r>
        <w:t xml:space="preserve"> </w:t>
      </w:r>
      <w:r>
        <w:t xml:space="preserve">exportándola con</w:t>
      </w:r>
      <w:r>
        <w:t xml:space="preserve"> </w:t>
      </w:r>
      <w:r>
        <w:rPr>
          <w:rStyle w:val="VerbatimChar"/>
        </w:rPr>
        <w:t xml:space="preserve">bbox_inches="tight"</w:t>
      </w:r>
      <w:r>
        <w:t xml:space="preserve"> </w:t>
      </w:r>
      <w:r>
        <w:t xml:space="preserve">y se regeneraron las seis</w:t>
      </w:r>
      <w:r>
        <w:t xml:space="preserve"> </w:t>
      </w:r>
      <w:r>
        <w:t xml:space="preserve">salidas.</w:t>
      </w:r>
    </w:p>
    <w:p>
      <w:pPr>
        <w:pStyle w:val="BlockText"/>
      </w:pPr>
      <w:r>
        <w:t xml:space="preserve">Entregable parcial verificable (c): las seis figuras en</w:t>
      </w:r>
      <w:r>
        <w:t xml:space="preserve"> </w:t>
      </w:r>
      <w:r>
        <w:rPr>
          <w:rStyle w:val="VerbatimChar"/>
        </w:rPr>
        <w:t xml:space="preserve">load-tests/analysis/</w:t>
      </w:r>
      <w:r>
        <w:t xml:space="preserve">, las</w:t>
      </w:r>
      <w:r>
        <w:t xml:space="preserve"> </w:t>
      </w:r>
      <w:r>
        <w:t xml:space="preserve">tres seleccionadas ya insertadas en</w:t>
      </w:r>
      <w:r>
        <w:t xml:space="preserve"> </w:t>
      </w:r>
      <w:r>
        <w:rPr>
          <w:rStyle w:val="VerbatimChar"/>
        </w:rPr>
        <w:t xml:space="preserve">articulo.md</w:t>
      </w:r>
      <w:r>
        <w:t xml:space="preserve"> </w:t>
      </w:r>
      <w:r>
        <w:t xml:space="preserve">§5, y este cuadro de mando.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ierre-integración-del-informe-final"/>
    <w:p>
      <w:pPr>
        <w:pStyle w:val="Heading1"/>
      </w:pPr>
      <w:r>
        <w:t xml:space="preserve">Cierre: integración del informe final</w:t>
      </w:r>
    </w:p>
    <w:p>
      <w:pPr>
        <w:pStyle w:val="FirstParagraph"/>
      </w:pPr>
      <w:r>
        <w:t xml:space="preserve">Con las tres subtareas completadas, el informe final integrado es</w:t>
      </w:r>
      <w:r>
        <w:t xml:space="preserve"> </w:t>
      </w:r>
      <w:r>
        <w:rPr>
          <w:rStyle w:val="VerbatimChar"/>
        </w:rPr>
        <w:t xml:space="preserve">Documentos/articulo.md</w:t>
      </w:r>
      <w:r>
        <w:t xml:space="preserve">, con las once secciones de §a.2, 3 figuras, 6 tablas y</w:t>
      </w:r>
      <w:r>
        <w:t xml:space="preserve"> </w:t>
      </w:r>
      <w:r>
        <w:t xml:space="preserve">14 referencias en APA 7. Quedan dos pendientes editoriales</w:t>
      </w:r>
      <w:r>
        <w:t xml:space="preserve"> </w:t>
      </w:r>
      <w:r>
        <w:t xml:space="preserve">declarados en el propio documento: la traducción del resumen al inglés si la sede lo</w:t>
      </w:r>
      <w:r>
        <w:t xml:space="preserve"> </w:t>
      </w:r>
      <w:r>
        <w:t xml:space="preserve">exige, y la decisión sobre publicar el repositorio o un espejo para revisión.</w:t>
      </w:r>
    </w:p>
    <w:p>
      <w:pPr>
        <w:pStyle w:val="BodyText"/>
      </w:pPr>
      <w:r>
        <w:rPr>
          <w:b/>
          <w:bCs/>
        </w:rPr>
        <w:t xml:space="preserve">Trazabilidad con las actividades anteriores.</w:t>
      </w:r>
      <w:r>
        <w:t xml:space="preserve"> </w:t>
      </w:r>
      <w:r>
        <w:t xml:space="preserve">La Unidad I aportó pregunta, objetivos</w:t>
      </w:r>
      <w:r>
        <w:t xml:space="preserve"> </w:t>
      </w:r>
      <w:r>
        <w:t xml:space="preserve">e hipótesis. La Unidad II, el marco teórico y la matriz de fuentes (Act. 3.1). La</w:t>
      </w:r>
      <w:r>
        <w:t xml:space="preserve"> </w:t>
      </w:r>
      <w:r>
        <w:t xml:space="preserve">Unidad III aportó el instrumento (3.2), la recolección (3.3), el banco con las</w:t>
      </w:r>
      <w:r>
        <w:t xml:space="preserve"> </w:t>
      </w:r>
      <w:r>
        <w:t xml:space="preserve">visualizaciones (3.4) y el borrador de resultados (3.5). Esta actividad los integra en</w:t>
      </w:r>
      <w:r>
        <w:t xml:space="preserve"> </w:t>
      </w:r>
      <w:r>
        <w:t xml:space="preserve">un solo documento y define cómo se comunican; la Actividad 4.2 los lleva a la defensa</w:t>
      </w:r>
      <w:r>
        <w:t xml:space="preserve"> </w:t>
      </w:r>
      <w:r>
        <w:t xml:space="preserve">oral y a un público no académico.</w:t>
      </w:r>
    </w:p>
    <w:bookmarkEnd w:id="28"/>
    <w:sectPr>
      <w:pgSz w:h="15840" w:w="12240"/>
      <w:pgMar w:bottom="1417" w:footer="708" w:gutter="0" w:header="708" w:left="1417" w:right="1417" w:top="1417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4.1. Elaboración del informe final y comunicación visual de hallazgos</dc:title>
  <dc:creator/>
  <dc:language>es</dc:language>
  <cp:keywords/>
  <dcterms:created xsi:type="dcterms:W3CDTF">2026-07-31T03:18:07Z</dcterms:created>
  <dcterms:modified xsi:type="dcterms:W3CDTF">2026-07-31T03:18:07Z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de julio de 2026</vt:lpwstr>
  </property>
  <property fmtid="{D5CDD505-2E9C-101B-9397-08002B2CF9AE}" pid="3" name="subtitle">
    <vt:lpwstr>Proyecto Dydi · Equipo 3 · Universidad Tecnológica de Durango · Integradora 2026</vt:lpwstr>
  </property>
</Properties>
</file>