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line="276" w:lineRule="auto"/>
      </w:pPr>
      <w:r>
        <w:rPr>
          <w:rFonts w:ascii="Times New Roman" w:cs="Times New Roman" w:eastAsia="Times New Roman" w:hAnsi="Times New Roman"/>
          <w:b w:val="false"/>
          <w:bCs w:val="false"/>
          <w:i w:val="false"/>
          <w:iCs w:val="false"/>
          <w:sz w:val="24"/>
          <w:szCs w:val="24"/>
        </w:rPr>
        <w:t xml:space="preserve"/>
      </w:r>
    </w:p>
    <w:p>
      <w:pPr>
        <w:spacing w:after="480" w:before="0" w:line="276" w:lineRule="auto"/>
        <w:jc w:val="center"/>
      </w:pPr>
      <w:r>
        <w:rPr>
          <w:rFonts w:ascii="Times New Roman" w:cs="Times New Roman" w:eastAsia="Times New Roman" w:hAnsi="Times New Roman"/>
          <w:b/>
          <w:bCs/>
          <w:i w:val="false"/>
          <w:iCs w:val="false"/>
          <w:sz w:val="24"/>
          <w:szCs w:val="24"/>
        </w:rPr>
        <w:t xml:space="preserve">Protocolo de Investigación — versión 2 (corregida)</w:t>
      </w:r>
    </w:p>
    <w:p>
      <w:pPr>
        <w:spacing w:after="720" w:before="0" w:line="276" w:lineRule="auto"/>
        <w:jc w:val="center"/>
      </w:pPr>
      <w:r>
        <w:rPr>
          <w:rFonts w:ascii="Times New Roman" w:cs="Times New Roman" w:eastAsia="Times New Roman" w:hAnsi="Times New Roman"/>
          <w:b/>
          <w:bCs/>
          <w:i w:val="false"/>
          <w:iCs w:val="false"/>
          <w:sz w:val="32"/>
          <w:szCs w:val="32"/>
        </w:rPr>
        <w:t xml:space="preserve">Evaluación de resiliencia, consumo de recursos y punto de quiebre de una arquitectura de microservicios en Go sobre la capa gratuita de plataformas cloud</w:t>
      </w:r>
    </w:p>
    <w:p>
      <w:pPr>
        <w:spacing w:after="240" w:before="0" w:line="276" w:lineRule="auto"/>
        <w:jc w:val="center"/>
      </w:pPr>
      <w:r>
        <w:rPr>
          <w:rFonts w:ascii="Times New Roman" w:cs="Times New Roman" w:eastAsia="Times New Roman" w:hAnsi="Times New Roman"/>
          <w:b w:val="false"/>
          <w:bCs w:val="false"/>
          <w:i w:val="false"/>
          <w:iCs w:val="false"/>
          <w:sz w:val="24"/>
          <w:szCs w:val="24"/>
        </w:rPr>
        <w:t xml:space="preserve">Equipo 3 — Resiliencia y consumo de recursos en microservicios (Proyecto Dydi)</w:t>
      </w:r>
    </w:p>
    <w:p>
      <w:pPr>
        <w:spacing w:after="240" w:before="0" w:line="276" w:lineRule="auto"/>
        <w:jc w:val="center"/>
      </w:pPr>
      <w:r>
        <w:rPr>
          <w:rFonts w:ascii="Times New Roman" w:cs="Times New Roman" w:eastAsia="Times New Roman" w:hAnsi="Times New Roman"/>
          <w:b w:val="false"/>
          <w:bCs w:val="false"/>
          <w:i w:val="false"/>
          <w:iCs w:val="false"/>
          <w:sz w:val="24"/>
          <w:szCs w:val="24"/>
        </w:rPr>
        <w:t xml:space="preserve">Universidad Tecnológica de Durango · Integradora 2026</w:t>
      </w:r>
    </w:p>
    <w:p>
      <w:pPr>
        <w:spacing w:after="480" w:before="0" w:line="276" w:lineRule="auto"/>
        <w:jc w:val="center"/>
      </w:pPr>
      <w:r>
        <w:rPr>
          <w:rFonts w:ascii="Times New Roman" w:cs="Times New Roman" w:eastAsia="Times New Roman" w:hAnsi="Times New Roman"/>
          <w:b w:val="false"/>
          <w:bCs w:val="false"/>
          <w:i w:val="false"/>
          <w:iCs w:val="false"/>
          <w:sz w:val="24"/>
          <w:szCs w:val="24"/>
        </w:rPr>
        <w:t xml:space="preserve">Julio de 2026</w:t>
      </w:r>
    </w:p>
    <w:p>
      <w:pPr>
        <w:spacing w:after="120" w:before="0" w:line="276" w:lineRule="auto"/>
        <w:jc w:val="center"/>
      </w:pPr>
      <w:r>
        <w:rPr>
          <w:rFonts w:ascii="Times New Roman" w:cs="Times New Roman" w:eastAsia="Times New Roman" w:hAnsi="Times New Roman"/>
          <w:b w:val="false"/>
          <w:bCs w:val="false"/>
          <w:i/>
          <w:iCs/>
          <w:sz w:val="20"/>
          <w:szCs w:val="20"/>
        </w:rPr>
        <w:t xml:space="preserve">[Portada: completar integrantes y datos institucionales según el formato oficial de la asignatura]</w:t>
      </w:r>
    </w:p>
    <w:p>
      <w:r>
        <w:br w:type="page"/>
      </w:r>
    </w:p>
    <w:p>
      <w:pPr>
        <w:pBdr>
          <w:top w:val="single" w:color="999999" w:sz="6"/>
          <w:bottom w:val="single" w:color="999999" w:sz="6"/>
          <w:left w:val="single" w:color="999999" w:sz="6"/>
          <w:right w:val="single" w:color="999999" w:sz="6"/>
        </w:pBdr>
        <w:shd w:fill="FFF3CD" w:val="clear"/>
        <w:spacing w:after="60" w:before="0" w:line="276" w:lineRule="auto"/>
      </w:pPr>
      <w:r>
        <w:rPr>
          <w:rFonts w:ascii="Times New Roman" w:cs="Times New Roman" w:eastAsia="Times New Roman" w:hAnsi="Times New Roman"/>
          <w:b/>
          <w:bCs/>
          <w:i w:val="false"/>
          <w:iCs w:val="false"/>
          <w:color w:val="B00020"/>
          <w:sz w:val="24"/>
          <w:szCs w:val="24"/>
        </w:rPr>
        <w:t xml:space="preserve">NOTA INTERNA — RETIRAR ANTES DE ENTREGAR</w:t>
      </w:r>
    </w:p>
    <w:p>
      <w:pPr>
        <w:pBdr>
          <w:top w:val="single" w:color="999999" w:sz="6"/>
          <w:bottom w:val="single" w:color="999999" w:sz="6"/>
          <w:left w:val="single" w:color="999999" w:sz="6"/>
          <w:right w:val="single" w:color="999999" w:sz="6"/>
        </w:pBdr>
        <w:shd w:fill="FFF3CD" w:val="clear"/>
        <w:spacing w:after="40" w:before="0" w:line="276" w:lineRule="auto"/>
      </w:pPr>
      <w:r>
        <w:rPr>
          <w:rFonts w:ascii="Times New Roman" w:cs="Times New Roman" w:eastAsia="Times New Roman" w:hAnsi="Times New Roman"/>
          <w:b w:val="false"/>
          <w:bCs w:val="false"/>
          <w:i w:val="false"/>
          <w:iCs w:val="false"/>
          <w:sz w:val="20"/>
          <w:szCs w:val="20"/>
        </w:rPr>
        <w:t xml:space="preserve">Cambios de esta versión respecto a la evaluada (mapeo con la retroalimentación):</w:t>
      </w:r>
    </w:p>
    <w:p>
      <w:pPr>
        <w:pBdr>
          <w:top w:val="single" w:color="999999" w:sz="6"/>
          <w:bottom w:val="single" w:color="999999" w:sz="6"/>
          <w:left w:val="single" w:color="999999" w:sz="6"/>
          <w:right w:val="single" w:color="999999" w:sz="6"/>
        </w:pBdr>
        <w:shd w:fill="FFF3CD" w:val="clear"/>
        <w:spacing w:after="240" w:before="0" w:line="276" w:lineRule="auto"/>
      </w:pPr>
      <w:r>
        <w:rPr>
          <w:rFonts w:ascii="Times New Roman" w:cs="Times New Roman" w:eastAsia="Times New Roman" w:hAnsi="Times New Roman"/>
          <w:b w:val="false"/>
          <w:bCs w:val="false"/>
          <w:i w:val="false"/>
          <w:iCs w:val="false"/>
          <w:sz w:val="18"/>
          <w:szCs w:val="18"/>
        </w:rPr>
        <w:t xml:space="preserve">1) Título y alcance: se eliminó la comparación con arquitectura monolítica (ruta b sugerida por el docente); todo el documento estudia únicamente capacidad y punto de quiebre de microservicios.  2) Hipótesis reescritas por indicador, sin formas funcionales presupuestas; relación reclasificada como directa.  3) Estudio reclasificado como benchmark experimental controlado (cuasi-experimental).  4) Población/muestra replanteadas como ejecuciones experimentales y transacciones observadas (§6.2).  5) Secciones nuevas: condiciones fijadas (§6.3), umbrales y punto de quiebre predefinidos (§6.4), fuentes primarias/secundarias (§6.7), plan estadístico con dispersión (§6.8), resultados preliminares (§7) y limitaciones (§8).  6) Lenguaje promocional eliminado; herramientas y plataformas unificadas (k6 y Render).  7) Referencias APA 7 añadidas; IEEE 830 sustituido por ISO/IEC/IEEE 29148:2018; LFPDPPP actualizada a la ley vigente (DOF 20-03-2025).  Pendientes del equipo: portada oficial, confirmar región de despliegue al recrear los servicios y registrar la versión exacta de k6 en la bitácora.</w:t>
      </w:r>
    </w:p>
    <w:p>
      <w:pPr>
        <w:pStyle w:val="Heading1"/>
        <w:spacing w:after="140" w:before="280"/>
      </w:pPr>
      <w:r>
        <w:rPr>
          <w:rFonts w:ascii="Times New Roman" w:cs="Times New Roman" w:eastAsia="Times New Roman" w:hAnsi="Times New Roman"/>
          <w:b/>
          <w:bCs/>
          <w:color w:val="000000"/>
          <w:sz w:val="28"/>
          <w:szCs w:val="28"/>
        </w:rPr>
        <w:t xml:space="preserve">1. Tipo de investigación y naturaleza del estudio</w:t>
      </w:r>
    </w:p>
    <w:p>
      <w:pPr>
        <w:pStyle w:val="Heading2"/>
        <w:spacing w:after="120" w:before="220"/>
      </w:pPr>
      <w:r>
        <w:rPr>
          <w:rFonts w:ascii="Times New Roman" w:cs="Times New Roman" w:eastAsia="Times New Roman" w:hAnsi="Times New Roman"/>
          <w:b/>
          <w:bCs/>
          <w:color w:val="000000"/>
          <w:sz w:val="26"/>
          <w:szCs w:val="26"/>
        </w:rPr>
        <w:t xml:space="preserve">1.1 Planteamiento del problema</w:t>
      </w:r>
    </w:p>
    <w:p>
      <w:pPr>
        <w:spacing w:after="120" w:before="0" w:line="276" w:lineRule="auto"/>
      </w:pPr>
      <w:r>
        <w:rPr>
          <w:rFonts w:ascii="Times New Roman" w:cs="Times New Roman" w:eastAsia="Times New Roman" w:hAnsi="Times New Roman"/>
          <w:b w:val="false"/>
          <w:bCs w:val="false"/>
          <w:i w:val="false"/>
          <w:iCs w:val="false"/>
          <w:sz w:val="24"/>
          <w:szCs w:val="24"/>
        </w:rPr>
        <w:t xml:space="preserve">En el desarrollo de software backend con requisitos de tiempo real, las capas gratuitas de las plataformas como servicio (PaaS) imponen restricciones severas: 512 MB de RAM por instancia, CPU compartida (0.1 vCPU), suspensión tras 15 minutos de inactividad y cuotas mensuales de cómputo y de transferencia de datos. Las aplicaciones que mantienen comunicación bidireccional persistente (WebSockets) son especialmente sensibles a estas restricciones, porque cada conexión activa retiene memoria y descriptores de archivo de forma indefinida.</w:t>
      </w:r>
    </w:p>
    <w:p>
      <w:pPr>
        <w:spacing w:after="120" w:before="0" w:line="276" w:lineRule="auto"/>
      </w:pPr>
      <w:r>
        <w:rPr>
          <w:rFonts w:ascii="Times New Roman" w:cs="Times New Roman" w:eastAsia="Times New Roman" w:hAnsi="Times New Roman"/>
          <w:b w:val="false"/>
          <w:bCs w:val="false"/>
          <w:i w:val="false"/>
          <w:iCs w:val="false"/>
          <w:sz w:val="24"/>
          <w:szCs w:val="24"/>
        </w:rPr>
        <w:t xml:space="preserve">Se desconoce cuál es el nivel de carga concurrente que una arquitectura de microservicios desarrollada en Go —desplegada íntegramente en la capa gratuita de Render y fragmentada en cuatro cuentas independientes— puede sostener antes de degradar su calidad de servicio o colapsar por agotamiento de memoria (OOM kill). Sin esa evidencia, los equipos académicos y los proyectos de bajo presupuesto no pueden planear despliegues reales sobre estas plataformas ni anticipar su punto de quiebre.</w:t>
      </w:r>
    </w:p>
    <w:p>
      <w:pPr>
        <w:pStyle w:val="Heading2"/>
        <w:spacing w:after="120" w:before="220"/>
      </w:pPr>
      <w:r>
        <w:rPr>
          <w:rFonts w:ascii="Times New Roman" w:cs="Times New Roman" w:eastAsia="Times New Roman" w:hAnsi="Times New Roman"/>
          <w:b/>
          <w:bCs/>
          <w:color w:val="000000"/>
          <w:sz w:val="26"/>
          <w:szCs w:val="26"/>
        </w:rPr>
        <w:t xml:space="preserve">1.2 Clasificación del estudio</w:t>
      </w:r>
    </w:p>
    <w:p>
      <w:pPr>
        <w:spacing w:after="120" w:before="0" w:line="276" w:lineRule="auto"/>
      </w:pPr>
      <w:r>
        <w:rPr>
          <w:rFonts w:ascii="Times New Roman" w:cs="Times New Roman" w:eastAsia="Times New Roman" w:hAnsi="Times New Roman"/>
          <w:b w:val="false"/>
          <w:bCs w:val="false"/>
          <w:i w:val="false"/>
          <w:iCs w:val="false"/>
          <w:sz w:val="24"/>
          <w:szCs w:val="24"/>
        </w:rPr>
        <w:t xml:space="preserve">La investigación es aplicada, porque busca resolver un problema práctico e inmediato: dimensionar la capacidad real de una arquitectura desplegada sin costo monetario directo. Por su diseño, corresponde a un benchmark experimental controlado de tipo cuasi-experimental (Hernández-Sampieri &amp; Mendoza, 2023): se manipula deliberadamente la variable independiente (nivel de carga concurrente) en niveles fijos predefinidos, con tres réplicas por nivel y condiciones experimentales fijadas, sin asignación aleatoria de unidades.</w:t>
      </w:r>
    </w:p>
    <w:p>
      <w:pPr>
        <w:pStyle w:val="Heading2"/>
        <w:spacing w:after="120" w:before="220"/>
      </w:pPr>
      <w:r>
        <w:rPr>
          <w:rFonts w:ascii="Times New Roman" w:cs="Times New Roman" w:eastAsia="Times New Roman" w:hAnsi="Times New Roman"/>
          <w:b/>
          <w:bCs/>
          <w:color w:val="000000"/>
          <w:sz w:val="26"/>
          <w:szCs w:val="26"/>
        </w:rPr>
        <w:t xml:space="preserve">1.3 Alcance de la investigación</w:t>
      </w:r>
    </w:p>
    <w:p>
      <w:pPr>
        <w:spacing w:after="120" w:before="0" w:line="276" w:lineRule="auto"/>
      </w:pPr>
      <w:r>
        <w:rPr>
          <w:rFonts w:ascii="Times New Roman" w:cs="Times New Roman" w:eastAsia="Times New Roman" w:hAnsi="Times New Roman"/>
          <w:b w:val="false"/>
          <w:bCs w:val="false"/>
          <w:i w:val="false"/>
          <w:iCs w:val="false"/>
          <w:sz w:val="24"/>
          <w:szCs w:val="24"/>
        </w:rPr>
        <w:t xml:space="preserve">El alcance es explicativo: no solo se describirá en qué punto se degrada el sistema, sino que la telemetría por servicio permitirá atribuir la degradación a un recurso concreto (memoria, CPU o gestión de conexiones) y a un componente concreto de la arquitectura. De forma complementaria, el estudio es descriptivo respecto a la localización del punto de quiebre.</w:t>
      </w:r>
    </w:p>
    <w:p>
      <w:pPr>
        <w:pStyle w:val="Heading2"/>
        <w:spacing w:after="120" w:before="220"/>
      </w:pPr>
      <w:r>
        <w:rPr>
          <w:rFonts w:ascii="Times New Roman" w:cs="Times New Roman" w:eastAsia="Times New Roman" w:hAnsi="Times New Roman"/>
          <w:b/>
          <w:bCs/>
          <w:color w:val="000000"/>
          <w:sz w:val="26"/>
          <w:szCs w:val="26"/>
        </w:rPr>
        <w:t xml:space="preserve">1.4 Enfoque metodológico</w:t>
      </w:r>
    </w:p>
    <w:p>
      <w:pPr>
        <w:spacing w:after="120" w:before="0" w:line="276" w:lineRule="auto"/>
      </w:pPr>
      <w:r>
        <w:rPr>
          <w:rFonts w:ascii="Times New Roman" w:cs="Times New Roman" w:eastAsia="Times New Roman" w:hAnsi="Times New Roman"/>
          <w:b w:val="false"/>
          <w:bCs w:val="false"/>
          <w:i w:val="false"/>
          <w:iCs w:val="false"/>
          <w:sz w:val="24"/>
          <w:szCs w:val="24"/>
        </w:rPr>
        <w:t xml:space="preserve">El enfoque es cuantitativo: todas las variables se operacionalizan en métricas numéricas obtenidas por instrumentos automatizados (inyector k6 y telemetría embebida): consumo de RAM en MB, uso de CPU en porcentaje, latencia en milisegundos (percentiles 95 y 99), tasas de error y de conexiones caídas en porcentaje, y rendimiento en peticiones por segundo.</w:t>
      </w:r>
    </w:p>
    <w:p>
      <w:pPr>
        <w:pStyle w:val="Heading1"/>
        <w:spacing w:after="140" w:before="280"/>
      </w:pPr>
      <w:r>
        <w:rPr>
          <w:rFonts w:ascii="Times New Roman" w:cs="Times New Roman" w:eastAsia="Times New Roman" w:hAnsi="Times New Roman"/>
          <w:b/>
          <w:bCs/>
          <w:color w:val="000000"/>
          <w:sz w:val="28"/>
          <w:szCs w:val="28"/>
        </w:rPr>
        <w:t xml:space="preserve">2. Hipótesis y variables</w:t>
      </w:r>
    </w:p>
    <w:p>
      <w:pPr>
        <w:pStyle w:val="Heading2"/>
        <w:spacing w:after="120" w:before="220"/>
      </w:pPr>
      <w:r>
        <w:rPr>
          <w:rFonts w:ascii="Times New Roman" w:cs="Times New Roman" w:eastAsia="Times New Roman" w:hAnsi="Times New Roman"/>
          <w:b/>
          <w:bCs/>
          <w:color w:val="000000"/>
          <w:sz w:val="26"/>
          <w:szCs w:val="26"/>
        </w:rPr>
        <w:t xml:space="preserve">2.1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5160"/>
      </w:tblGrid>
      <w:tr>
        <w:trPr>
          <w:tblHeader/>
        </w:trPr>
        <w:tc>
          <w:tcPr>
            <w:tcW w:type="dxa" w:w="2300"/>
            <w:shd w:fill="E8E2D6" w:val="clear"/>
            <w:tcMar>
              <w:top w:type="dxa" w:w="60"/>
              <w:left w:type="dxa" w:w="80"/>
              <w:bottom w:type="dxa" w:w="60"/>
              <w:right w:type="dxa" w:w="80"/>
            </w:tcMar>
          </w:tcPr>
          <w:p>
            <w:pPr>
              <w:spacing w:after="40" w:line="240" w:lineRule="auto"/>
            </w:pPr>
            <w:r>
              <w:rPr>
                <w:rFonts w:ascii="Times New Roman" w:cs="Times New Roman" w:eastAsia="Times New Roman" w:hAnsi="Times New Roman"/>
                <w:b/>
                <w:bCs/>
                <w:sz w:val="20"/>
                <w:szCs w:val="20"/>
              </w:rPr>
              <w:t xml:space="preserve">Variable</w:t>
            </w:r>
          </w:p>
        </w:tc>
        <w:tc>
          <w:tcPr>
            <w:tcW w:type="dxa" w:w="1900"/>
            <w:shd w:fill="E8E2D6" w:val="clear"/>
            <w:tcMar>
              <w:top w:type="dxa" w:w="60"/>
              <w:left w:type="dxa" w:w="80"/>
              <w:bottom w:type="dxa" w:w="60"/>
              <w:right w:type="dxa" w:w="80"/>
            </w:tcMar>
          </w:tcPr>
          <w:p>
            <w:pPr>
              <w:spacing w:after="40" w:line="240" w:lineRule="auto"/>
            </w:pPr>
            <w:r>
              <w:rPr>
                <w:rFonts w:ascii="Times New Roman" w:cs="Times New Roman" w:eastAsia="Times New Roman" w:hAnsi="Times New Roman"/>
                <w:b/>
                <w:bCs/>
                <w:sz w:val="20"/>
                <w:szCs w:val="20"/>
              </w:rPr>
              <w:t xml:space="preserve">Tipo</w:t>
            </w:r>
          </w:p>
        </w:tc>
        <w:tc>
          <w:tcPr>
            <w:tcW w:type="dxa" w:w="5160"/>
            <w:shd w:fill="E8E2D6" w:val="clear"/>
            <w:tcMar>
              <w:top w:type="dxa" w:w="60"/>
              <w:left w:type="dxa" w:w="80"/>
              <w:bottom w:type="dxa" w:w="60"/>
              <w:right w:type="dxa" w:w="80"/>
            </w:tcMar>
          </w:tcPr>
          <w:p>
            <w:pPr>
              <w:spacing w:after="40" w:line="240" w:lineRule="auto"/>
            </w:pPr>
            <w:r>
              <w:rPr>
                <w:rFonts w:ascii="Times New Roman" w:cs="Times New Roman" w:eastAsia="Times New Roman" w:hAnsi="Times New Roman"/>
                <w:b/>
                <w:bCs/>
                <w:sz w:val="20"/>
                <w:szCs w:val="20"/>
              </w:rPr>
              <w:t xml:space="preserve">Operacionalización e instrumento</w:t>
            </w:r>
          </w:p>
        </w:tc>
      </w:tr>
      <w:tr>
        <w:tc>
          <w:tcPr>
            <w:tcW w:type="dxa" w:w="23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Volumen de carga concurrente</w:t>
            </w:r>
          </w:p>
        </w:tc>
        <w:tc>
          <w:tcPr>
            <w:tcW w:type="dxa" w:w="19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Independiente (manipulada)</w:t>
            </w:r>
          </w:p>
        </w:tc>
        <w:tc>
          <w:tcPr>
            <w:tcW w:type="dxa" w:w="51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Usuarios virtuales (VUs) pico por corrida: 100, 1 000, 2 500 y 5 000; rampa de 9 minutos con meseta de 2 minutos (k6).</w:t>
            </w:r>
          </w:p>
        </w:tc>
      </w:tr>
      <w:tr>
        <w:tc>
          <w:tcPr>
            <w:tcW w:type="dxa" w:w="23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Consumo de memoria RAM por servicio</w:t>
            </w:r>
          </w:p>
        </w:tc>
        <w:tc>
          <w:tcPr>
            <w:tcW w:type="dxa" w:w="19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Dependiente</w:t>
            </w:r>
          </w:p>
        </w:tc>
        <w:tc>
          <w:tcPr>
            <w:tcW w:type="dxa" w:w="51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process_resident_memory_bytes (MB), muestreado cada 5 s vía /metrics (Prometheus, módulo obs.go); se reporta pico y valor sostenido por corrida.</w:t>
            </w:r>
          </w:p>
        </w:tc>
      </w:tr>
      <w:tr>
        <w:tc>
          <w:tcPr>
            <w:tcW w:type="dxa" w:w="23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Uso de CPU</w:t>
            </w:r>
          </w:p>
        </w:tc>
        <w:tc>
          <w:tcPr>
            <w:tcW w:type="dxa" w:w="19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Dependiente</w:t>
            </w:r>
          </w:p>
        </w:tc>
        <w:tc>
          <w:tcPr>
            <w:tcW w:type="dxa" w:w="51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Tasa de process_cpu_seconds_total (telemetría propia); panel del proveedor solo como triangulación.</w:t>
            </w:r>
          </w:p>
        </w:tc>
      </w:tr>
      <w:tr>
        <w:tc>
          <w:tcPr>
            <w:tcW w:type="dxa" w:w="23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Latencia HTTP</w:t>
            </w:r>
          </w:p>
        </w:tc>
        <w:tc>
          <w:tcPr>
            <w:tcW w:type="dxa" w:w="19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Dependiente</w:t>
            </w:r>
          </w:p>
        </w:tc>
        <w:tc>
          <w:tcPr>
            <w:tcW w:type="dxa" w:w="51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P95 y P99 de http_req_duration (ms) reportados por k6 sobre tráfico constante de 20 req/s.</w:t>
            </w:r>
          </w:p>
        </w:tc>
      </w:tr>
      <w:tr>
        <w:tc>
          <w:tcPr>
            <w:tcW w:type="dxa" w:w="23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Establecimiento WebSocket</w:t>
            </w:r>
          </w:p>
        </w:tc>
        <w:tc>
          <w:tcPr>
            <w:tcW w:type="dxa" w:w="19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Dependiente</w:t>
            </w:r>
          </w:p>
        </w:tc>
        <w:tc>
          <w:tcPr>
            <w:tcW w:type="dxa" w:w="51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P95 de ws_connect_time (ms), métrica personalizada de k6 (tiempo hasta el handshake exitoso).</w:t>
            </w:r>
          </w:p>
        </w:tc>
      </w:tr>
      <w:tr>
        <w:tc>
          <w:tcPr>
            <w:tcW w:type="dxa" w:w="23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Estabilidad del canal WebSocket</w:t>
            </w:r>
          </w:p>
        </w:tc>
        <w:tc>
          <w:tcPr>
            <w:tcW w:type="dxa" w:w="19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Dependiente</w:t>
            </w:r>
          </w:p>
        </w:tc>
        <w:tc>
          <w:tcPr>
            <w:tcW w:type="dxa" w:w="51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ws_dropped_rate (%): proporción de conexiones caídas o rechazadas.</w:t>
            </w:r>
          </w:p>
        </w:tc>
      </w:tr>
      <w:tr>
        <w:tc>
          <w:tcPr>
            <w:tcW w:type="dxa" w:w="23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Errores HTTP</w:t>
            </w:r>
          </w:p>
        </w:tc>
        <w:tc>
          <w:tcPr>
            <w:tcW w:type="dxa" w:w="19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Dependiente</w:t>
            </w:r>
          </w:p>
        </w:tc>
        <w:tc>
          <w:tcPr>
            <w:tcW w:type="dxa" w:w="51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http_req_failed (%): proporción de peticiones fallidas.</w:t>
            </w:r>
          </w:p>
        </w:tc>
      </w:tr>
      <w:tr>
        <w:tc>
          <w:tcPr>
            <w:tcW w:type="dxa" w:w="23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Rendimiento (throughput)</w:t>
            </w:r>
          </w:p>
        </w:tc>
        <w:tc>
          <w:tcPr>
            <w:tcW w:type="dxa" w:w="19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Dependiente</w:t>
            </w:r>
          </w:p>
        </w:tc>
        <w:tc>
          <w:tcPr>
            <w:tcW w:type="dxa" w:w="51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Peticiones completadas por segundo (k6).</w:t>
            </w:r>
          </w:p>
        </w:tc>
      </w:tr>
    </w:tbl>
    <w:p>
      <w:pPr>
        <w:spacing w:after="120" w:before="0" w:line="276" w:lineRule="auto"/>
      </w:pPr>
      <w:r>
        <w:rPr>
          <w:rFonts w:ascii="Times New Roman" w:cs="Times New Roman" w:eastAsia="Times New Roman" w:hAnsi="Times New Roman"/>
          <w:b w:val="false"/>
          <w:bCs w:val="false"/>
          <w:i w:val="false"/>
          <w:iCs w:val="false"/>
          <w:sz w:val="24"/>
          <w:szCs w:val="24"/>
        </w:rPr>
        <w:t xml:space="preserve"/>
      </w:r>
    </w:p>
    <w:p>
      <w:pPr>
        <w:spacing w:after="120" w:before="0" w:line="276" w:lineRule="auto"/>
      </w:pPr>
      <w:r>
        <w:rPr>
          <w:rFonts w:ascii="Times New Roman" w:cs="Times New Roman" w:eastAsia="Times New Roman" w:hAnsi="Times New Roman"/>
          <w:b/>
          <w:bCs/>
          <w:i w:val="false"/>
          <w:iCs w:val="false"/>
          <w:sz w:val="24"/>
          <w:szCs w:val="24"/>
        </w:rPr>
        <w:t xml:space="preserve">Variables de control (fijadas en todos los niveles y réplicas): </w:t>
      </w:r>
      <w:r>
        <w:rPr>
          <w:rFonts w:ascii="Times New Roman" w:cs="Times New Roman" w:eastAsia="Times New Roman" w:hAnsi="Times New Roman"/>
          <w:b w:val="false"/>
          <w:bCs w:val="false"/>
          <w:i w:val="false"/>
          <w:iCs w:val="false"/>
          <w:sz w:val="24"/>
          <w:szCs w:val="24"/>
        </w:rPr>
        <w:t xml:space="preserve">se detallan con sus valores en la tabla de condiciones experimentales (§6.3): tipo de instancia (Render Free, 512 MB / 0.1 vCPU), región de despliegue, commit del código bajo prueba, versiones de software, tamaño y compresión del payload (gzip habilitado), tráfico HTTP de fondo constante (20 req/s), datos sembrados idénticos, límites de tasa del gateway documentados, tamaño del pool de base de datos, keep-alive externo pausado, máquina y red del inyector, y ventanas horarias similares por nivel.</w:t>
      </w:r>
    </w:p>
    <w:p>
      <w:pPr>
        <w:spacing w:after="120" w:before="0" w:line="276" w:lineRule="auto"/>
      </w:pPr>
      <w:r>
        <w:rPr>
          <w:rFonts w:ascii="Times New Roman" w:cs="Times New Roman" w:eastAsia="Times New Roman" w:hAnsi="Times New Roman"/>
          <w:b/>
          <w:bCs/>
          <w:i w:val="false"/>
          <w:iCs w:val="false"/>
          <w:sz w:val="24"/>
          <w:szCs w:val="24"/>
        </w:rPr>
        <w:t xml:space="preserve">Variables de contexto: </w:t>
      </w:r>
      <w:r>
        <w:rPr>
          <w:rFonts w:ascii="Times New Roman" w:cs="Times New Roman" w:eastAsia="Times New Roman" w:hAnsi="Times New Roman"/>
          <w:b w:val="false"/>
          <w:bCs w:val="false"/>
          <w:i w:val="false"/>
          <w:iCs w:val="false"/>
          <w:sz w:val="24"/>
          <w:szCs w:val="24"/>
        </w:rPr>
        <w:t xml:space="preserve">lenguaje Go 1.24 con concurrencia por goroutines; cuatro cuentas independientes de Render (un servicio por cuenta); Supabase (PostgreSQL 15 y autenticación con JWT ES256).</w:t>
      </w:r>
    </w:p>
    <w:p>
      <w:pPr>
        <w:pStyle w:val="Heading2"/>
        <w:spacing w:after="120" w:before="220"/>
      </w:pPr>
      <w:r>
        <w:rPr>
          <w:rFonts w:ascii="Times New Roman" w:cs="Times New Roman" w:eastAsia="Times New Roman" w:hAnsi="Times New Roman"/>
          <w:b/>
          <w:bCs/>
          <w:color w:val="000000"/>
          <w:sz w:val="26"/>
          <w:szCs w:val="26"/>
        </w:rPr>
        <w:t xml:space="preserve">2.2 Hipótesis de investigación</w:t>
      </w:r>
    </w:p>
    <w:p>
      <w:pPr>
        <w:spacing w:after="120" w:before="0" w:line="276" w:lineRule="auto"/>
      </w:pPr>
      <w:r>
        <w:rPr>
          <w:rFonts w:ascii="Times New Roman" w:cs="Times New Roman" w:eastAsia="Times New Roman" w:hAnsi="Times New Roman"/>
          <w:b w:val="false"/>
          <w:bCs w:val="false"/>
          <w:i w:val="false"/>
          <w:iCs w:val="false"/>
          <w:sz w:val="24"/>
          <w:szCs w:val="24"/>
        </w:rPr>
        <w:t xml:space="preserve">Se formulan hipótesis independientes por indicador, sin presuponer la forma funcional de las relaciones (lineal, exponencial u otra): la forma se determinará empíricamente a partir de las curvas observadas. En todos los casos la relación esperada es directa.</w:t>
      </w:r>
    </w:p>
    <w:p>
      <w:pPr>
        <w:pStyle w:val="ListParagraph"/>
        <w:numPr>
          <w:ilvl w:val="0"/>
          <w:numId w:val="2"/>
        </w:numPr>
        <w:spacing w:after="80" w:line="276" w:lineRule="auto"/>
      </w:pPr>
      <w:r>
        <w:rPr>
          <w:rFonts w:ascii="Times New Roman" w:cs="Times New Roman" w:eastAsia="Times New Roman" w:hAnsi="Times New Roman"/>
          <w:b/>
          <w:bCs/>
          <w:i w:val="false"/>
          <w:iCs w:val="false"/>
          <w:sz w:val="24"/>
          <w:szCs w:val="24"/>
        </w:rPr>
        <w:t xml:space="preserve">H1 (memoria): </w:t>
      </w:r>
      <w:r>
        <w:rPr>
          <w:rFonts w:ascii="Times New Roman" w:cs="Times New Roman" w:eastAsia="Times New Roman" w:hAnsi="Times New Roman"/>
          <w:b w:val="false"/>
          <w:bCs w:val="false"/>
          <w:i w:val="false"/>
          <w:iCs w:val="false"/>
          <w:sz w:val="24"/>
          <w:szCs w:val="24"/>
        </w:rPr>
        <w:t xml:space="preserve">a mayor número de conexiones WebSocket concurrentes, mayor consumo de RAM en los servicios de la ruta de tiempo real (api-gateway y realtime-service).</w:t>
      </w:r>
    </w:p>
    <w:p>
      <w:pPr>
        <w:pStyle w:val="ListParagraph"/>
        <w:numPr>
          <w:ilvl w:val="0"/>
          <w:numId w:val="2"/>
        </w:numPr>
        <w:spacing w:after="80" w:line="276" w:lineRule="auto"/>
      </w:pPr>
      <w:r>
        <w:rPr>
          <w:rFonts w:ascii="Times New Roman" w:cs="Times New Roman" w:eastAsia="Times New Roman" w:hAnsi="Times New Roman"/>
          <w:b/>
          <w:bCs/>
          <w:i w:val="false"/>
          <w:iCs w:val="false"/>
          <w:sz w:val="24"/>
          <w:szCs w:val="24"/>
        </w:rPr>
        <w:t xml:space="preserve">H2 (latencia): </w:t>
      </w:r>
      <w:r>
        <w:rPr>
          <w:rFonts w:ascii="Times New Roman" w:cs="Times New Roman" w:eastAsia="Times New Roman" w:hAnsi="Times New Roman"/>
          <w:b w:val="false"/>
          <w:bCs w:val="false"/>
          <w:i w:val="false"/>
          <w:iCs w:val="false"/>
          <w:sz w:val="24"/>
          <w:szCs w:val="24"/>
        </w:rPr>
        <w:t xml:space="preserve">a mayor carga concurrente, mayor latencia P95 del plano HTTP.</w:t>
      </w:r>
    </w:p>
    <w:p>
      <w:pPr>
        <w:pStyle w:val="ListParagraph"/>
        <w:numPr>
          <w:ilvl w:val="0"/>
          <w:numId w:val="2"/>
        </w:numPr>
        <w:spacing w:after="80" w:line="276" w:lineRule="auto"/>
      </w:pPr>
      <w:r>
        <w:rPr>
          <w:rFonts w:ascii="Times New Roman" w:cs="Times New Roman" w:eastAsia="Times New Roman" w:hAnsi="Times New Roman"/>
          <w:b/>
          <w:bCs/>
          <w:i w:val="false"/>
          <w:iCs w:val="false"/>
          <w:sz w:val="24"/>
          <w:szCs w:val="24"/>
        </w:rPr>
        <w:t xml:space="preserve">H3 (estabilidad del tiempo real): </w:t>
      </w:r>
      <w:r>
        <w:rPr>
          <w:rFonts w:ascii="Times New Roman" w:cs="Times New Roman" w:eastAsia="Times New Roman" w:hAnsi="Times New Roman"/>
          <w:b w:val="false"/>
          <w:bCs w:val="false"/>
          <w:i w:val="false"/>
          <w:iCs w:val="false"/>
          <w:sz w:val="24"/>
          <w:szCs w:val="24"/>
        </w:rPr>
        <w:t xml:space="preserve">a mayor carga concurrente, mayor tasa de conexiones WebSocket caídas y mayor tiempo de establecimiento.</w:t>
      </w:r>
    </w:p>
    <w:p>
      <w:pPr>
        <w:pStyle w:val="ListParagraph"/>
        <w:numPr>
          <w:ilvl w:val="0"/>
          <w:numId w:val="2"/>
        </w:numPr>
        <w:spacing w:after="80" w:line="276" w:lineRule="auto"/>
      </w:pPr>
      <w:r>
        <w:rPr>
          <w:rFonts w:ascii="Times New Roman" w:cs="Times New Roman" w:eastAsia="Times New Roman" w:hAnsi="Times New Roman"/>
          <w:b/>
          <w:bCs/>
          <w:i w:val="false"/>
          <w:iCs w:val="false"/>
          <w:sz w:val="24"/>
          <w:szCs w:val="24"/>
        </w:rPr>
        <w:t xml:space="preserve">H4 (punto de quiebre): </w:t>
      </w:r>
      <w:r>
        <w:rPr>
          <w:rFonts w:ascii="Times New Roman" w:cs="Times New Roman" w:eastAsia="Times New Roman" w:hAnsi="Times New Roman"/>
          <w:b w:val="false"/>
          <w:bCs w:val="false"/>
          <w:i w:val="false"/>
          <w:iCs w:val="false"/>
          <w:sz w:val="24"/>
          <w:szCs w:val="24"/>
        </w:rPr>
        <w:t xml:space="preserve">existe un nivel de carga menor o igual a 5 000 conexiones concurrentes en el que el sistema incumple de forma sostenida al menos uno de los umbrales de calidad de servicio predefinidos (§6.4), o presenta un colapso observable (reinicio por agotamiento de memoria).</w:t>
      </w:r>
    </w:p>
    <w:p>
      <w:pPr>
        <w:spacing w:after="120" w:before="0" w:line="276" w:lineRule="auto"/>
      </w:pPr>
      <w:r>
        <w:rPr>
          <w:rFonts w:ascii="Times New Roman" w:cs="Times New Roman" w:eastAsia="Times New Roman" w:hAnsi="Times New Roman"/>
          <w:b w:val="false"/>
          <w:bCs w:val="false"/>
          <w:i w:val="false"/>
          <w:iCs w:val="false"/>
          <w:sz w:val="24"/>
          <w:szCs w:val="24"/>
        </w:rPr>
        <w:t xml:space="preserve">Prueba de hipótesis: matriz experimental de 4 niveles × 3 réplicas (§6.6), con contraste descriptivo basado en medianas y dispersión entre réplicas. H4 se evalúa exclusivamente contra los umbrales y definiciones operacionales fijados antes de las corridas.</w:t>
      </w:r>
    </w:p>
    <w:p>
      <w:pPr>
        <w:pStyle w:val="Heading1"/>
        <w:spacing w:after="140" w:before="280"/>
      </w:pPr>
      <w:r>
        <w:rPr>
          <w:rFonts w:ascii="Times New Roman" w:cs="Times New Roman" w:eastAsia="Times New Roman" w:hAnsi="Times New Roman"/>
          <w:b/>
          <w:bCs/>
          <w:color w:val="000000"/>
          <w:sz w:val="28"/>
          <w:szCs w:val="28"/>
        </w:rPr>
        <w:t xml:space="preserve">3. Justificación del proyecto</w:t>
      </w:r>
    </w:p>
    <w:p>
      <w:pPr>
        <w:pStyle w:val="Heading2"/>
        <w:spacing w:after="120" w:before="220"/>
      </w:pPr>
      <w:r>
        <w:rPr>
          <w:rFonts w:ascii="Times New Roman" w:cs="Times New Roman" w:eastAsia="Times New Roman" w:hAnsi="Times New Roman"/>
          <w:b/>
          <w:bCs/>
          <w:color w:val="000000"/>
          <w:sz w:val="26"/>
          <w:szCs w:val="26"/>
        </w:rPr>
        <w:t xml:space="preserve">3.1 Elementos de la justificación</w:t>
      </w:r>
    </w:p>
    <w:p>
      <w:pPr>
        <w:spacing w:after="120" w:before="0" w:line="276" w:lineRule="auto"/>
      </w:pPr>
      <w:r>
        <w:rPr>
          <w:rFonts w:ascii="Times New Roman" w:cs="Times New Roman" w:eastAsia="Times New Roman" w:hAnsi="Times New Roman"/>
          <w:b/>
          <w:bCs/>
          <w:i w:val="false"/>
          <w:iCs w:val="false"/>
          <w:sz w:val="24"/>
          <w:szCs w:val="24"/>
        </w:rPr>
        <w:t xml:space="preserve">Relevancia teórica: </w:t>
      </w:r>
      <w:r>
        <w:rPr>
          <w:rFonts w:ascii="Times New Roman" w:cs="Times New Roman" w:eastAsia="Times New Roman" w:hAnsi="Times New Roman"/>
          <w:b w:val="false"/>
          <w:bCs w:val="false"/>
          <w:i w:val="false"/>
          <w:iCs w:val="false"/>
          <w:sz w:val="24"/>
          <w:szCs w:val="24"/>
        </w:rPr>
        <w:t xml:space="preserve">la investigación aporta datos empíricos sobre los límites operativos de una arquitectura de microservicios en Go con WebSockets bajo restricciones estrictas de memoria (512 MB). La literatura disponible se concentra en infraestructura dedicada o nubes de pago; los estudios sobre capas gratuitas son mayormente informales y carecen de metodología replicable, vacío que este trabajo atiende con un protocolo documentado y datos crudos publicados.</w:t>
      </w:r>
    </w:p>
    <w:p>
      <w:pPr>
        <w:spacing w:after="120" w:before="0" w:line="276" w:lineRule="auto"/>
      </w:pPr>
      <w:r>
        <w:rPr>
          <w:rFonts w:ascii="Times New Roman" w:cs="Times New Roman" w:eastAsia="Times New Roman" w:hAnsi="Times New Roman"/>
          <w:b/>
          <w:bCs/>
          <w:i w:val="false"/>
          <w:iCs w:val="false"/>
          <w:sz w:val="24"/>
          <w:szCs w:val="24"/>
        </w:rPr>
        <w:t xml:space="preserve">Relevancia práctica: </w:t>
      </w:r>
      <w:r>
        <w:rPr>
          <w:rFonts w:ascii="Times New Roman" w:cs="Times New Roman" w:eastAsia="Times New Roman" w:hAnsi="Times New Roman"/>
          <w:b w:val="false"/>
          <w:bCs w:val="false"/>
          <w:i w:val="false"/>
          <w:iCs w:val="false"/>
          <w:sz w:val="24"/>
          <w:szCs w:val="24"/>
        </w:rPr>
        <w:t xml:space="preserve">los resultados delimitan, bajo las condiciones evaluadas, el rango de carga que puede sostenerse sin costo monetario directo, como insumo de planeación para equipos con presupuesto limitado antes de decidir una migración a planes de pago. Los costos no monetarios y las restricciones observadas (tiempo de ingeniería, cuotas de transferencia, suspensión por inactividad) se documentan como parte de los hallazgos, no se omiten.</w:t>
      </w:r>
    </w:p>
    <w:p>
      <w:pPr>
        <w:spacing w:after="120" w:before="0" w:line="276" w:lineRule="auto"/>
      </w:pPr>
      <w:r>
        <w:rPr>
          <w:rFonts w:ascii="Times New Roman" w:cs="Times New Roman" w:eastAsia="Times New Roman" w:hAnsi="Times New Roman"/>
          <w:b/>
          <w:bCs/>
          <w:i w:val="false"/>
          <w:iCs w:val="false"/>
          <w:sz w:val="24"/>
          <w:szCs w:val="24"/>
        </w:rPr>
        <w:t xml:space="preserve">Relevancia social: </w:t>
      </w:r>
      <w:r>
        <w:rPr>
          <w:rFonts w:ascii="Times New Roman" w:cs="Times New Roman" w:eastAsia="Times New Roman" w:hAnsi="Times New Roman"/>
          <w:b w:val="false"/>
          <w:bCs w:val="false"/>
          <w:i w:val="false"/>
          <w:iCs w:val="false"/>
          <w:sz w:val="24"/>
          <w:szCs w:val="24"/>
        </w:rPr>
        <w:t xml:space="preserve">los beneficiarios directos son comunidades de estudiantes universitarios y emprendedores tecnológicos con recursos económicos limitados: una capacidad medida y documentada puede reducir la barrera de entrada al despliegue de software en tiempo real, dentro de los límites que el propio estudio identifique.</w:t>
      </w:r>
    </w:p>
    <w:p>
      <w:pPr>
        <w:spacing w:after="120" w:before="0" w:line="276" w:lineRule="auto"/>
      </w:pPr>
      <w:r>
        <w:rPr>
          <w:rFonts w:ascii="Times New Roman" w:cs="Times New Roman" w:eastAsia="Times New Roman" w:hAnsi="Times New Roman"/>
          <w:b/>
          <w:bCs/>
          <w:i w:val="false"/>
          <w:iCs w:val="false"/>
          <w:sz w:val="24"/>
          <w:szCs w:val="24"/>
        </w:rPr>
        <w:t xml:space="preserve">Relevancia institucional y tecnológica: </w:t>
      </w:r>
      <w:r>
        <w:rPr>
          <w:rFonts w:ascii="Times New Roman" w:cs="Times New Roman" w:eastAsia="Times New Roman" w:hAnsi="Times New Roman"/>
          <w:b w:val="false"/>
          <w:bCs w:val="false"/>
          <w:i w:val="false"/>
          <w:iCs w:val="false"/>
          <w:sz w:val="24"/>
          <w:szCs w:val="24"/>
        </w:rPr>
        <w:t xml:space="preserve">el proyecto promueve competencias de diagnóstico, pruebas de carga y telemetría con herramientas de estándar industrial (k6, Prometheus, registros estructurados), aplicadas sobre un sistema real y no sobre un ejercicio sintético.</w:t>
      </w:r>
    </w:p>
    <w:p>
      <w:pPr>
        <w:pStyle w:val="Heading2"/>
        <w:spacing w:after="120" w:before="220"/>
      </w:pPr>
      <w:r>
        <w:rPr>
          <w:rFonts w:ascii="Times New Roman" w:cs="Times New Roman" w:eastAsia="Times New Roman" w:hAnsi="Times New Roman"/>
          <w:b/>
          <w:bCs/>
          <w:color w:val="000000"/>
          <w:sz w:val="26"/>
          <w:szCs w:val="26"/>
        </w:rPr>
        <w:t xml:space="preserve">3.2 Síntesis de la justificación</w:t>
      </w:r>
    </w:p>
    <w:p>
      <w:pPr>
        <w:spacing w:after="120" w:before="0" w:line="276" w:lineRule="auto"/>
      </w:pPr>
      <w:r>
        <w:rPr>
          <w:rFonts w:ascii="Times New Roman" w:cs="Times New Roman" w:eastAsia="Times New Roman" w:hAnsi="Times New Roman"/>
          <w:b w:val="false"/>
          <w:bCs w:val="false"/>
          <w:i w:val="false"/>
          <w:iCs w:val="false"/>
          <w:sz w:val="24"/>
          <w:szCs w:val="24"/>
        </w:rPr>
        <w:t xml:space="preserve">El costo de la infraestructura en la nube es una barrera de entrada para proyectos tecnológicos independientes y académicos, y las aplicaciones con comunicación bidireccional en tiempo real (WebSockets) son las más sensibles: cada conexión persistente retiene memoria dentro de cuotas gratuitas muy estrictas. Esta investigación genera evidencia sobre si —y hasta qué punto— una arquitectura de microservicios instrumentada en Go puede sostener carga concurrente en tiempo real dentro de la capa gratuita de una PaaS, y a qué costo en calidad de servicio. Los resultados establecerán una línea base medida, con límites y condiciones documentados, para equipos que necesiten operar sin gasto directo en infraestructura durante fases tempranas o académicas.</w:t>
      </w:r>
    </w:p>
    <w:p>
      <w:pPr>
        <w:pStyle w:val="Heading2"/>
        <w:spacing w:after="120" w:before="220"/>
      </w:pPr>
      <w:r>
        <w:rPr>
          <w:rFonts w:ascii="Times New Roman" w:cs="Times New Roman" w:eastAsia="Times New Roman" w:hAnsi="Times New Roman"/>
          <w:b/>
          <w:bCs/>
          <w:color w:val="000000"/>
          <w:sz w:val="26"/>
          <w:szCs w:val="26"/>
        </w:rPr>
        <w:t xml:space="preserve">3.3 Coherencia con el resto del proyecto</w:t>
      </w:r>
    </w:p>
    <w:p>
      <w:pPr>
        <w:spacing w:after="120" w:before="0" w:line="276" w:lineRule="auto"/>
      </w:pPr>
      <w:r>
        <w:rPr>
          <w:rFonts w:ascii="Times New Roman" w:cs="Times New Roman" w:eastAsia="Times New Roman" w:hAnsi="Times New Roman"/>
          <w:b w:val="false"/>
          <w:bCs w:val="false"/>
          <w:i w:val="false"/>
          <w:iCs w:val="false"/>
          <w:sz w:val="24"/>
          <w:szCs w:val="24"/>
        </w:rPr>
        <w:t xml:space="preserve">El problema, la pregunta, los objetivos y las hipótesis están alineados sobre un mismo eje: identificar la capacidad límite de la arquitectura bajo recursos gratuitos y explicar qué componente se degrada primero y por qué. La justificación cierra el ciclo al fundamentar el valor práctico de esas métricas. La inversión de tiempo del equipo se sustenta en el retorno formativo: diagnosticar el punto de colapso mediante pruebas automatizadas y telemetría propia desarrolla competencias directamente transferibles a entornos profesionales.</w:t>
      </w:r>
    </w:p>
    <w:p>
      <w:pPr>
        <w:pStyle w:val="Heading1"/>
        <w:spacing w:after="140" w:before="280"/>
      </w:pPr>
      <w:r>
        <w:rPr>
          <w:rFonts w:ascii="Times New Roman" w:cs="Times New Roman" w:eastAsia="Times New Roman" w:hAnsi="Times New Roman"/>
          <w:b/>
          <w:bCs/>
          <w:color w:val="000000"/>
          <w:sz w:val="28"/>
          <w:szCs w:val="28"/>
        </w:rPr>
        <w:t xml:space="preserve">4. Objetivos y pregunta de investigación</w:t>
      </w:r>
    </w:p>
    <w:p>
      <w:pPr>
        <w:pStyle w:val="Heading2"/>
        <w:spacing w:after="120" w:before="220"/>
      </w:pPr>
      <w:r>
        <w:rPr>
          <w:rFonts w:ascii="Times New Roman" w:cs="Times New Roman" w:eastAsia="Times New Roman" w:hAnsi="Times New Roman"/>
          <w:b/>
          <w:bCs/>
          <w:color w:val="000000"/>
          <w:sz w:val="26"/>
          <w:szCs w:val="26"/>
        </w:rPr>
        <w:t xml:space="preserve">4.1 Pregunta de investigación definitiva</w:t>
      </w:r>
    </w:p>
    <w:p>
      <w:pPr>
        <w:spacing w:after="120" w:before="0" w:line="276" w:lineRule="auto"/>
      </w:pPr>
      <w:r>
        <w:rPr>
          <w:rFonts w:ascii="Times New Roman" w:cs="Times New Roman" w:eastAsia="Times New Roman" w:hAnsi="Times New Roman"/>
          <w:b w:val="false"/>
          <w:bCs w:val="false"/>
          <w:i w:val="false"/>
          <w:iCs w:val="false"/>
          <w:sz w:val="24"/>
          <w:szCs w:val="24"/>
        </w:rPr>
        <w:t xml:space="preserve">¿Cuál es el nivel máximo de conexiones concurrentes en tiempo real (WebSockets) que puede sostener una arquitectura de microservicios desarrollada en Go, operando bajo las restricciones de la capa gratuita de Render, antes de incumplir los umbrales de calidad de servicio definidos o colapsar por agotamiento de memoria?</w:t>
      </w:r>
    </w:p>
    <w:p>
      <w:pPr>
        <w:pStyle w:val="Heading2"/>
        <w:spacing w:after="120" w:before="220"/>
      </w:pPr>
      <w:r>
        <w:rPr>
          <w:rFonts w:ascii="Times New Roman" w:cs="Times New Roman" w:eastAsia="Times New Roman" w:hAnsi="Times New Roman"/>
          <w:b/>
          <w:bCs/>
          <w:color w:val="000000"/>
          <w:sz w:val="26"/>
          <w:szCs w:val="26"/>
        </w:rPr>
        <w:t xml:space="preserve">4.2 Objetivo general</w:t>
      </w:r>
    </w:p>
    <w:p>
      <w:pPr>
        <w:spacing w:after="120" w:before="0" w:line="276" w:lineRule="auto"/>
      </w:pPr>
      <w:r>
        <w:rPr>
          <w:rFonts w:ascii="Times New Roman" w:cs="Times New Roman" w:eastAsia="Times New Roman" w:hAnsi="Times New Roman"/>
          <w:b w:val="false"/>
          <w:bCs w:val="false"/>
          <w:i w:val="false"/>
          <w:iCs w:val="false"/>
          <w:sz w:val="24"/>
          <w:szCs w:val="24"/>
        </w:rPr>
        <w:t xml:space="preserve">Determinar el nivel máximo de conexiones concurrentes en tiempo real (WebSockets) que sostiene una arquitectura de microservicios desarrollada en Go bajo las restricciones de la capa gratuita de Render, identificando qué componente se degrada primero y contra qué recurso (memoria, CPU o gestión de conexiones), para establecer una línea base medida de capacidad utilizable por proyectos académicos y de bajo presupuesto.</w:t>
      </w:r>
    </w:p>
    <w:p>
      <w:pPr>
        <w:pStyle w:val="Heading2"/>
        <w:spacing w:after="120" w:before="220"/>
      </w:pPr>
      <w:r>
        <w:rPr>
          <w:rFonts w:ascii="Times New Roman" w:cs="Times New Roman" w:eastAsia="Times New Roman" w:hAnsi="Times New Roman"/>
          <w:b/>
          <w:bCs/>
          <w:color w:val="000000"/>
          <w:sz w:val="26"/>
          <w:szCs w:val="26"/>
        </w:rPr>
        <w:t xml:space="preserve">4.3 Objetivos específicos</w:t>
      </w:r>
    </w:p>
    <w:p>
      <w:pPr>
        <w:pStyle w:val="ListParagraph"/>
        <w:numPr>
          <w:ilvl w:val="0"/>
          <w:numId w:val="2"/>
        </w:numPr>
        <w:spacing w:after="80" w:line="276" w:lineRule="auto"/>
      </w:pPr>
      <w:r>
        <w:rPr>
          <w:rFonts w:ascii="Times New Roman" w:cs="Times New Roman" w:eastAsia="Times New Roman" w:hAnsi="Times New Roman"/>
          <w:b/>
          <w:bCs/>
          <w:i w:val="false"/>
          <w:iCs w:val="false"/>
          <w:sz w:val="24"/>
          <w:szCs w:val="24"/>
        </w:rPr>
        <w:t xml:space="preserve">OE1: </w:t>
      </w:r>
      <w:r>
        <w:rPr>
          <w:rFonts w:ascii="Times New Roman" w:cs="Times New Roman" w:eastAsia="Times New Roman" w:hAnsi="Times New Roman"/>
          <w:b w:val="false"/>
          <w:bCs w:val="false"/>
          <w:i w:val="false"/>
          <w:iCs w:val="false"/>
          <w:sz w:val="24"/>
          <w:szCs w:val="24"/>
        </w:rPr>
        <w:t xml:space="preserve">diseñar y desplegar el entorno de pruebas: cuatro microservicios en Go con comunicación en tiempo real (WebSockets) sobre instancias de la capa gratuita de Render, con condiciones experimentales fijadas y documentadas (§6.3).</w:t>
      </w:r>
    </w:p>
    <w:p>
      <w:pPr>
        <w:pStyle w:val="ListParagraph"/>
        <w:numPr>
          <w:ilvl w:val="0"/>
          <w:numId w:val="2"/>
        </w:numPr>
        <w:spacing w:after="80" w:line="276" w:lineRule="auto"/>
      </w:pPr>
      <w:r>
        <w:rPr>
          <w:rFonts w:ascii="Times New Roman" w:cs="Times New Roman" w:eastAsia="Times New Roman" w:hAnsi="Times New Roman"/>
          <w:b/>
          <w:bCs/>
          <w:i w:val="false"/>
          <w:iCs w:val="false"/>
          <w:sz w:val="24"/>
          <w:szCs w:val="24"/>
        </w:rPr>
        <w:t xml:space="preserve">OE2: </w:t>
      </w:r>
      <w:r>
        <w:rPr>
          <w:rFonts w:ascii="Times New Roman" w:cs="Times New Roman" w:eastAsia="Times New Roman" w:hAnsi="Times New Roman"/>
          <w:b w:val="false"/>
          <w:bCs w:val="false"/>
          <w:i w:val="false"/>
          <w:iCs w:val="false"/>
          <w:sz w:val="24"/>
          <w:szCs w:val="24"/>
        </w:rPr>
        <w:t xml:space="preserve">medir el efecto de cargas crecientes (100, 1 000, 2 500 y 5 000 usuarios virtuales; tres réplicas por nivel) sobre el consumo de RAM y CPU por servicio, la latencia HTTP (P95/P99), la tasa de errores y la estabilidad del canal WebSocket, mediante k6 y telemetría embebida.</w:t>
      </w:r>
    </w:p>
    <w:p>
      <w:pPr>
        <w:pStyle w:val="ListParagraph"/>
        <w:numPr>
          <w:ilvl w:val="0"/>
          <w:numId w:val="2"/>
        </w:numPr>
        <w:spacing w:after="80" w:line="276" w:lineRule="auto"/>
      </w:pPr>
      <w:r>
        <w:rPr>
          <w:rFonts w:ascii="Times New Roman" w:cs="Times New Roman" w:eastAsia="Times New Roman" w:hAnsi="Times New Roman"/>
          <w:b/>
          <w:bCs/>
          <w:i w:val="false"/>
          <w:iCs w:val="false"/>
          <w:sz w:val="24"/>
          <w:szCs w:val="24"/>
        </w:rPr>
        <w:t xml:space="preserve">OE3: </w:t>
      </w:r>
      <w:r>
        <w:rPr>
          <w:rFonts w:ascii="Times New Roman" w:cs="Times New Roman" w:eastAsia="Times New Roman" w:hAnsi="Times New Roman"/>
          <w:b w:val="false"/>
          <w:bCs w:val="false"/>
          <w:i w:val="false"/>
          <w:iCs w:val="false"/>
          <w:sz w:val="24"/>
          <w:szCs w:val="24"/>
        </w:rPr>
        <w:t xml:space="preserve">identificar el punto de quiebre del sistema conforme a los umbrales y criterios operacionales predefinidos (§6.4) y estimar el costo aproximado de memoria por conexión activa.</w:t>
      </w:r>
    </w:p>
    <w:p>
      <w:pPr>
        <w:pStyle w:val="ListParagraph"/>
        <w:numPr>
          <w:ilvl w:val="0"/>
          <w:numId w:val="2"/>
        </w:numPr>
        <w:spacing w:after="80" w:line="276" w:lineRule="auto"/>
      </w:pPr>
      <w:r>
        <w:rPr>
          <w:rFonts w:ascii="Times New Roman" w:cs="Times New Roman" w:eastAsia="Times New Roman" w:hAnsi="Times New Roman"/>
          <w:b/>
          <w:bCs/>
          <w:i w:val="false"/>
          <w:iCs w:val="false"/>
          <w:sz w:val="24"/>
          <w:szCs w:val="24"/>
        </w:rPr>
        <w:t xml:space="preserve">OE4: </w:t>
      </w:r>
      <w:r>
        <w:rPr>
          <w:rFonts w:ascii="Times New Roman" w:cs="Times New Roman" w:eastAsia="Times New Roman" w:hAnsi="Times New Roman"/>
          <w:b w:val="false"/>
          <w:bCs w:val="false"/>
          <w:i w:val="false"/>
          <w:iCs w:val="false"/>
          <w:sz w:val="24"/>
          <w:szCs w:val="24"/>
        </w:rPr>
        <w:t xml:space="preserve">analizar los datos con estadística descriptiva (medianas y dispersión entre réplicas) y gráficas comparativas para contrastar las hipótesis H1–H4 y delimitar el margen real de operación de la arquitectura.</w:t>
      </w:r>
    </w:p>
    <w:p>
      <w:pPr>
        <w:pStyle w:val="Heading1"/>
        <w:spacing w:after="140" w:before="280"/>
      </w:pPr>
      <w:r>
        <w:rPr>
          <w:rFonts w:ascii="Times New Roman" w:cs="Times New Roman" w:eastAsia="Times New Roman" w:hAnsi="Times New Roman"/>
          <w:b/>
          <w:bCs/>
          <w:color w:val="000000"/>
          <w:sz w:val="28"/>
          <w:szCs w:val="28"/>
        </w:rPr>
        <w:t xml:space="preserve">5. Marco teórico y legal</w:t>
      </w:r>
    </w:p>
    <w:p>
      <w:pPr>
        <w:pStyle w:val="Heading2"/>
        <w:spacing w:after="120" w:before="220"/>
      </w:pPr>
      <w:r>
        <w:rPr>
          <w:rFonts w:ascii="Times New Roman" w:cs="Times New Roman" w:eastAsia="Times New Roman" w:hAnsi="Times New Roman"/>
          <w:b/>
          <w:bCs/>
          <w:color w:val="000000"/>
          <w:sz w:val="26"/>
          <w:szCs w:val="26"/>
        </w:rPr>
        <w:t xml:space="preserve">5.1 Antecedentes de la investigación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260"/>
        <w:gridCol w:w="3200"/>
      </w:tblGrid>
      <w:tr>
        <w:trPr>
          <w:tblHeader/>
        </w:trPr>
        <w:tc>
          <w:tcPr>
            <w:tcW w:type="dxa" w:w="1750"/>
            <w:shd w:fill="E8E2D6" w:val="clear"/>
            <w:tcMar>
              <w:top w:type="dxa" w:w="60"/>
              <w:left w:type="dxa" w:w="80"/>
              <w:bottom w:type="dxa" w:w="60"/>
              <w:right w:type="dxa" w:w="80"/>
            </w:tcMar>
          </w:tcPr>
          <w:p>
            <w:pPr>
              <w:spacing w:after="40" w:line="240" w:lineRule="auto"/>
            </w:pPr>
            <w:r>
              <w:rPr>
                <w:rFonts w:ascii="Times New Roman" w:cs="Times New Roman" w:eastAsia="Times New Roman" w:hAnsi="Times New Roman"/>
                <w:b/>
                <w:bCs/>
                <w:sz w:val="20"/>
                <w:szCs w:val="20"/>
              </w:rPr>
              <w:t xml:space="preserve">Autor(es) y año</w:t>
            </w:r>
          </w:p>
        </w:tc>
        <w:tc>
          <w:tcPr>
            <w:tcW w:type="dxa" w:w="2150"/>
            <w:shd w:fill="E8E2D6" w:val="clear"/>
            <w:tcMar>
              <w:top w:type="dxa" w:w="60"/>
              <w:left w:type="dxa" w:w="80"/>
              <w:bottom w:type="dxa" w:w="60"/>
              <w:right w:type="dxa" w:w="80"/>
            </w:tcMar>
          </w:tcPr>
          <w:p>
            <w:pPr>
              <w:spacing w:after="40" w:line="240" w:lineRule="auto"/>
            </w:pPr>
            <w:r>
              <w:rPr>
                <w:rFonts w:ascii="Times New Roman" w:cs="Times New Roman" w:eastAsia="Times New Roman" w:hAnsi="Times New Roman"/>
                <w:b/>
                <w:bCs/>
                <w:sz w:val="20"/>
                <w:szCs w:val="20"/>
              </w:rPr>
              <w:t xml:space="preserve">Título</w:t>
            </w:r>
          </w:p>
        </w:tc>
        <w:tc>
          <w:tcPr>
            <w:tcW w:type="dxa" w:w="2260"/>
            <w:shd w:fill="E8E2D6" w:val="clear"/>
            <w:tcMar>
              <w:top w:type="dxa" w:w="60"/>
              <w:left w:type="dxa" w:w="80"/>
              <w:bottom w:type="dxa" w:w="60"/>
              <w:right w:type="dxa" w:w="80"/>
            </w:tcMar>
          </w:tcPr>
          <w:p>
            <w:pPr>
              <w:spacing w:after="40" w:line="240" w:lineRule="auto"/>
            </w:pPr>
            <w:r>
              <w:rPr>
                <w:rFonts w:ascii="Times New Roman" w:cs="Times New Roman" w:eastAsia="Times New Roman" w:hAnsi="Times New Roman"/>
                <w:b/>
                <w:bCs/>
                <w:sz w:val="20"/>
                <w:szCs w:val="20"/>
              </w:rPr>
              <w:t xml:space="preserve">Fuente / DOI</w:t>
            </w:r>
          </w:p>
        </w:tc>
        <w:tc>
          <w:tcPr>
            <w:tcW w:type="dxa" w:w="3200"/>
            <w:shd w:fill="E8E2D6" w:val="clear"/>
            <w:tcMar>
              <w:top w:type="dxa" w:w="60"/>
              <w:left w:type="dxa" w:w="80"/>
              <w:bottom w:type="dxa" w:w="60"/>
              <w:right w:type="dxa" w:w="80"/>
            </w:tcMar>
          </w:tcPr>
          <w:p>
            <w:pPr>
              <w:spacing w:after="40" w:line="240" w:lineRule="auto"/>
            </w:pPr>
            <w:r>
              <w:rPr>
                <w:rFonts w:ascii="Times New Roman" w:cs="Times New Roman" w:eastAsia="Times New Roman" w:hAnsi="Times New Roman"/>
                <w:b/>
                <w:bCs/>
                <w:sz w:val="20"/>
                <w:szCs w:val="20"/>
              </w:rPr>
              <w:t xml:space="preserve">Aportación al proyecto</w:t>
            </w:r>
          </w:p>
        </w:tc>
      </w:tr>
      <w:tr>
        <w:tc>
          <w:tcPr>
            <w:tcW w:type="dxa" w:w="175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Blinowski, G., Ojdowska, A., &amp; Przybyłek, A. (2022)</w:t>
            </w:r>
          </w:p>
        </w:tc>
        <w:tc>
          <w:tcPr>
            <w:tcW w:type="dxa" w:w="215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Monolithic vs. Microservice Architecture: A Performance and Scalability Evaluation</w:t>
            </w:r>
          </w:p>
        </w:tc>
        <w:tc>
          <w:tcPr>
            <w:tcW w:type="dxa" w:w="22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IEEE Access, 10. https://doi.org/10.1109/ACCESS.2022.3152803</w:t>
            </w:r>
          </w:p>
        </w:tc>
        <w:tc>
          <w:tcPr>
            <w:tcW w:type="dxa" w:w="32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Evalúa empíricamente rendimiento y escalabilidad de ambas arquitecturas; sus hallazgos en máquinas de baja potencia establecen expectativas cuantitativas bajo restricciones severas. Se usa como antecedente y contexto: este estudio no compara contra una arquitectura monolítica.</w:t>
            </w:r>
          </w:p>
        </w:tc>
      </w:tr>
      <w:tr>
        <w:tc>
          <w:tcPr>
            <w:tcW w:type="dxa" w:w="175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Fernando, L., &amp; Engel, M. M. (2025)</w:t>
            </w:r>
          </w:p>
        </w:tc>
        <w:tc>
          <w:tcPr>
            <w:tcW w:type="dxa" w:w="215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Comparative Performance Benchmarking of WebSocket Libraries on Node.js and Golang</w:t>
            </w:r>
          </w:p>
        </w:tc>
        <w:tc>
          <w:tcPr>
            <w:tcW w:type="dxa" w:w="22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Sinkron: Jurnal dan Penelitian Teknik Informatika, 9(4), 2051–2060. https://doi.org/10.33395/sinkron.v9i4.15266</w:t>
            </w:r>
          </w:p>
        </w:tc>
        <w:tc>
          <w:tcPr>
            <w:tcW w:type="dxa" w:w="32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Compara bibliotecas WebSocket con cargas de 100 a 1 000 clientes concurrentes; las bibliotecas ligeras de Go superan 44 000 mensajes/s a carga máxima, lo que fundamenta la elección del lenguaje y aporta una metodología de benchmark.</w:t>
            </w:r>
          </w:p>
        </w:tc>
      </w:tr>
      <w:tr>
        <w:tc>
          <w:tcPr>
            <w:tcW w:type="dxa" w:w="175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Sobri, M., et al. (2022)</w:t>
            </w:r>
          </w:p>
        </w:tc>
        <w:tc>
          <w:tcPr>
            <w:tcW w:type="dxa" w:w="215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A Study of Database Connection Pool in Microservice Architecture</w:t>
            </w:r>
          </w:p>
        </w:tc>
        <w:tc>
          <w:tcPr>
            <w:tcW w:type="dxa" w:w="22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JOIV: International Journal on Informatics Visualization. https://joiv.org/index.php/joiv/article/view/1094</w:t>
            </w:r>
          </w:p>
        </w:tc>
        <w:tc>
          <w:tcPr>
            <w:tcW w:type="dxa" w:w="32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Evalúa con pruebas de estrés el impacto del tamaño de los pools de conexiones a bases de datos relacionales en microservicios; referente directo para configurar una persistencia acotada que no desborde la capa gratuita.</w:t>
            </w:r>
          </w:p>
        </w:tc>
      </w:tr>
      <w:tr>
        <w:tc>
          <w:tcPr>
            <w:tcW w:type="dxa" w:w="175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Lemos, E., Oliveira, R., Rodrigues, J., &amp; Oliveira Neto, R. F. (2025)</w:t>
            </w:r>
          </w:p>
        </w:tc>
        <w:tc>
          <w:tcPr>
            <w:tcW w:type="dxa" w:w="215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Deep Learning Model Deployment in Multiple Cloud Providers: An Exploratory Study Using Low Computing Power Environments</w:t>
            </w:r>
          </w:p>
        </w:tc>
        <w:tc>
          <w:tcPr>
            <w:tcW w:type="dxa" w:w="22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arXiv. https://arxiv.org/abs/2503.23988</w:t>
            </w:r>
          </w:p>
        </w:tc>
        <w:tc>
          <w:tcPr>
            <w:tcW w:type="dxa" w:w="32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Estudia la viabilidad de desplegar cargas exigentes en proveedores cloud con hardware de bajo costo; es el antecedente más próximo al problema central (la barrera económica del cómputo en la nube), del que este trabajo se diferencia al explorar la optimización arquitectónica.</w:t>
            </w:r>
          </w:p>
        </w:tc>
      </w:tr>
    </w:tbl>
    <w:p>
      <w:pPr>
        <w:spacing w:after="120" w:before="0" w:line="276" w:lineRule="auto"/>
      </w:pPr>
      <w:r>
        <w:rPr>
          <w:rFonts w:ascii="Times New Roman" w:cs="Times New Roman" w:eastAsia="Times New Roman" w:hAnsi="Times New Roman"/>
          <w:b w:val="false"/>
          <w:bCs w:val="false"/>
          <w:i w:val="false"/>
          <w:iCs w:val="false"/>
          <w:sz w:val="24"/>
          <w:szCs w:val="24"/>
        </w:rPr>
        <w:t xml:space="preserve"/>
      </w:r>
    </w:p>
    <w:p>
      <w:pPr>
        <w:pStyle w:val="Heading2"/>
        <w:spacing w:after="120" w:before="220"/>
      </w:pPr>
      <w:r>
        <w:rPr>
          <w:rFonts w:ascii="Times New Roman" w:cs="Times New Roman" w:eastAsia="Times New Roman" w:hAnsi="Times New Roman"/>
          <w:b/>
          <w:bCs/>
          <w:color w:val="000000"/>
          <w:sz w:val="26"/>
          <w:szCs w:val="26"/>
        </w:rPr>
        <w:t xml:space="preserve">5.2 Fundamentos teóricos</w:t>
      </w:r>
    </w:p>
    <w:p>
      <w:pPr>
        <w:spacing w:after="120" w:before="0" w:line="276" w:lineRule="auto"/>
      </w:pPr>
      <w:r>
        <w:rPr>
          <w:rFonts w:ascii="Times New Roman" w:cs="Times New Roman" w:eastAsia="Times New Roman" w:hAnsi="Times New Roman"/>
          <w:b/>
          <w:bCs/>
          <w:i w:val="false"/>
          <w:iCs w:val="false"/>
          <w:sz w:val="24"/>
          <w:szCs w:val="24"/>
        </w:rPr>
        <w:t xml:space="preserve">Arquitectura de microservicios y restricciones de hardware: </w:t>
      </w:r>
      <w:r>
        <w:rPr>
          <w:rFonts w:ascii="Times New Roman" w:cs="Times New Roman" w:eastAsia="Times New Roman" w:hAnsi="Times New Roman"/>
          <w:b w:val="false"/>
          <w:bCs w:val="false"/>
          <w:i w:val="false"/>
          <w:iCs w:val="false"/>
          <w:sz w:val="24"/>
          <w:szCs w:val="24"/>
        </w:rPr>
        <w:t xml:space="preserve">la arquitectura descompone el sistema en servicios independientes (api-gateway, groups-service, habits-service y realtime-service) que se comunican por red y se ejecutan en contenedores (Docker). En la capa gratuita, los contenedores operan bajo políticas de control de recursos (cgroups en Linux) que limitan la memoria a 512 MB; si un proceso excede ese umbral, el mecanismo OOM (Out of Memory) Killer lo termina abruptamente, por lo que la eficiencia de memoria es crítica.</w:t>
      </w:r>
    </w:p>
    <w:p>
      <w:pPr>
        <w:spacing w:after="120" w:before="0" w:line="276" w:lineRule="auto"/>
      </w:pPr>
      <w:r>
        <w:rPr>
          <w:rFonts w:ascii="Times New Roman" w:cs="Times New Roman" w:eastAsia="Times New Roman" w:hAnsi="Times New Roman"/>
          <w:b/>
          <w:bCs/>
          <w:i w:val="false"/>
          <w:iCs w:val="false"/>
          <w:sz w:val="24"/>
          <w:szCs w:val="24"/>
        </w:rPr>
        <w:t xml:space="preserve">Concurrencia y gestión de memoria en Go: </w:t>
      </w:r>
      <w:r>
        <w:rPr>
          <w:rFonts w:ascii="Times New Roman" w:cs="Times New Roman" w:eastAsia="Times New Roman" w:hAnsi="Times New Roman"/>
          <w:b w:val="false"/>
          <w:bCs w:val="false"/>
          <w:i w:val="false"/>
          <w:iCs w:val="false"/>
          <w:sz w:val="24"/>
          <w:szCs w:val="24"/>
        </w:rPr>
        <w:t xml:space="preserve">a diferencia de los modelos que asignan un hilo del sistema operativo por petición (1–2 MB de pila), Go utiliza goroutines (hilos ligeros con pila inicial de ~2 KB), lo que permite sostener miles de conexiones simultáneas. Bajo tráfico extremo, sin embargo, la acumulación de goroutines y buffers eleva el tamaño del heap; si el recolector de basura no libera memoria a tiempo, el contenedor alcanza el límite y es terminado.</w:t>
      </w:r>
    </w:p>
    <w:p>
      <w:pPr>
        <w:spacing w:after="120" w:before="0" w:line="276" w:lineRule="auto"/>
      </w:pPr>
      <w:r>
        <w:rPr>
          <w:rFonts w:ascii="Times New Roman" w:cs="Times New Roman" w:eastAsia="Times New Roman" w:hAnsi="Times New Roman"/>
          <w:b/>
          <w:bCs/>
          <w:i w:val="false"/>
          <w:iCs w:val="false"/>
          <w:sz w:val="24"/>
          <w:szCs w:val="24"/>
        </w:rPr>
        <w:t xml:space="preserve">Protocolos de comunicación (REST y WebSockets): </w:t>
      </w:r>
      <w:r>
        <w:rPr>
          <w:rFonts w:ascii="Times New Roman" w:cs="Times New Roman" w:eastAsia="Times New Roman" w:hAnsi="Times New Roman"/>
          <w:b w:val="false"/>
          <w:bCs w:val="false"/>
          <w:i w:val="false"/>
          <w:iCs w:val="false"/>
          <w:sz w:val="24"/>
          <w:szCs w:val="24"/>
        </w:rPr>
        <w:t xml:space="preserve">el sistema integra APIs REST (HTTP/HTTPS) para operaciones transaccionales sin estado, donde la memoria se asigna y libera rápidamente, y WebSockets para comunicación bidireccional persistente (full-duplex) en el realtime-service. El desafío principal del canal persistente es el costo de la conexión retenida: goroutines y descriptores de archivo vivos de forma indefinida en RAM.</w:t>
      </w:r>
    </w:p>
    <w:p>
      <w:pPr>
        <w:spacing w:after="120" w:before="0" w:line="276" w:lineRule="auto"/>
      </w:pPr>
      <w:r>
        <w:rPr>
          <w:rFonts w:ascii="Times New Roman" w:cs="Times New Roman" w:eastAsia="Times New Roman" w:hAnsi="Times New Roman"/>
          <w:b/>
          <w:bCs/>
          <w:i w:val="false"/>
          <w:iCs w:val="false"/>
          <w:sz w:val="24"/>
          <w:szCs w:val="24"/>
        </w:rPr>
        <w:t xml:space="preserve">Pruebas de estrés y métricas de rendimiento: </w:t>
      </w:r>
      <w:r>
        <w:rPr>
          <w:rFonts w:ascii="Times New Roman" w:cs="Times New Roman" w:eastAsia="Times New Roman" w:hAnsi="Times New Roman"/>
          <w:b w:val="false"/>
          <w:bCs w:val="false"/>
          <w:i w:val="false"/>
          <w:iCs w:val="false"/>
          <w:sz w:val="24"/>
          <w:szCs w:val="24"/>
        </w:rPr>
        <w:t xml:space="preserve">las pruebas de estrés someten al software a condiciones extremas para descubrir su punto de quiebre. Se cuantifican mediante usuarios virtuales (VUs) que emulan tráfico; la latencia y su percentil 95 (P95) describen el tiempo de respuesta de la gran mayoría de las peticiones sin distorsión por valores atípicos; la tasa de conexiones caídas (drop rate) es un indicador de agotamiento del servidor.</w:t>
      </w:r>
    </w:p>
    <w:p>
      <w:pPr>
        <w:pStyle w:val="Heading2"/>
        <w:spacing w:after="120" w:before="220"/>
      </w:pPr>
      <w:r>
        <w:rPr>
          <w:rFonts w:ascii="Times New Roman" w:cs="Times New Roman" w:eastAsia="Times New Roman" w:hAnsi="Times New Roman"/>
          <w:b/>
          <w:bCs/>
          <w:color w:val="000000"/>
          <w:sz w:val="26"/>
          <w:szCs w:val="26"/>
        </w:rPr>
        <w:t xml:space="preserve">5.3 Matriz de normatividad y estándares</w:t>
      </w:r>
    </w:p>
    <w:p>
      <w:pPr>
        <w:spacing w:after="120" w:before="0" w:line="276" w:lineRule="auto"/>
      </w:pPr>
      <w:r>
        <w:rPr>
          <w:rFonts w:ascii="Times New Roman" w:cs="Times New Roman" w:eastAsia="Times New Roman" w:hAnsi="Times New Roman"/>
          <w:b w:val="false"/>
          <w:bCs w:val="false"/>
          <w:i/>
          <w:iCs/>
          <w:sz w:val="20"/>
          <w:szCs w:val="20"/>
        </w:rPr>
        <w:t xml:space="preserve">La matriz distingue normas centrales al experimento de normas del producto (periféricas al experimento), atendiendo la observación de vigencia y aplicabilidad.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3060"/>
        <w:gridCol w:w="2900"/>
      </w:tblGrid>
      <w:tr>
        <w:trPr>
          <w:tblHeader/>
        </w:trPr>
        <w:tc>
          <w:tcPr>
            <w:tcW w:type="dxa" w:w="2100"/>
            <w:shd w:fill="E8E2D6" w:val="clear"/>
            <w:tcMar>
              <w:top w:type="dxa" w:w="60"/>
              <w:left w:type="dxa" w:w="80"/>
              <w:bottom w:type="dxa" w:w="60"/>
              <w:right w:type="dxa" w:w="80"/>
            </w:tcMar>
          </w:tcPr>
          <w:p>
            <w:pPr>
              <w:spacing w:after="40" w:line="240" w:lineRule="auto"/>
            </w:pPr>
            <w:r>
              <w:rPr>
                <w:rFonts w:ascii="Times New Roman" w:cs="Times New Roman" w:eastAsia="Times New Roman" w:hAnsi="Times New Roman"/>
                <w:b/>
                <w:bCs/>
                <w:sz w:val="20"/>
                <w:szCs w:val="20"/>
              </w:rPr>
              <w:t xml:space="preserve">Norma / estándar</w:t>
            </w:r>
          </w:p>
        </w:tc>
        <w:tc>
          <w:tcPr>
            <w:tcW w:type="dxa" w:w="1300"/>
            <w:shd w:fill="E8E2D6" w:val="clear"/>
            <w:tcMar>
              <w:top w:type="dxa" w:w="60"/>
              <w:left w:type="dxa" w:w="80"/>
              <w:bottom w:type="dxa" w:w="60"/>
              <w:right w:type="dxa" w:w="80"/>
            </w:tcMar>
          </w:tcPr>
          <w:p>
            <w:pPr>
              <w:spacing w:after="40" w:line="240" w:lineRule="auto"/>
            </w:pPr>
            <w:r>
              <w:rPr>
                <w:rFonts w:ascii="Times New Roman" w:cs="Times New Roman" w:eastAsia="Times New Roman" w:hAnsi="Times New Roman"/>
                <w:b/>
                <w:bCs/>
                <w:sz w:val="20"/>
                <w:szCs w:val="20"/>
              </w:rPr>
              <w:t xml:space="preserve">Organismo emisor</w:t>
            </w:r>
          </w:p>
        </w:tc>
        <w:tc>
          <w:tcPr>
            <w:tcW w:type="dxa" w:w="3060"/>
            <w:shd w:fill="E8E2D6" w:val="clear"/>
            <w:tcMar>
              <w:top w:type="dxa" w:w="60"/>
              <w:left w:type="dxa" w:w="80"/>
              <w:bottom w:type="dxa" w:w="60"/>
              <w:right w:type="dxa" w:w="80"/>
            </w:tcMar>
          </w:tcPr>
          <w:p>
            <w:pPr>
              <w:spacing w:after="40" w:line="240" w:lineRule="auto"/>
            </w:pPr>
            <w:r>
              <w:rPr>
                <w:rFonts w:ascii="Times New Roman" w:cs="Times New Roman" w:eastAsia="Times New Roman" w:hAnsi="Times New Roman"/>
                <w:b/>
                <w:bCs/>
                <w:sz w:val="20"/>
                <w:szCs w:val="20"/>
              </w:rPr>
              <w:t xml:space="preserve">Aplicación concreta en el proyecto</w:t>
            </w:r>
          </w:p>
        </w:tc>
        <w:tc>
          <w:tcPr>
            <w:tcW w:type="dxa" w:w="2900"/>
            <w:shd w:fill="E8E2D6" w:val="clear"/>
            <w:tcMar>
              <w:top w:type="dxa" w:w="60"/>
              <w:left w:type="dxa" w:w="80"/>
              <w:bottom w:type="dxa" w:w="60"/>
              <w:right w:type="dxa" w:w="80"/>
            </w:tcMar>
          </w:tcPr>
          <w:p>
            <w:pPr>
              <w:spacing w:after="40" w:line="240" w:lineRule="auto"/>
            </w:pPr>
            <w:r>
              <w:rPr>
                <w:rFonts w:ascii="Times New Roman" w:cs="Times New Roman" w:eastAsia="Times New Roman" w:hAnsi="Times New Roman"/>
                <w:b/>
                <w:bCs/>
                <w:sz w:val="20"/>
                <w:szCs w:val="20"/>
              </w:rPr>
              <w:t xml:space="preserve">Medida de cumplimiento</w:t>
            </w:r>
          </w:p>
        </w:tc>
      </w:tr>
      <w:tr>
        <w:tc>
          <w:tcPr>
            <w:tcW w:type="dxa" w:w="21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Ley Federal de Protección de Datos Personales en Posesión de los Particulares (vigente, DOF 20-03-2025)</w:t>
            </w:r>
          </w:p>
        </w:tc>
        <w:tc>
          <w:tcPr>
            <w:tcW w:type="dxa" w:w="13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Cámara de Diputados (México)</w:t>
            </w:r>
          </w:p>
        </w:tc>
        <w:tc>
          <w:tcPr>
            <w:tcW w:type="dxa" w:w="30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Aplica al sistema de autenticación de usuarios reales de la aplicación (Supabase Auth). Las pruebas de carga del experimento usan exclusivamente cuentas y datos sintéticos: no se procesan datos personales reales durante las corridas.</w:t>
            </w:r>
          </w:p>
        </w:tc>
        <w:tc>
          <w:tcPr>
            <w:tcW w:type="dxa" w:w="29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Aviso de privacidad en el registro; cifrado de contraseñas nativo de Supabase; cuenta de pruebas dedicada y datos sembrados identificables para el experimento.</w:t>
            </w:r>
          </w:p>
        </w:tc>
      </w:tr>
      <w:tr>
        <w:tc>
          <w:tcPr>
            <w:tcW w:type="dxa" w:w="21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Código de Ética y Práctica Profesional de la Ingeniería de Software</w:t>
            </w:r>
          </w:p>
        </w:tc>
        <w:tc>
          <w:tcPr>
            <w:tcW w:type="dxa" w:w="13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ACM / IEEE-CS</w:t>
            </w:r>
          </w:p>
        </w:tc>
        <w:tc>
          <w:tcPr>
            <w:tcW w:type="dxa" w:w="30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Aplica al diseño de la arquitectura y a la fase de pruebas: documentar capacidades reales del sistema antes del colapso, sin exagerar ni ocultar limitaciones.</w:t>
            </w:r>
          </w:p>
        </w:tc>
        <w:tc>
          <w:tcPr>
            <w:tcW w:type="dxa" w:w="29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Pruebas de carga con réplicas y bitácora; publicación de datos crudos; reporte de restricciones y fallos observados.</w:t>
            </w:r>
          </w:p>
        </w:tc>
      </w:tr>
      <w:tr>
        <w:tc>
          <w:tcPr>
            <w:tcW w:type="dxa" w:w="21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Licencias de código abierto (MIT / ISC / BSD / AGPL)</w:t>
            </w:r>
          </w:p>
        </w:tc>
        <w:tc>
          <w:tcPr>
            <w:tcW w:type="dxa" w:w="13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Open Source Initiative</w:t>
            </w:r>
          </w:p>
        </w:tc>
        <w:tc>
          <w:tcPr>
            <w:tcW w:type="dxa" w:w="30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Aplica a las bibliotecas de terceros del backend (chi, pgx, coder/websocket) y a las herramientas del arnés (k6, AGPL-3.0, usada como herramienta sin redistribución).</w:t>
            </w:r>
          </w:p>
        </w:tc>
        <w:tc>
          <w:tcPr>
            <w:tcW w:type="dxa" w:w="29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Sección de créditos y licencias en la documentación técnica; encabezados originales intactos; go.mod como inventario de dependencias.</w:t>
            </w:r>
          </w:p>
        </w:tc>
      </w:tr>
      <w:tr>
        <w:tc>
          <w:tcPr>
            <w:tcW w:type="dxa" w:w="21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ISO/IEC 25010:2023 (SQuaRE — modelo de calidad)</w:t>
            </w:r>
          </w:p>
        </w:tc>
        <w:tc>
          <w:tcPr>
            <w:tcW w:type="dxa" w:w="13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ISO / IEC</w:t>
            </w:r>
          </w:p>
        </w:tc>
        <w:tc>
          <w:tcPr>
            <w:tcW w:type="dxa" w:w="30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Define el modelo de calidad aplicable: el experimento evalúa la característica de eficiencia de desempeño (comportamiento temporal, utilización de recursos y capacidad).</w:t>
            </w:r>
          </w:p>
        </w:tc>
        <w:tc>
          <w:tcPr>
            <w:tcW w:type="dxa" w:w="29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Umbrales de calidad de servicio (§6.4) mapeados a las subcaracterísticas del estándar.</w:t>
            </w:r>
          </w:p>
        </w:tc>
      </w:tr>
      <w:tr>
        <w:tc>
          <w:tcPr>
            <w:tcW w:type="dxa" w:w="21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ISO/IEC 27001:2022 (SGSI)</w:t>
            </w:r>
          </w:p>
        </w:tc>
        <w:tc>
          <w:tcPr>
            <w:tcW w:type="dxa" w:w="13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ISO / IEC</w:t>
            </w:r>
          </w:p>
        </w:tc>
        <w:tc>
          <w:tcPr>
            <w:tcW w:type="dxa" w:w="30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Normativa de referencia para la gestión de secretos y accesos del sistema bajo prueba.</w:t>
            </w:r>
          </w:p>
        </w:tc>
        <w:tc>
          <w:tcPr>
            <w:tcW w:type="dxa" w:w="29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Verificación de tokens JWT (ES256 vía JWKS); secretos y credenciales exclusivamente en variables de entorno, fuera del control de versiones; token interno entre servicios.</w:t>
            </w:r>
          </w:p>
        </w:tc>
      </w:tr>
      <w:tr>
        <w:tc>
          <w:tcPr>
            <w:tcW w:type="dxa" w:w="21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WCAG 2.2 (accesibilidad web)</w:t>
            </w:r>
          </w:p>
        </w:tc>
        <w:tc>
          <w:tcPr>
            <w:tcW w:type="dxa" w:w="13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W3C</w:t>
            </w:r>
          </w:p>
        </w:tc>
        <w:tc>
          <w:tcPr>
            <w:tcW w:type="dxa" w:w="30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Periférica al experimento: aplica al producto (interfaz web en Vue), no a las pruebas de carga.</w:t>
            </w:r>
          </w:p>
        </w:tc>
        <w:tc>
          <w:tcPr>
            <w:tcW w:type="dxa" w:w="29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Etiquetas semánticas, contraste y diseño responsivo en el frontend.</w:t>
            </w:r>
          </w:p>
        </w:tc>
      </w:tr>
      <w:tr>
        <w:tc>
          <w:tcPr>
            <w:tcW w:type="dxa" w:w="21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ISO/IEC/IEEE 29148:2018 (ingeniería de requisitos)</w:t>
            </w:r>
          </w:p>
        </w:tc>
        <w:tc>
          <w:tcPr>
            <w:tcW w:type="dxa" w:w="13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ISO / IEC / IEEE</w:t>
            </w:r>
          </w:p>
        </w:tc>
        <w:tc>
          <w:tcPr>
            <w:tcW w:type="dxa" w:w="30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Sustituye a IEEE 830 (retirado) como práctica vigente para documentar requisitos del sistema.</w:t>
            </w:r>
          </w:p>
        </w:tc>
        <w:tc>
          <w:tcPr>
            <w:tcW w:type="dxa" w:w="29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Especificación de requisitos y reglas de negocio en la documentación del proyecto.</w:t>
            </w:r>
          </w:p>
        </w:tc>
      </w:tr>
    </w:tbl>
    <w:p>
      <w:pPr>
        <w:pStyle w:val="Heading1"/>
        <w:spacing w:after="140" w:before="280"/>
      </w:pPr>
      <w:r>
        <w:rPr>
          <w:rFonts w:ascii="Times New Roman" w:cs="Times New Roman" w:eastAsia="Times New Roman" w:hAnsi="Times New Roman"/>
          <w:b/>
          <w:bCs/>
          <w:color w:val="000000"/>
          <w:sz w:val="28"/>
          <w:szCs w:val="28"/>
        </w:rPr>
        <w:t xml:space="preserve">6. Marco metodológico</w:t>
      </w:r>
    </w:p>
    <w:p>
      <w:pPr>
        <w:pStyle w:val="Heading2"/>
        <w:spacing w:after="120" w:before="220"/>
      </w:pPr>
      <w:r>
        <w:rPr>
          <w:rFonts w:ascii="Times New Roman" w:cs="Times New Roman" w:eastAsia="Times New Roman" w:hAnsi="Times New Roman"/>
          <w:b/>
          <w:bCs/>
          <w:color w:val="000000"/>
          <w:sz w:val="26"/>
          <w:szCs w:val="26"/>
        </w:rPr>
        <w:t xml:space="preserve">6.1 Diseño metodológico</w:t>
      </w:r>
    </w:p>
    <w:p>
      <w:pPr>
        <w:spacing w:after="120" w:before="0" w:line="276" w:lineRule="auto"/>
      </w:pPr>
      <w:r>
        <w:rPr>
          <w:rFonts w:ascii="Times New Roman" w:cs="Times New Roman" w:eastAsia="Times New Roman" w:hAnsi="Times New Roman"/>
          <w:b w:val="false"/>
          <w:bCs w:val="false"/>
          <w:i w:val="false"/>
          <w:iCs w:val="false"/>
          <w:sz w:val="24"/>
          <w:szCs w:val="24"/>
        </w:rPr>
        <w:t xml:space="preserve">El estudio es un benchmark experimental controlado de tipo cuasi-experimental: la variable independiente (volumen de carga) se manipula deliberadamente en cuatro niveles fijos, con tres réplicas por nivel, bajo condiciones experimentales fijadas y documentadas. El ecosistema de microservicios (api-gateway, groups-service, habits-service y realtime-service) se despliega en cuatro cuentas independientes de la capa gratuita de Render —una estrategia deliberada para multiplicar los recursos gratuitos disponibles— y la capa de datos y autenticación reside en Supabase. El enfoque cuantitativo se justifica porque las hipótesis se contrastan con métricas numéricas (ws_connect_time, P95 HTTP, ws_dropped_rate, RAM y CPU por servicio).</w:t>
      </w:r>
    </w:p>
    <w:p>
      <w:pPr>
        <w:pStyle w:val="Heading2"/>
        <w:spacing w:after="120" w:before="220"/>
      </w:pPr>
      <w:r>
        <w:rPr>
          <w:rFonts w:ascii="Times New Roman" w:cs="Times New Roman" w:eastAsia="Times New Roman" w:hAnsi="Times New Roman"/>
          <w:b/>
          <w:bCs/>
          <w:color w:val="000000"/>
          <w:sz w:val="26"/>
          <w:szCs w:val="26"/>
        </w:rPr>
        <w:t xml:space="preserve">6.2 Unidades experimentales y de observación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shd w:fill="E8E2D6" w:val="clear"/>
            <w:tcMar>
              <w:top w:type="dxa" w:w="60"/>
              <w:left w:type="dxa" w:w="80"/>
              <w:bottom w:type="dxa" w:w="60"/>
              <w:right w:type="dxa" w:w="80"/>
            </w:tcMar>
          </w:tcPr>
          <w:p>
            <w:pPr>
              <w:spacing w:after="40" w:line="240" w:lineRule="auto"/>
            </w:pPr>
            <w:r>
              <w:rPr>
                <w:rFonts w:ascii="Times New Roman" w:cs="Times New Roman" w:eastAsia="Times New Roman" w:hAnsi="Times New Roman"/>
                <w:b/>
                <w:bCs/>
                <w:sz w:val="20"/>
                <w:szCs w:val="20"/>
              </w:rPr>
              <w:t xml:space="preserve">Elemento metodológico</w:t>
            </w:r>
          </w:p>
        </w:tc>
        <w:tc>
          <w:tcPr>
            <w:tcW w:type="dxa" w:w="6860"/>
            <w:shd w:fill="E8E2D6" w:val="clear"/>
            <w:tcMar>
              <w:top w:type="dxa" w:w="60"/>
              <w:left w:type="dxa" w:w="80"/>
              <w:bottom w:type="dxa" w:w="60"/>
              <w:right w:type="dxa" w:w="80"/>
            </w:tcMar>
          </w:tcPr>
          <w:p>
            <w:pPr>
              <w:spacing w:after="40" w:line="240" w:lineRule="auto"/>
            </w:pPr>
            <w:r>
              <w:rPr>
                <w:rFonts w:ascii="Times New Roman" w:cs="Times New Roman" w:eastAsia="Times New Roman" w:hAnsi="Times New Roman"/>
                <w:b/>
                <w:bCs/>
                <w:sz w:val="20"/>
                <w:szCs w:val="20"/>
              </w:rPr>
              <w:t xml:space="preserve">Definición en el proyecto</w:t>
            </w:r>
          </w:p>
        </w:tc>
      </w:tr>
      <w:tr>
        <w:tc>
          <w:tcPr>
            <w:tcW w:type="dxa" w:w="25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Unidad experimental</w:t>
            </w:r>
          </w:p>
        </w:tc>
        <w:tc>
          <w:tcPr>
            <w:tcW w:type="dxa" w:w="68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Una corrida de carga: ejecución completa del script de inyección (rampa de ~9 minutos con meseta) contra el despliegue, con parámetros y commit del código registrados en metadata.json.</w:t>
            </w:r>
          </w:p>
        </w:tc>
      </w:tr>
      <w:tr>
        <w:tc>
          <w:tcPr>
            <w:tcW w:type="dxa" w:w="25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Conjunto de ejecuciones</w:t>
            </w:r>
          </w:p>
        </w:tc>
        <w:tc>
          <w:tcPr>
            <w:tcW w:type="dxa" w:w="68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12 corridas válidas: 4 niveles de carga (100, 1 000, 2 500 y 5 000 VUs) × 3 réplicas por nivel. Las corridas piloto de validación del instrumento se reportan por separado (§7.1).</w:t>
            </w:r>
          </w:p>
        </w:tc>
      </w:tr>
      <w:tr>
        <w:tc>
          <w:tcPr>
            <w:tcW w:type="dxa" w:w="25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Unidad de observación</w:t>
            </w:r>
          </w:p>
        </w:tc>
        <w:tc>
          <w:tcPr>
            <w:tcW w:type="dxa" w:w="68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La transacción individual (petición HTTP o ciclo de vida de una conexión WebSocket) registrada por k6, y la muestra de telemetría del servidor tomada cada 5 segundos.</w:t>
            </w:r>
          </w:p>
        </w:tc>
      </w:tr>
      <w:tr>
        <w:tc>
          <w:tcPr>
            <w:tcW w:type="dxa" w:w="25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Observaciones esperadas</w:t>
            </w:r>
          </w:p>
        </w:tc>
        <w:tc>
          <w:tcPr>
            <w:tcW w:type="dxa" w:w="68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Aproximadamente 10 800 peticiones HTTP por corrida (20 req/s × 9 min), del orden de miles de sesiones WebSocket por corrida según el nivel, y ~120 muestras de telemetría por servicio por corrida.</w:t>
            </w:r>
          </w:p>
        </w:tc>
      </w:tr>
      <w:tr>
        <w:tc>
          <w:tcPr>
            <w:tcW w:type="dxa" w:w="25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Criterios de inclusión</w:t>
            </w:r>
          </w:p>
        </w:tc>
        <w:tc>
          <w:tcPr>
            <w:tcW w:type="dxa" w:w="68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Transacciones generadas exclusivamente por el script oficial k6_stress_test.js con los perfiles predefinidos, dirigidas a los endpoints del experimento.</w:t>
            </w:r>
          </w:p>
        </w:tc>
      </w:tr>
      <w:tr>
        <w:tc>
          <w:tcPr>
            <w:tcW w:type="dxa" w:w="25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Criterios de exclusión (predefinidos)</w:t>
            </w:r>
          </w:p>
        </w:tc>
        <w:tc>
          <w:tcPr>
            <w:tcW w:type="dxa" w:w="68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(a) Tráfico orgánico incidental; (b) pings de keep-alive: el cron externo se pausa durante las corridas; (c) corridas con interferencia externa registrada en bitácora (despliegue de código, suspensión de instancia por cuota, fallo de red del inyector): la corrida completa se descarta y se repite, dejando constancia. Ninguna exclusión se decide después de observar los valores de las métricas.</w:t>
            </w:r>
          </w:p>
        </w:tc>
      </w:tr>
      <w:tr>
        <w:tc>
          <w:tcPr>
            <w:tcW w:type="dxa" w:w="25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Justificación del diseño</w:t>
            </w:r>
          </w:p>
        </w:tc>
        <w:tc>
          <w:tcPr>
            <w:tcW w:type="dxa" w:w="68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En un benchmark los niveles de carga se seleccionan deliberadamente, no se muestrean: el diseño sustituye la noción de muestreo probabilístico por réplicas independientes y control explícito de condiciones.</w:t>
            </w:r>
          </w:p>
        </w:tc>
      </w:tr>
    </w:tbl>
    <w:p>
      <w:pPr>
        <w:spacing w:after="120" w:before="0" w:line="276" w:lineRule="auto"/>
      </w:pPr>
      <w:r>
        <w:rPr>
          <w:rFonts w:ascii="Times New Roman" w:cs="Times New Roman" w:eastAsia="Times New Roman" w:hAnsi="Times New Roman"/>
          <w:b w:val="false"/>
          <w:bCs w:val="false"/>
          <w:i w:val="false"/>
          <w:iCs w:val="false"/>
          <w:sz w:val="24"/>
          <w:szCs w:val="24"/>
        </w:rPr>
        <w:t xml:space="preserve"/>
      </w:r>
    </w:p>
    <w:p>
      <w:pPr>
        <w:pStyle w:val="Heading2"/>
        <w:spacing w:after="120" w:before="220"/>
      </w:pPr>
      <w:r>
        <w:rPr>
          <w:rFonts w:ascii="Times New Roman" w:cs="Times New Roman" w:eastAsia="Times New Roman" w:hAnsi="Times New Roman"/>
          <w:b/>
          <w:bCs/>
          <w:color w:val="000000"/>
          <w:sz w:val="26"/>
          <w:szCs w:val="26"/>
        </w:rPr>
        <w:t xml:space="preserve">6.3 Condiciones experimentales fijadas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8E2D6" w:val="clear"/>
            <w:tcMar>
              <w:top w:type="dxa" w:w="60"/>
              <w:left w:type="dxa" w:w="80"/>
              <w:bottom w:type="dxa" w:w="60"/>
              <w:right w:type="dxa" w:w="80"/>
            </w:tcMar>
          </w:tcPr>
          <w:p>
            <w:pPr>
              <w:spacing w:after="40" w:line="240" w:lineRule="auto"/>
            </w:pPr>
            <w:r>
              <w:rPr>
                <w:rFonts w:ascii="Times New Roman" w:cs="Times New Roman" w:eastAsia="Times New Roman" w:hAnsi="Times New Roman"/>
                <w:b/>
                <w:bCs/>
                <w:sz w:val="20"/>
                <w:szCs w:val="20"/>
              </w:rPr>
              <w:t xml:space="preserve">Condición</w:t>
            </w:r>
          </w:p>
        </w:tc>
        <w:tc>
          <w:tcPr>
            <w:tcW w:type="dxa" w:w="6960"/>
            <w:shd w:fill="E8E2D6" w:val="clear"/>
            <w:tcMar>
              <w:top w:type="dxa" w:w="60"/>
              <w:left w:type="dxa" w:w="80"/>
              <w:bottom w:type="dxa" w:w="60"/>
              <w:right w:type="dxa" w:w="80"/>
            </w:tcMar>
          </w:tcPr>
          <w:p>
            <w:pPr>
              <w:spacing w:after="40" w:line="240" w:lineRule="auto"/>
            </w:pPr>
            <w:r>
              <w:rPr>
                <w:rFonts w:ascii="Times New Roman" w:cs="Times New Roman" w:eastAsia="Times New Roman" w:hAnsi="Times New Roman"/>
                <w:b/>
                <w:bCs/>
                <w:sz w:val="20"/>
                <w:szCs w:val="20"/>
              </w:rPr>
              <w:t xml:space="preserve">Valor fijado</w:t>
            </w:r>
          </w:p>
        </w:tc>
      </w:tr>
      <w:tr>
        <w:tc>
          <w:tcPr>
            <w:tcW w:type="dxa" w:w="24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Código bajo prueba</w:t>
            </w:r>
          </w:p>
        </w:tc>
        <w:tc>
          <w:tcPr>
            <w:tcW w:type="dxa" w:w="69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Un único commit de git por sesión experimental, registrado en la bitácora y en metadata.json de cada corrida.</w:t>
            </w:r>
          </w:p>
        </w:tc>
      </w:tr>
      <w:tr>
        <w:tc>
          <w:tcPr>
            <w:tcW w:type="dxa" w:w="24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Versiones de software</w:t>
            </w:r>
          </w:p>
        </w:tc>
        <w:tc>
          <w:tcPr>
            <w:tcW w:type="dxa" w:w="69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Go 1.24; chi v5; pgx v5; coder/websocket; k6 [registrar versión exacta en bitácora]; PostgreSQL 15 (Supabase).</w:t>
            </w:r>
          </w:p>
        </w:tc>
      </w:tr>
      <w:tr>
        <w:tc>
          <w:tcPr>
            <w:tcW w:type="dxa" w:w="24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Tipo de instancia</w:t>
            </w:r>
          </w:p>
        </w:tc>
        <w:tc>
          <w:tcPr>
            <w:tcW w:type="dxa" w:w="69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Render Free: 512 MB de RAM y 0.1 vCPU en los cuatro servicios (sin instancias de pago).</w:t>
            </w:r>
          </w:p>
        </w:tc>
      </w:tr>
      <w:tr>
        <w:tc>
          <w:tcPr>
            <w:tcW w:type="dxa" w:w="24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Región de despliegue</w:t>
            </w:r>
          </w:p>
        </w:tc>
        <w:tc>
          <w:tcPr>
            <w:tcW w:type="dxa" w:w="69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Misma región para los cuatro servicios [confirmar al desplegar: Oregon, US West].</w:t>
            </w:r>
          </w:p>
        </w:tc>
      </w:tr>
      <w:tr>
        <w:tc>
          <w:tcPr>
            <w:tcW w:type="dxa" w:w="24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Payload y compresión</w:t>
            </w:r>
          </w:p>
        </w:tc>
        <w:tc>
          <w:tcPr>
            <w:tcW w:type="dxa" w:w="69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Mismos endpoints y datos sembrados en todos los niveles; compresión gzip habilitada en las respuestas (el inyector envía Accept-Encoding: gzip, como un navegador real).</w:t>
            </w:r>
          </w:p>
        </w:tc>
      </w:tr>
      <w:tr>
        <w:tc>
          <w:tcPr>
            <w:tcW w:type="dxa" w:w="24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Tráfico HTTP de fondo</w:t>
            </w:r>
          </w:p>
        </w:tc>
        <w:tc>
          <w:tcPr>
            <w:tcW w:type="dxa" w:w="69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Constante: 20 req/s durante los 9 minutos, en todos los niveles.</w:t>
            </w:r>
          </w:p>
        </w:tc>
      </w:tr>
      <w:tr>
        <w:tc>
          <w:tcPr>
            <w:tcW w:type="dxa" w:w="24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Datos sembrados</w:t>
            </w:r>
          </w:p>
        </w:tc>
        <w:tc>
          <w:tcPr>
            <w:tcW w:type="dxa" w:w="69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1 000 grupos sintéticos idénticos, creados con una cuenta de pruebas dedicada (las conexiones WS se reparten a ≤ 8 por grupo).</w:t>
            </w:r>
          </w:p>
        </w:tc>
      </w:tr>
      <w:tr>
        <w:tc>
          <w:tcPr>
            <w:tcW w:type="dxa" w:w="24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Límite de tasa del gateway</w:t>
            </w:r>
          </w:p>
        </w:tc>
        <w:tc>
          <w:tcPr>
            <w:tcW w:type="dxa" w:w="69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Elevado por configuración documentada durante las corridas (2 000 req/s, ráfaga 4 000); valores de producción (5 req/s, ráfaga 20) restaurados al terminar (§7.1).</w:t>
            </w:r>
          </w:p>
        </w:tc>
      </w:tr>
      <w:tr>
        <w:tc>
          <w:tcPr>
            <w:tcW w:type="dxa" w:w="24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Pool de base de datos</w:t>
            </w:r>
          </w:p>
        </w:tc>
        <w:tc>
          <w:tcPr>
            <w:tcW w:type="dxa" w:w="69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Máximo 10 conexiones por servicio (DB_MAX_CONNS=10).</w:t>
            </w:r>
          </w:p>
        </w:tc>
      </w:tr>
      <w:tr>
        <w:tc>
          <w:tcPr>
            <w:tcW w:type="dxa" w:w="24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Keep-alive externo</w:t>
            </w:r>
          </w:p>
        </w:tc>
        <w:tc>
          <w:tcPr>
            <w:tcW w:type="dxa" w:w="69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Pausado durante todas las corridas (criterio de exclusión predefinido).</w:t>
            </w:r>
          </w:p>
        </w:tc>
      </w:tr>
      <w:tr>
        <w:tc>
          <w:tcPr>
            <w:tcW w:type="dxa" w:w="24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Calentamiento (warm-up)</w:t>
            </w:r>
          </w:p>
        </w:tc>
        <w:tc>
          <w:tcPr>
            <w:tcW w:type="dxa" w:w="69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Despertar servicios (/ops/wake) y verificación de salud (/health) antes de cada corrida; el arranque en frío (~11 s) no contamina las rampas.</w:t>
            </w:r>
          </w:p>
        </w:tc>
      </w:tr>
      <w:tr>
        <w:tc>
          <w:tcPr>
            <w:tcW w:type="dxa" w:w="24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Orden y reposo</w:t>
            </w:r>
          </w:p>
        </w:tc>
        <w:tc>
          <w:tcPr>
            <w:tcW w:type="dxa" w:w="69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Niveles en orden ascendente; 10 minutos de reposo entre corridas; las 3 réplicas de un nivel dentro de la misma ventana horaria.</w:t>
            </w:r>
          </w:p>
        </w:tc>
      </w:tr>
      <w:tr>
        <w:tc>
          <w:tcPr>
            <w:tcW w:type="dxa" w:w="24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Inyector</w:t>
            </w:r>
          </w:p>
        </w:tc>
        <w:tc>
          <w:tcPr>
            <w:tcW w:type="dxa" w:w="69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Misma máquina y misma red estable en todas las corridas; k6 ejecutado en contenedor Docker.</w:t>
            </w:r>
          </w:p>
        </w:tc>
      </w:tr>
    </w:tbl>
    <w:p>
      <w:pPr>
        <w:spacing w:after="120" w:before="0" w:line="276" w:lineRule="auto"/>
      </w:pPr>
      <w:r>
        <w:rPr>
          <w:rFonts w:ascii="Times New Roman" w:cs="Times New Roman" w:eastAsia="Times New Roman" w:hAnsi="Times New Roman"/>
          <w:b w:val="false"/>
          <w:bCs w:val="false"/>
          <w:i w:val="false"/>
          <w:iCs w:val="false"/>
          <w:sz w:val="24"/>
          <w:szCs w:val="24"/>
        </w:rPr>
        <w:t xml:space="preserve"/>
      </w:r>
    </w:p>
    <w:p>
      <w:pPr>
        <w:pStyle w:val="Heading2"/>
        <w:spacing w:after="120" w:before="220"/>
      </w:pPr>
      <w:r>
        <w:rPr>
          <w:rFonts w:ascii="Times New Roman" w:cs="Times New Roman" w:eastAsia="Times New Roman" w:hAnsi="Times New Roman"/>
          <w:b/>
          <w:bCs/>
          <w:color w:val="000000"/>
          <w:sz w:val="26"/>
          <w:szCs w:val="26"/>
        </w:rPr>
        <w:t xml:space="preserve">6.4 Umbrales de calidad de servicio, punto de quiebre y criterios de aborto</w:t>
      </w:r>
    </w:p>
    <w:p>
      <w:pPr>
        <w:spacing w:after="120" w:before="0" w:line="276" w:lineRule="auto"/>
      </w:pPr>
      <w:r>
        <w:rPr>
          <w:rFonts w:ascii="Times New Roman" w:cs="Times New Roman" w:eastAsia="Times New Roman" w:hAnsi="Times New Roman"/>
          <w:b w:val="false"/>
          <w:bCs w:val="false"/>
          <w:i w:val="false"/>
          <w:iCs w:val="false"/>
          <w:sz w:val="24"/>
          <w:szCs w:val="24"/>
        </w:rPr>
        <w:t xml:space="preserve">Los siguientes umbrales están codificados en el script del inyector (bloque thresholds) desde antes de las corridas, lo que impide ajustarlos a posteriori: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8E2D6" w:val="clear"/>
            <w:tcMar>
              <w:top w:type="dxa" w:w="60"/>
              <w:left w:type="dxa" w:w="80"/>
              <w:bottom w:type="dxa" w:w="60"/>
              <w:right w:type="dxa" w:w="80"/>
            </w:tcMar>
          </w:tcPr>
          <w:p>
            <w:pPr>
              <w:spacing w:after="40" w:line="240" w:lineRule="auto"/>
            </w:pPr>
            <w:r>
              <w:rPr>
                <w:rFonts w:ascii="Times New Roman" w:cs="Times New Roman" w:eastAsia="Times New Roman" w:hAnsi="Times New Roman"/>
                <w:b/>
                <w:bCs/>
                <w:sz w:val="20"/>
                <w:szCs w:val="20"/>
              </w:rPr>
              <w:t xml:space="preserve">Indicador</w:t>
            </w:r>
          </w:p>
        </w:tc>
        <w:tc>
          <w:tcPr>
            <w:tcW w:type="dxa" w:w="4680"/>
            <w:shd w:fill="E8E2D6" w:val="clear"/>
            <w:tcMar>
              <w:top w:type="dxa" w:w="60"/>
              <w:left w:type="dxa" w:w="80"/>
              <w:bottom w:type="dxa" w:w="60"/>
              <w:right w:type="dxa" w:w="80"/>
            </w:tcMar>
          </w:tcPr>
          <w:p>
            <w:pPr>
              <w:spacing w:after="40" w:line="240" w:lineRule="auto"/>
            </w:pPr>
            <w:r>
              <w:rPr>
                <w:rFonts w:ascii="Times New Roman" w:cs="Times New Roman" w:eastAsia="Times New Roman" w:hAnsi="Times New Roman"/>
                <w:b/>
                <w:bCs/>
                <w:sz w:val="20"/>
                <w:szCs w:val="20"/>
              </w:rPr>
              <w:t xml:space="preserve">Umbral de servicio</w:t>
            </w:r>
          </w:p>
        </w:tc>
      </w:tr>
      <w:tr>
        <w:tc>
          <w:tcPr>
            <w:tcW w:type="dxa" w:w="468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Latencia HTTP P95</w:t>
            </w:r>
          </w:p>
        </w:tc>
        <w:tc>
          <w:tcPr>
            <w:tcW w:type="dxa" w:w="468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&lt; 800 ms</w:t>
            </w:r>
          </w:p>
        </w:tc>
      </w:tr>
      <w:tr>
        <w:tc>
          <w:tcPr>
            <w:tcW w:type="dxa" w:w="468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Latencia HTTP P99</w:t>
            </w:r>
          </w:p>
        </w:tc>
        <w:tc>
          <w:tcPr>
            <w:tcW w:type="dxa" w:w="468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&lt; 2 000 ms</w:t>
            </w:r>
          </w:p>
        </w:tc>
      </w:tr>
      <w:tr>
        <w:tc>
          <w:tcPr>
            <w:tcW w:type="dxa" w:w="468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Peticiones HTTP fallidas</w:t>
            </w:r>
          </w:p>
        </w:tc>
        <w:tc>
          <w:tcPr>
            <w:tcW w:type="dxa" w:w="468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&lt; 5 %</w:t>
            </w:r>
          </w:p>
        </w:tc>
      </w:tr>
      <w:tr>
        <w:tc>
          <w:tcPr>
            <w:tcW w:type="dxa" w:w="468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Establecimiento WebSocket P95</w:t>
            </w:r>
          </w:p>
        </w:tc>
        <w:tc>
          <w:tcPr>
            <w:tcW w:type="dxa" w:w="468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&lt; 2 000 ms</w:t>
            </w:r>
          </w:p>
        </w:tc>
      </w:tr>
      <w:tr>
        <w:tc>
          <w:tcPr>
            <w:tcW w:type="dxa" w:w="468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Conexiones WebSocket caídas</w:t>
            </w:r>
          </w:p>
        </w:tc>
        <w:tc>
          <w:tcPr>
            <w:tcW w:type="dxa" w:w="468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&lt; 10 %</w:t>
            </w:r>
          </w:p>
        </w:tc>
      </w:tr>
      <w:tr>
        <w:tc>
          <w:tcPr>
            <w:tcW w:type="dxa" w:w="468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Verificaciones (checks) correctas</w:t>
            </w:r>
          </w:p>
        </w:tc>
        <w:tc>
          <w:tcPr>
            <w:tcW w:type="dxa" w:w="468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&gt; 95 %</w:t>
            </w:r>
          </w:p>
        </w:tc>
      </w:tr>
    </w:tbl>
    <w:p>
      <w:pPr>
        <w:spacing w:after="120" w:before="0" w:line="276" w:lineRule="auto"/>
      </w:pPr>
      <w:r>
        <w:rPr>
          <w:rFonts w:ascii="Times New Roman" w:cs="Times New Roman" w:eastAsia="Times New Roman" w:hAnsi="Times New Roman"/>
          <w:b w:val="false"/>
          <w:bCs w:val="false"/>
          <w:i w:val="false"/>
          <w:iCs w:val="false"/>
          <w:sz w:val="24"/>
          <w:szCs w:val="24"/>
        </w:rPr>
        <w:t xml:space="preserve"/>
      </w:r>
    </w:p>
    <w:p>
      <w:pPr>
        <w:pStyle w:val="ListParagraph"/>
        <w:numPr>
          <w:ilvl w:val="0"/>
          <w:numId w:val="2"/>
        </w:numPr>
        <w:spacing w:after="80" w:line="276" w:lineRule="auto"/>
      </w:pPr>
      <w:r>
        <w:rPr>
          <w:rFonts w:ascii="Times New Roman" w:cs="Times New Roman" w:eastAsia="Times New Roman" w:hAnsi="Times New Roman"/>
          <w:b/>
          <w:bCs/>
          <w:i w:val="false"/>
          <w:iCs w:val="false"/>
          <w:sz w:val="24"/>
          <w:szCs w:val="24"/>
        </w:rPr>
        <w:t xml:space="preserve">Punto de quiebre: </w:t>
      </w:r>
      <w:r>
        <w:rPr>
          <w:rFonts w:ascii="Times New Roman" w:cs="Times New Roman" w:eastAsia="Times New Roman" w:hAnsi="Times New Roman"/>
          <w:b w:val="false"/>
          <w:bCs w:val="false"/>
          <w:i w:val="false"/>
          <w:iCs w:val="false"/>
          <w:sz w:val="24"/>
          <w:szCs w:val="24"/>
        </w:rPr>
        <w:t xml:space="preserve">el menor nivel de carga cuya mediana de tres réplicas incumple de forma sostenida al menos un umbral.</w:t>
      </w:r>
    </w:p>
    <w:p>
      <w:pPr>
        <w:pStyle w:val="ListParagraph"/>
        <w:numPr>
          <w:ilvl w:val="0"/>
          <w:numId w:val="2"/>
        </w:numPr>
        <w:spacing w:after="80" w:line="276" w:lineRule="auto"/>
      </w:pPr>
      <w:r>
        <w:rPr>
          <w:rFonts w:ascii="Times New Roman" w:cs="Times New Roman" w:eastAsia="Times New Roman" w:hAnsi="Times New Roman"/>
          <w:b/>
          <w:bCs/>
          <w:i w:val="false"/>
          <w:iCs w:val="false"/>
          <w:sz w:val="24"/>
          <w:szCs w:val="24"/>
        </w:rPr>
        <w:t xml:space="preserve">Colapso: </w:t>
      </w:r>
      <w:r>
        <w:rPr>
          <w:rFonts w:ascii="Times New Roman" w:cs="Times New Roman" w:eastAsia="Times New Roman" w:hAnsi="Times New Roman"/>
          <w:b w:val="false"/>
          <w:bCs w:val="false"/>
          <w:i w:val="false"/>
          <w:iCs w:val="false"/>
          <w:sz w:val="24"/>
          <w:szCs w:val="24"/>
        </w:rPr>
        <w:t xml:space="preserve">evento de OOM kill o reinicio de instancia, observable como hueco en la serie de telemetría (scrapes fallidos consecutivos) y corroborado con los eventos del panel del proveedor.</w:t>
      </w:r>
    </w:p>
    <w:p>
      <w:pPr>
        <w:pStyle w:val="ListParagraph"/>
        <w:numPr>
          <w:ilvl w:val="0"/>
          <w:numId w:val="2"/>
        </w:numPr>
        <w:spacing w:after="80" w:line="276" w:lineRule="auto"/>
      </w:pPr>
      <w:r>
        <w:rPr>
          <w:rFonts w:ascii="Times New Roman" w:cs="Times New Roman" w:eastAsia="Times New Roman" w:hAnsi="Times New Roman"/>
          <w:b/>
          <w:bCs/>
          <w:i w:val="false"/>
          <w:iCs w:val="false"/>
          <w:sz w:val="24"/>
          <w:szCs w:val="24"/>
        </w:rPr>
        <w:t xml:space="preserve">Criterios de aborto de corrida: </w:t>
      </w:r>
      <w:r>
        <w:rPr>
          <w:rFonts w:ascii="Times New Roman" w:cs="Times New Roman" w:eastAsia="Times New Roman" w:hAnsi="Times New Roman"/>
          <w:b w:val="false"/>
          <w:bCs w:val="false"/>
          <w:i w:val="false"/>
          <w:iCs w:val="false"/>
          <w:sz w:val="24"/>
          <w:szCs w:val="24"/>
        </w:rPr>
        <w:t xml:space="preserve">fallo del pre-vuelo de salud, pérdida de red del inyector o suspensión de instancia a mitad de corrida. La corrida se aborta, se registra en bitácora y se repite tras el reposo.</w:t>
      </w:r>
    </w:p>
    <w:p>
      <w:pPr>
        <w:pStyle w:val="Heading2"/>
        <w:spacing w:after="120" w:before="220"/>
      </w:pPr>
      <w:r>
        <w:rPr>
          <w:rFonts w:ascii="Times New Roman" w:cs="Times New Roman" w:eastAsia="Times New Roman" w:hAnsi="Times New Roman"/>
          <w:b/>
          <w:bCs/>
          <w:color w:val="000000"/>
          <w:sz w:val="26"/>
          <w:szCs w:val="26"/>
        </w:rPr>
        <w:t xml:space="preserve">6.5 Técnicas e instrumentos de recolección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560"/>
        <w:gridCol w:w="3700"/>
      </w:tblGrid>
      <w:tr>
        <w:trPr>
          <w:tblHeader/>
        </w:trPr>
        <w:tc>
          <w:tcPr>
            <w:tcW w:type="dxa" w:w="2100"/>
            <w:shd w:fill="E8E2D6" w:val="clear"/>
            <w:tcMar>
              <w:top w:type="dxa" w:w="60"/>
              <w:left w:type="dxa" w:w="80"/>
              <w:bottom w:type="dxa" w:w="60"/>
              <w:right w:type="dxa" w:w="80"/>
            </w:tcMar>
          </w:tcPr>
          <w:p>
            <w:pPr>
              <w:spacing w:after="40" w:line="240" w:lineRule="auto"/>
            </w:pPr>
            <w:r>
              <w:rPr>
                <w:rFonts w:ascii="Times New Roman" w:cs="Times New Roman" w:eastAsia="Times New Roman" w:hAnsi="Times New Roman"/>
                <w:b/>
                <w:bCs/>
                <w:sz w:val="20"/>
                <w:szCs w:val="20"/>
              </w:rPr>
              <w:t xml:space="preserve">Técnica</w:t>
            </w:r>
          </w:p>
        </w:tc>
        <w:tc>
          <w:tcPr>
            <w:tcW w:type="dxa" w:w="3560"/>
            <w:shd w:fill="E8E2D6" w:val="clear"/>
            <w:tcMar>
              <w:top w:type="dxa" w:w="60"/>
              <w:left w:type="dxa" w:w="80"/>
              <w:bottom w:type="dxa" w:w="60"/>
              <w:right w:type="dxa" w:w="80"/>
            </w:tcMar>
          </w:tcPr>
          <w:p>
            <w:pPr>
              <w:spacing w:after="40" w:line="240" w:lineRule="auto"/>
            </w:pPr>
            <w:r>
              <w:rPr>
                <w:rFonts w:ascii="Times New Roman" w:cs="Times New Roman" w:eastAsia="Times New Roman" w:hAnsi="Times New Roman"/>
                <w:b/>
                <w:bCs/>
                <w:sz w:val="20"/>
                <w:szCs w:val="20"/>
              </w:rPr>
              <w:t xml:space="preserve">Instrumento asociado</w:t>
            </w:r>
          </w:p>
        </w:tc>
        <w:tc>
          <w:tcPr>
            <w:tcW w:type="dxa" w:w="3700"/>
            <w:shd w:fill="E8E2D6" w:val="clear"/>
            <w:tcMar>
              <w:top w:type="dxa" w:w="60"/>
              <w:left w:type="dxa" w:w="80"/>
              <w:bottom w:type="dxa" w:w="60"/>
              <w:right w:type="dxa" w:w="80"/>
            </w:tcMar>
          </w:tcPr>
          <w:p>
            <w:pPr>
              <w:spacing w:after="40" w:line="240" w:lineRule="auto"/>
            </w:pPr>
            <w:r>
              <w:rPr>
                <w:rFonts w:ascii="Times New Roman" w:cs="Times New Roman" w:eastAsia="Times New Roman" w:hAnsi="Times New Roman"/>
                <w:b/>
                <w:bCs/>
                <w:sz w:val="20"/>
                <w:szCs w:val="20"/>
              </w:rPr>
              <w:t xml:space="preserve">Justificación de pertinencia</w:t>
            </w:r>
          </w:p>
        </w:tc>
      </w:tr>
      <w:tr>
        <w:tc>
          <w:tcPr>
            <w:tcW w:type="dxa" w:w="21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Experimentación controlada (pruebas de estrés)</w:t>
            </w:r>
          </w:p>
        </w:tc>
        <w:tc>
          <w:tcPr>
            <w:tcW w:type="dxa" w:w="35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Script k6_stress_test.js: dos escenarios simultáneos —tráfico HTTP constante (20 req/s) y rampa de WebSockets hasta el pico del nivel, repartida entre 1 000 grupos sembrados—.</w:t>
            </w:r>
          </w:p>
        </w:tc>
        <w:tc>
          <w:tcPr>
            <w:tcW w:type="dxa" w:w="37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Somete al sistema a carga determinista y escalonada para mapear la degradación de latencia y localizar el punto de quiebre bajo los umbrales predefinidos.</w:t>
            </w:r>
          </w:p>
        </w:tc>
      </w:tr>
      <w:tr>
        <w:tc>
          <w:tcPr>
            <w:tcW w:type="dxa" w:w="21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Análisis de registros y telemetría interna</w:t>
            </w:r>
          </w:p>
        </w:tc>
        <w:tc>
          <w:tcPr>
            <w:tcW w:type="dxa" w:w="35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Módulo obs.go por servicio (métricas Prometheus en /metrics y logs JSON con slog); scraper scrape_metrics.sh que muestrea los cuatro servicios cada 5 s y serializa a CSV.</w:t>
            </w:r>
          </w:p>
        </w:tc>
        <w:tc>
          <w:tcPr>
            <w:tcW w:type="dxa" w:w="37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Permite calcular percentiles por endpoint y RAM/goroutines sin agentes externos que consuman los 512 MB. Un scrape fallido también se registra: si un servicio muere por OOM, el hueco en la serie es el dato.</w:t>
            </w:r>
          </w:p>
        </w:tc>
      </w:tr>
      <w:tr>
        <w:tc>
          <w:tcPr>
            <w:tcW w:type="dxa" w:w="21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Bitácora y trazabilidad</w:t>
            </w:r>
          </w:p>
        </w:tc>
        <w:tc>
          <w:tcPr>
            <w:tcW w:type="dxa" w:w="35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matriz.log (sesión) y metadata.json (por corrida): commit, parámetros, marcas de tiempo, anomalías e incidencias.</w:t>
            </w:r>
          </w:p>
        </w:tc>
        <w:tc>
          <w:tcPr>
            <w:tcW w:type="dxa" w:w="37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Reproducibilidad y auditoría: cada resultado es rastreable al código y condiciones exactas que lo produjeron.</w:t>
            </w:r>
          </w:p>
        </w:tc>
      </w:tr>
      <w:tr>
        <w:tc>
          <w:tcPr>
            <w:tcW w:type="dxa" w:w="21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Triangulación con paneles del proveedor</w:t>
            </w:r>
          </w:p>
        </w:tc>
        <w:tc>
          <w:tcPr>
            <w:tcW w:type="dxa" w:w="35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Dashboard de Render (RAM/CPU, eventos de reinicio) y panel de uso de Supabase.</w:t>
            </w:r>
          </w:p>
        </w:tc>
        <w:tc>
          <w:tcPr>
            <w:tcW w:type="dxa" w:w="37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Corrobora eventos de colapso y consumo de cuotas. Su resolución (minutos/horas) no sustituye a la telemetría propia (5 s).</w:t>
            </w:r>
          </w:p>
        </w:tc>
      </w:tr>
    </w:tbl>
    <w:p>
      <w:pPr>
        <w:spacing w:after="120" w:before="0" w:line="276" w:lineRule="auto"/>
      </w:pPr>
      <w:r>
        <w:rPr>
          <w:rFonts w:ascii="Times New Roman" w:cs="Times New Roman" w:eastAsia="Times New Roman" w:hAnsi="Times New Roman"/>
          <w:b w:val="false"/>
          <w:bCs w:val="false"/>
          <w:i w:val="false"/>
          <w:iCs w:val="false"/>
          <w:sz w:val="24"/>
          <w:szCs w:val="24"/>
        </w:rPr>
        <w:t xml:space="preserve"/>
      </w:r>
    </w:p>
    <w:p>
      <w:pPr>
        <w:pStyle w:val="Heading2"/>
        <w:spacing w:after="120" w:before="220"/>
      </w:pPr>
      <w:r>
        <w:rPr>
          <w:rFonts w:ascii="Times New Roman" w:cs="Times New Roman" w:eastAsia="Times New Roman" w:hAnsi="Times New Roman"/>
          <w:b/>
          <w:bCs/>
          <w:color w:val="000000"/>
          <w:sz w:val="26"/>
          <w:szCs w:val="26"/>
        </w:rPr>
        <w:t xml:space="preserve">6.6 Matriz experimental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8E2D6" w:val="clear"/>
            <w:tcMar>
              <w:top w:type="dxa" w:w="60"/>
              <w:left w:type="dxa" w:w="80"/>
              <w:bottom w:type="dxa" w:w="60"/>
              <w:right w:type="dxa" w:w="80"/>
            </w:tcMar>
          </w:tcPr>
          <w:p>
            <w:pPr>
              <w:spacing w:after="40" w:line="240" w:lineRule="auto"/>
            </w:pPr>
            <w:r>
              <w:rPr>
                <w:rFonts w:ascii="Times New Roman" w:cs="Times New Roman" w:eastAsia="Times New Roman" w:hAnsi="Times New Roman"/>
                <w:b/>
                <w:bCs/>
                <w:sz w:val="20"/>
                <w:szCs w:val="20"/>
              </w:rPr>
              <w:t xml:space="preserve">Nivel (VUs pico)</w:t>
            </w:r>
          </w:p>
        </w:tc>
        <w:tc>
          <w:tcPr>
            <w:tcW w:type="dxa" w:w="2340"/>
            <w:shd w:fill="E8E2D6" w:val="clear"/>
            <w:tcMar>
              <w:top w:type="dxa" w:w="60"/>
              <w:left w:type="dxa" w:w="80"/>
              <w:bottom w:type="dxa" w:w="60"/>
              <w:right w:type="dxa" w:w="80"/>
            </w:tcMar>
          </w:tcPr>
          <w:p>
            <w:pPr>
              <w:spacing w:after="40" w:line="240" w:lineRule="auto"/>
            </w:pPr>
            <w:r>
              <w:rPr>
                <w:rFonts w:ascii="Times New Roman" w:cs="Times New Roman" w:eastAsia="Times New Roman" w:hAnsi="Times New Roman"/>
                <w:b/>
                <w:bCs/>
                <w:sz w:val="20"/>
                <w:szCs w:val="20"/>
              </w:rPr>
              <w:t xml:space="preserve">Réplicas</w:t>
            </w:r>
          </w:p>
        </w:tc>
        <w:tc>
          <w:tcPr>
            <w:tcW w:type="dxa" w:w="2340"/>
            <w:shd w:fill="E8E2D6" w:val="clear"/>
            <w:tcMar>
              <w:top w:type="dxa" w:w="60"/>
              <w:left w:type="dxa" w:w="80"/>
              <w:bottom w:type="dxa" w:w="60"/>
              <w:right w:type="dxa" w:w="80"/>
            </w:tcMar>
          </w:tcPr>
          <w:p>
            <w:pPr>
              <w:spacing w:after="40" w:line="240" w:lineRule="auto"/>
            </w:pPr>
            <w:r>
              <w:rPr>
                <w:rFonts w:ascii="Times New Roman" w:cs="Times New Roman" w:eastAsia="Times New Roman" w:hAnsi="Times New Roman"/>
                <w:b/>
                <w:bCs/>
                <w:sz w:val="20"/>
                <w:szCs w:val="20"/>
              </w:rPr>
              <w:t xml:space="preserve">Duración por corrida</w:t>
            </w:r>
          </w:p>
        </w:tc>
        <w:tc>
          <w:tcPr>
            <w:tcW w:type="dxa" w:w="2340"/>
            <w:shd w:fill="E8E2D6" w:val="clear"/>
            <w:tcMar>
              <w:top w:type="dxa" w:w="60"/>
              <w:left w:type="dxa" w:w="80"/>
              <w:bottom w:type="dxa" w:w="60"/>
              <w:right w:type="dxa" w:w="80"/>
            </w:tcMar>
          </w:tcPr>
          <w:p>
            <w:pPr>
              <w:spacing w:after="40" w:line="240" w:lineRule="auto"/>
            </w:pPr>
            <w:r>
              <w:rPr>
                <w:rFonts w:ascii="Times New Roman" w:cs="Times New Roman" w:eastAsia="Times New Roman" w:hAnsi="Times New Roman"/>
                <w:b/>
                <w:bCs/>
                <w:sz w:val="20"/>
                <w:szCs w:val="20"/>
              </w:rPr>
              <w:t xml:space="preserve">Reposo entre corridas</w:t>
            </w:r>
          </w:p>
        </w:tc>
      </w:tr>
      <w:tr>
        <w:tc>
          <w:tcPr>
            <w:tcW w:type="dxa" w:w="234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100</w:t>
            </w:r>
          </w:p>
        </w:tc>
        <w:tc>
          <w:tcPr>
            <w:tcW w:type="dxa" w:w="234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3</w:t>
            </w:r>
          </w:p>
        </w:tc>
        <w:tc>
          <w:tcPr>
            <w:tcW w:type="dxa" w:w="234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~10 min (rampa de 9 min)</w:t>
            </w:r>
          </w:p>
        </w:tc>
        <w:tc>
          <w:tcPr>
            <w:tcW w:type="dxa" w:w="234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10 min</w:t>
            </w:r>
          </w:p>
        </w:tc>
      </w:tr>
      <w:tr>
        <w:tc>
          <w:tcPr>
            <w:tcW w:type="dxa" w:w="234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1 000</w:t>
            </w:r>
          </w:p>
        </w:tc>
        <w:tc>
          <w:tcPr>
            <w:tcW w:type="dxa" w:w="234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3</w:t>
            </w:r>
          </w:p>
        </w:tc>
        <w:tc>
          <w:tcPr>
            <w:tcW w:type="dxa" w:w="234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~10 min</w:t>
            </w:r>
          </w:p>
        </w:tc>
        <w:tc>
          <w:tcPr>
            <w:tcW w:type="dxa" w:w="234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10 min</w:t>
            </w:r>
          </w:p>
        </w:tc>
      </w:tr>
      <w:tr>
        <w:tc>
          <w:tcPr>
            <w:tcW w:type="dxa" w:w="234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2 500</w:t>
            </w:r>
          </w:p>
        </w:tc>
        <w:tc>
          <w:tcPr>
            <w:tcW w:type="dxa" w:w="234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3</w:t>
            </w:r>
          </w:p>
        </w:tc>
        <w:tc>
          <w:tcPr>
            <w:tcW w:type="dxa" w:w="234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~10 min</w:t>
            </w:r>
          </w:p>
        </w:tc>
        <w:tc>
          <w:tcPr>
            <w:tcW w:type="dxa" w:w="234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10 min</w:t>
            </w:r>
          </w:p>
        </w:tc>
      </w:tr>
      <w:tr>
        <w:tc>
          <w:tcPr>
            <w:tcW w:type="dxa" w:w="234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5 000</w:t>
            </w:r>
          </w:p>
        </w:tc>
        <w:tc>
          <w:tcPr>
            <w:tcW w:type="dxa" w:w="234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3</w:t>
            </w:r>
          </w:p>
        </w:tc>
        <w:tc>
          <w:tcPr>
            <w:tcW w:type="dxa" w:w="234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~10 min</w:t>
            </w:r>
          </w:p>
        </w:tc>
        <w:tc>
          <w:tcPr>
            <w:tcW w:type="dxa" w:w="234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10 min</w:t>
            </w:r>
          </w:p>
        </w:tc>
      </w:tr>
    </w:tbl>
    <w:p>
      <w:pPr>
        <w:spacing w:after="120" w:before="0" w:line="276" w:lineRule="auto"/>
      </w:pPr>
      <w:r>
        <w:rPr>
          <w:rFonts w:ascii="Times New Roman" w:cs="Times New Roman" w:eastAsia="Times New Roman" w:hAnsi="Times New Roman"/>
          <w:b w:val="false"/>
          <w:bCs w:val="false"/>
          <w:i w:val="false"/>
          <w:iCs w:val="false"/>
          <w:sz w:val="24"/>
          <w:szCs w:val="24"/>
        </w:rPr>
        <w:t xml:space="preserve"/>
      </w:r>
    </w:p>
    <w:p>
      <w:pPr>
        <w:spacing w:after="120" w:before="0" w:line="276" w:lineRule="auto"/>
      </w:pPr>
      <w:r>
        <w:rPr>
          <w:rFonts w:ascii="Times New Roman" w:cs="Times New Roman" w:eastAsia="Times New Roman" w:hAnsi="Times New Roman"/>
          <w:b w:val="false"/>
          <w:bCs w:val="false"/>
          <w:i w:val="false"/>
          <w:iCs w:val="false"/>
          <w:sz w:val="24"/>
          <w:szCs w:val="24"/>
        </w:rPr>
        <w:t xml:space="preserve">Las tres réplicas de cada nivel se ejecutan dentro de la misma ventana horaria: en capa gratuita los recursos son compartidos con inquilinos desconocidos y una corrida única no es evidencia suficiente.</w:t>
      </w:r>
    </w:p>
    <w:p>
      <w:pPr>
        <w:pStyle w:val="Heading2"/>
        <w:spacing w:after="120" w:before="220"/>
      </w:pPr>
      <w:r>
        <w:rPr>
          <w:rFonts w:ascii="Times New Roman" w:cs="Times New Roman" w:eastAsia="Times New Roman" w:hAnsi="Times New Roman"/>
          <w:b/>
          <w:bCs/>
          <w:color w:val="000000"/>
          <w:sz w:val="26"/>
          <w:szCs w:val="26"/>
        </w:rPr>
        <w:t xml:space="preserve">6.7 Fuentes de datos: primarias y secundarias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700"/>
        <w:gridCol w:w="3860"/>
      </w:tblGrid>
      <w:tr>
        <w:trPr>
          <w:tblHeader/>
        </w:trPr>
        <w:tc>
          <w:tcPr>
            <w:tcW w:type="dxa" w:w="3800"/>
            <w:shd w:fill="E8E2D6" w:val="clear"/>
            <w:tcMar>
              <w:top w:type="dxa" w:w="60"/>
              <w:left w:type="dxa" w:w="80"/>
              <w:bottom w:type="dxa" w:w="60"/>
              <w:right w:type="dxa" w:w="80"/>
            </w:tcMar>
          </w:tcPr>
          <w:p>
            <w:pPr>
              <w:spacing w:after="40" w:line="240" w:lineRule="auto"/>
            </w:pPr>
            <w:r>
              <w:rPr>
                <w:rFonts w:ascii="Times New Roman" w:cs="Times New Roman" w:eastAsia="Times New Roman" w:hAnsi="Times New Roman"/>
                <w:b/>
                <w:bCs/>
                <w:sz w:val="20"/>
                <w:szCs w:val="20"/>
              </w:rPr>
              <w:t xml:space="preserve">Fuente</w:t>
            </w:r>
          </w:p>
        </w:tc>
        <w:tc>
          <w:tcPr>
            <w:tcW w:type="dxa" w:w="1700"/>
            <w:shd w:fill="E8E2D6" w:val="clear"/>
            <w:tcMar>
              <w:top w:type="dxa" w:w="60"/>
              <w:left w:type="dxa" w:w="80"/>
              <w:bottom w:type="dxa" w:w="60"/>
              <w:right w:type="dxa" w:w="80"/>
            </w:tcMar>
          </w:tcPr>
          <w:p>
            <w:pPr>
              <w:spacing w:after="40" w:line="240" w:lineRule="auto"/>
            </w:pPr>
            <w:r>
              <w:rPr>
                <w:rFonts w:ascii="Times New Roman" w:cs="Times New Roman" w:eastAsia="Times New Roman" w:hAnsi="Times New Roman"/>
                <w:b/>
                <w:bCs/>
                <w:sz w:val="20"/>
                <w:szCs w:val="20"/>
              </w:rPr>
              <w:t xml:space="preserve">Clase</w:t>
            </w:r>
          </w:p>
        </w:tc>
        <w:tc>
          <w:tcPr>
            <w:tcW w:type="dxa" w:w="3860"/>
            <w:shd w:fill="E8E2D6" w:val="clear"/>
            <w:tcMar>
              <w:top w:type="dxa" w:w="60"/>
              <w:left w:type="dxa" w:w="80"/>
              <w:bottom w:type="dxa" w:w="60"/>
              <w:right w:type="dxa" w:w="80"/>
            </w:tcMar>
          </w:tcPr>
          <w:p>
            <w:pPr>
              <w:spacing w:after="40" w:line="240" w:lineRule="auto"/>
            </w:pPr>
            <w:r>
              <w:rPr>
                <w:rFonts w:ascii="Times New Roman" w:cs="Times New Roman" w:eastAsia="Times New Roman" w:hAnsi="Times New Roman"/>
                <w:b/>
                <w:bCs/>
                <w:sz w:val="20"/>
                <w:szCs w:val="20"/>
              </w:rPr>
              <w:t xml:space="preserve">Uso en el estudio</w:t>
            </w:r>
          </w:p>
        </w:tc>
      </w:tr>
      <w:tr>
        <w:tc>
          <w:tcPr>
            <w:tcW w:type="dxa" w:w="38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Resultados del inyector k6 (summary.json, salida íntegra)</w:t>
            </w:r>
          </w:p>
        </w:tc>
        <w:tc>
          <w:tcPr>
            <w:tcW w:type="dxa" w:w="17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Primaria</w:t>
            </w:r>
          </w:p>
        </w:tc>
        <w:tc>
          <w:tcPr>
            <w:tcW w:type="dxa" w:w="38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Plano del cliente: latencias, tasas de error y de conexiones caídas, throughput.</w:t>
            </w:r>
          </w:p>
        </w:tc>
      </w:tr>
      <w:tr>
        <w:tc>
          <w:tcPr>
            <w:tcW w:type="dxa" w:w="38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Telemetría propia (Prometheus /metrics + logs slog, vía scraper a CSV)</w:t>
            </w:r>
          </w:p>
        </w:tc>
        <w:tc>
          <w:tcPr>
            <w:tcW w:type="dxa" w:w="17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Primaria</w:t>
            </w:r>
          </w:p>
        </w:tc>
        <w:tc>
          <w:tcPr>
            <w:tcW w:type="dxa" w:w="38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Plano del servidor: RAM, CPU, goroutines, pool de BD, huecos por OOM.</w:t>
            </w:r>
          </w:p>
        </w:tc>
      </w:tr>
      <w:tr>
        <w:tc>
          <w:tcPr>
            <w:tcW w:type="dxa" w:w="38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Paneles del proveedor (Render, Supabase)</w:t>
            </w:r>
          </w:p>
        </w:tc>
        <w:tc>
          <w:tcPr>
            <w:tcW w:type="dxa" w:w="17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Primaria complementaria</w:t>
            </w:r>
          </w:p>
        </w:tc>
        <w:tc>
          <w:tcPr>
            <w:tcW w:type="dxa" w:w="38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Triangulación de eventos de reinicio y consumo de cuotas.</w:t>
            </w:r>
          </w:p>
        </w:tc>
      </w:tr>
      <w:tr>
        <w:tc>
          <w:tcPr>
            <w:tcW w:type="dxa" w:w="38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Bitácora de ejecución (matriz.log, metadata.json)</w:t>
            </w:r>
          </w:p>
        </w:tc>
        <w:tc>
          <w:tcPr>
            <w:tcW w:type="dxa" w:w="17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Primaria</w:t>
            </w:r>
          </w:p>
        </w:tc>
        <w:tc>
          <w:tcPr>
            <w:tcW w:type="dxa" w:w="38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Trazabilidad de corridas, condiciones e incidencias.</w:t>
            </w:r>
          </w:p>
        </w:tc>
      </w:tr>
      <w:tr>
        <w:tc>
          <w:tcPr>
            <w:tcW w:type="dxa" w:w="38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Documentación oficial de Render y Supabase</w:t>
            </w:r>
          </w:p>
        </w:tc>
        <w:tc>
          <w:tcPr>
            <w:tcW w:type="dxa" w:w="17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Secundaria</w:t>
            </w:r>
          </w:p>
        </w:tc>
        <w:tc>
          <w:tcPr>
            <w:tcW w:type="dxa" w:w="38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Fija los límites del free tier que actúan como variables de control.</w:t>
            </w:r>
          </w:p>
        </w:tc>
      </w:tr>
      <w:tr>
        <w:tc>
          <w:tcPr>
            <w:tcW w:type="dxa" w:w="38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Literatura arbitrada y estándares (ISO/IEC 25010, 27001, 29148)</w:t>
            </w:r>
          </w:p>
        </w:tc>
        <w:tc>
          <w:tcPr>
            <w:tcW w:type="dxa" w:w="17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Secundaria</w:t>
            </w:r>
          </w:p>
        </w:tc>
        <w:tc>
          <w:tcPr>
            <w:tcW w:type="dxa" w:w="38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Marco teórico, antecedentes y modelo de calidad.</w:t>
            </w:r>
          </w:p>
        </w:tc>
      </w:tr>
    </w:tbl>
    <w:p>
      <w:pPr>
        <w:spacing w:after="120" w:before="0" w:line="276" w:lineRule="auto"/>
      </w:pPr>
      <w:r>
        <w:rPr>
          <w:rFonts w:ascii="Times New Roman" w:cs="Times New Roman" w:eastAsia="Times New Roman" w:hAnsi="Times New Roman"/>
          <w:b w:val="false"/>
          <w:bCs w:val="false"/>
          <w:i w:val="false"/>
          <w:iCs w:val="false"/>
          <w:sz w:val="24"/>
          <w:szCs w:val="24"/>
        </w:rPr>
        <w:t xml:space="preserve"/>
      </w:r>
    </w:p>
    <w:p>
      <w:pPr>
        <w:spacing w:after="120" w:before="0" w:line="276" w:lineRule="auto"/>
      </w:pPr>
      <w:r>
        <w:rPr>
          <w:rFonts w:ascii="Times New Roman" w:cs="Times New Roman" w:eastAsia="Times New Roman" w:hAnsi="Times New Roman"/>
          <w:b w:val="false"/>
          <w:bCs w:val="false"/>
          <w:i w:val="false"/>
          <w:iCs w:val="false"/>
          <w:sz w:val="24"/>
          <w:szCs w:val="24"/>
        </w:rPr>
        <w:t xml:space="preserve">La evaluación fuente por fuente (criterios de calidad y viabilidad, decisión de uso o descarte y justificación) se entrega en la Matriz de selección de fuentes de datos (Actividad 3.1), documento anexo.</w:t>
      </w:r>
    </w:p>
    <w:p>
      <w:pPr>
        <w:pStyle w:val="Heading2"/>
        <w:spacing w:after="120" w:before="220"/>
      </w:pPr>
      <w:r>
        <w:rPr>
          <w:rFonts w:ascii="Times New Roman" w:cs="Times New Roman" w:eastAsia="Times New Roman" w:hAnsi="Times New Roman"/>
          <w:b/>
          <w:bCs/>
          <w:color w:val="000000"/>
          <w:sz w:val="26"/>
          <w:szCs w:val="26"/>
        </w:rPr>
        <w:t xml:space="preserve">6.8 Plan de análisis estadístico</w:t>
      </w:r>
    </w:p>
    <w:p>
      <w:pPr>
        <w:pStyle w:val="ListParagraph"/>
        <w:numPr>
          <w:ilvl w:val="0"/>
          <w:numId w:val="2"/>
        </w:numPr>
        <w:spacing w:after="80" w:line="276" w:lineRule="auto"/>
      </w:pPr>
      <w:r>
        <w:rPr>
          <w:rFonts w:ascii="Times New Roman" w:cs="Times New Roman" w:eastAsia="Times New Roman" w:hAnsi="Times New Roman"/>
          <w:b/>
          <w:bCs/>
          <w:i w:val="false"/>
          <w:iCs w:val="false"/>
          <w:sz w:val="24"/>
          <w:szCs w:val="24"/>
        </w:rPr>
        <w:t xml:space="preserve">Por corrida: </w:t>
      </w:r>
      <w:r>
        <w:rPr>
          <w:rFonts w:ascii="Times New Roman" w:cs="Times New Roman" w:eastAsia="Times New Roman" w:hAnsi="Times New Roman"/>
          <w:b w:val="false"/>
          <w:bCs w:val="false"/>
          <w:i w:val="false"/>
          <w:iCs w:val="false"/>
          <w:sz w:val="24"/>
          <w:szCs w:val="24"/>
        </w:rPr>
        <w:t xml:space="preserve">P95/P99 de latencia, tasa de error, throughput, RAM pico y sostenida por servicio.</w:t>
      </w:r>
    </w:p>
    <w:p>
      <w:pPr>
        <w:pStyle w:val="ListParagraph"/>
        <w:numPr>
          <w:ilvl w:val="0"/>
          <w:numId w:val="2"/>
        </w:numPr>
        <w:spacing w:after="80" w:line="276" w:lineRule="auto"/>
      </w:pPr>
      <w:r>
        <w:rPr>
          <w:rFonts w:ascii="Times New Roman" w:cs="Times New Roman" w:eastAsia="Times New Roman" w:hAnsi="Times New Roman"/>
          <w:b/>
          <w:bCs/>
          <w:i w:val="false"/>
          <w:iCs w:val="false"/>
          <w:sz w:val="24"/>
          <w:szCs w:val="24"/>
        </w:rPr>
        <w:t xml:space="preserve">Por nivel: </w:t>
      </w:r>
      <w:r>
        <w:rPr>
          <w:rFonts w:ascii="Times New Roman" w:cs="Times New Roman" w:eastAsia="Times New Roman" w:hAnsi="Times New Roman"/>
          <w:b w:val="false"/>
          <w:bCs w:val="false"/>
          <w:i w:val="false"/>
          <w:iCs w:val="false"/>
          <w:sz w:val="24"/>
          <w:szCs w:val="24"/>
        </w:rPr>
        <w:t xml:space="preserve">mediana de las tres réplicas y dispersión (mínimo–máximo). Con n = 3 réplicas el rango es más informativo que la desviación estándar; no se reportan intervalos de confianza con tamaños tan reducidos.</w:t>
      </w:r>
    </w:p>
    <w:p>
      <w:pPr>
        <w:pStyle w:val="ListParagraph"/>
        <w:numPr>
          <w:ilvl w:val="0"/>
          <w:numId w:val="2"/>
        </w:numPr>
        <w:spacing w:after="80" w:line="276" w:lineRule="auto"/>
      </w:pPr>
      <w:r>
        <w:rPr>
          <w:rFonts w:ascii="Times New Roman" w:cs="Times New Roman" w:eastAsia="Times New Roman" w:hAnsi="Times New Roman"/>
          <w:b/>
          <w:bCs/>
          <w:i w:val="false"/>
          <w:iCs w:val="false"/>
          <w:sz w:val="24"/>
          <w:szCs w:val="24"/>
        </w:rPr>
        <w:t xml:space="preserve">Gráficas: </w:t>
      </w:r>
      <w:r>
        <w:rPr>
          <w:rFonts w:ascii="Times New Roman" w:cs="Times New Roman" w:eastAsia="Times New Roman" w:hAnsi="Times New Roman"/>
          <w:b w:val="false"/>
          <w:bCs w:val="false"/>
          <w:i w:val="false"/>
          <w:iCs w:val="false"/>
          <w:sz w:val="24"/>
          <w:szCs w:val="24"/>
        </w:rPr>
        <w:t xml:space="preserve">curvas de carga (VUs vs. métrica) con bandas de variabilidad mínimo–máximo; boxplots por nivel; si ocurre un colapso, serie de tiempo de esa corrida mostrando el hueco de telemetría; tablas comparativas por nivel.</w:t>
      </w:r>
    </w:p>
    <w:p>
      <w:pPr>
        <w:pStyle w:val="ListParagraph"/>
        <w:numPr>
          <w:ilvl w:val="0"/>
          <w:numId w:val="2"/>
        </w:numPr>
        <w:spacing w:after="80" w:line="276" w:lineRule="auto"/>
      </w:pPr>
      <w:r>
        <w:rPr>
          <w:rFonts w:ascii="Times New Roman" w:cs="Times New Roman" w:eastAsia="Times New Roman" w:hAnsi="Times New Roman"/>
          <w:b/>
          <w:bCs/>
          <w:i w:val="false"/>
          <w:iCs w:val="false"/>
          <w:sz w:val="24"/>
          <w:szCs w:val="24"/>
        </w:rPr>
        <w:t xml:space="preserve">Datos crudos: </w:t>
      </w:r>
      <w:r>
        <w:rPr>
          <w:rFonts w:ascii="Times New Roman" w:cs="Times New Roman" w:eastAsia="Times New Roman" w:hAnsi="Times New Roman"/>
          <w:b w:val="false"/>
          <w:bCs w:val="false"/>
          <w:i w:val="false"/>
          <w:iCs w:val="false"/>
          <w:sz w:val="24"/>
          <w:szCs w:val="24"/>
        </w:rPr>
        <w:t xml:space="preserve">inmutables y versionados en el repositorio (load-tests/results/), con diccionario de datos: summary.json (agregados de k6), metrics.csv (serie temporal: marca de tiempo, servicio, métrica, valor), k6_output.txt (salida íntegra del inyector) y metadata.json (parámetros y commit).</w:t>
      </w:r>
    </w:p>
    <w:p>
      <w:pPr>
        <w:pStyle w:val="ListParagraph"/>
        <w:numPr>
          <w:ilvl w:val="0"/>
          <w:numId w:val="2"/>
        </w:numPr>
        <w:spacing w:after="80" w:line="276" w:lineRule="auto"/>
      </w:pPr>
      <w:r>
        <w:rPr>
          <w:rFonts w:ascii="Times New Roman" w:cs="Times New Roman" w:eastAsia="Times New Roman" w:hAnsi="Times New Roman"/>
          <w:b/>
          <w:bCs/>
          <w:i w:val="false"/>
          <w:iCs w:val="false"/>
          <w:sz w:val="24"/>
          <w:szCs w:val="24"/>
        </w:rPr>
        <w:t xml:space="preserve">Interpretación: </w:t>
      </w:r>
      <w:r>
        <w:rPr>
          <w:rFonts w:ascii="Times New Roman" w:cs="Times New Roman" w:eastAsia="Times New Roman" w:hAnsi="Times New Roman"/>
          <w:b w:val="false"/>
          <w:bCs w:val="false"/>
          <w:i w:val="false"/>
          <w:iCs w:val="false"/>
          <w:sz w:val="24"/>
          <w:szCs w:val="24"/>
        </w:rPr>
        <w:t xml:space="preserve">limitada a las condiciones experimentales observadas; cualquier inferencia económica o de escalabilidad se declara explícitamente como extrapolación.</w:t>
      </w:r>
    </w:p>
    <w:p>
      <w:pPr>
        <w:pStyle w:val="Heading2"/>
        <w:spacing w:after="120" w:before="220"/>
      </w:pPr>
      <w:r>
        <w:rPr>
          <w:rFonts w:ascii="Times New Roman" w:cs="Times New Roman" w:eastAsia="Times New Roman" w:hAnsi="Times New Roman"/>
          <w:b/>
          <w:bCs/>
          <w:color w:val="000000"/>
          <w:sz w:val="26"/>
          <w:szCs w:val="26"/>
        </w:rPr>
        <w:t xml:space="preserve">6.9 Procedimiento del estudio y responsables</w:t>
      </w:r>
    </w:p>
    <w:p>
      <w:pPr>
        <w:pStyle w:val="ListParagraph"/>
        <w:numPr>
          <w:ilvl w:val="0"/>
          <w:numId w:val="2"/>
        </w:numPr>
        <w:spacing w:after="80" w:line="276" w:lineRule="auto"/>
      </w:pPr>
      <w:r>
        <w:rPr>
          <w:rFonts w:ascii="Times New Roman" w:cs="Times New Roman" w:eastAsia="Times New Roman" w:hAnsi="Times New Roman"/>
          <w:b/>
          <w:bCs/>
          <w:i w:val="false"/>
          <w:iCs w:val="false"/>
          <w:sz w:val="24"/>
          <w:szCs w:val="24"/>
        </w:rPr>
        <w:t xml:space="preserve">Fase 1 — Preparación del entorno (Solis Flores Irvin Alfonso): </w:t>
      </w:r>
      <w:r>
        <w:rPr>
          <w:rFonts w:ascii="Times New Roman" w:cs="Times New Roman" w:eastAsia="Times New Roman" w:hAnsi="Times New Roman"/>
          <w:b w:val="false"/>
          <w:bCs w:val="false"/>
          <w:i w:val="false"/>
          <w:iCs w:val="false"/>
          <w:sz w:val="24"/>
          <w:szCs w:val="24"/>
        </w:rPr>
        <w:t xml:space="preserve">verificación de despliegues, variables de entorno, ruteo y registro de telemetría en los cuatro servicios; confirmación del middleware de observabilidad.</w:t>
      </w:r>
    </w:p>
    <w:p>
      <w:pPr>
        <w:pStyle w:val="ListParagraph"/>
        <w:numPr>
          <w:ilvl w:val="0"/>
          <w:numId w:val="2"/>
        </w:numPr>
        <w:spacing w:after="80" w:line="276" w:lineRule="auto"/>
      </w:pPr>
      <w:r>
        <w:rPr>
          <w:rFonts w:ascii="Times New Roman" w:cs="Times New Roman" w:eastAsia="Times New Roman" w:hAnsi="Times New Roman"/>
          <w:b/>
          <w:bCs/>
          <w:i w:val="false"/>
          <w:iCs w:val="false"/>
          <w:sz w:val="24"/>
          <w:szCs w:val="24"/>
        </w:rPr>
        <w:t xml:space="preserve">Fase 2 — Ejecución del experimento (García Páez David Israel): </w:t>
      </w:r>
      <w:r>
        <w:rPr>
          <w:rFonts w:ascii="Times New Roman" w:cs="Times New Roman" w:eastAsia="Times New Roman" w:hAnsi="Times New Roman"/>
          <w:b w:val="false"/>
          <w:bCs w:val="false"/>
          <w:i w:val="false"/>
          <w:iCs w:val="false"/>
          <w:sz w:val="24"/>
          <w:szCs w:val="24"/>
        </w:rPr>
        <w:t xml:space="preserve">servicios despiertos previamente, keep-alive pausado, pre-vuelo de salud e inyección de las rampas con k6 desde una red estable; registro en bitácora.</w:t>
      </w:r>
    </w:p>
    <w:p>
      <w:pPr>
        <w:pStyle w:val="ListParagraph"/>
        <w:numPr>
          <w:ilvl w:val="0"/>
          <w:numId w:val="2"/>
        </w:numPr>
        <w:spacing w:after="80" w:line="276" w:lineRule="auto"/>
      </w:pPr>
      <w:r>
        <w:rPr>
          <w:rFonts w:ascii="Times New Roman" w:cs="Times New Roman" w:eastAsia="Times New Roman" w:hAnsi="Times New Roman"/>
          <w:b/>
          <w:bCs/>
          <w:i w:val="false"/>
          <w:iCs w:val="false"/>
          <w:sz w:val="24"/>
          <w:szCs w:val="24"/>
        </w:rPr>
        <w:t xml:space="preserve">Fase 3 — Recolección y extracción de datos (Cervantes Guerrero Keila Yuridia / Mario Yahir): </w:t>
      </w:r>
      <w:r>
        <w:rPr>
          <w:rFonts w:ascii="Times New Roman" w:cs="Times New Roman" w:eastAsia="Times New Roman" w:hAnsi="Times New Roman"/>
          <w:b w:val="false"/>
          <w:bCs w:val="false"/>
          <w:i w:val="false"/>
          <w:iCs w:val="false"/>
          <w:sz w:val="24"/>
          <w:szCs w:val="24"/>
        </w:rPr>
        <w:t xml:space="preserve">consolidación de artefactos por corrida (k6, CSV de telemetría, logs) y derivación de percentiles.</w:t>
      </w:r>
    </w:p>
    <w:p>
      <w:pPr>
        <w:pStyle w:val="ListParagraph"/>
        <w:numPr>
          <w:ilvl w:val="0"/>
          <w:numId w:val="2"/>
        </w:numPr>
        <w:spacing w:after="80" w:line="276" w:lineRule="auto"/>
      </w:pPr>
      <w:r>
        <w:rPr>
          <w:rFonts w:ascii="Times New Roman" w:cs="Times New Roman" w:eastAsia="Times New Roman" w:hAnsi="Times New Roman"/>
          <w:b/>
          <w:bCs/>
          <w:i w:val="false"/>
          <w:iCs w:val="false"/>
          <w:sz w:val="24"/>
          <w:szCs w:val="24"/>
        </w:rPr>
        <w:t xml:space="preserve">Fase 4 — Análisis preliminar (equipo completo, con Casiano Gamzi Juan David): </w:t>
      </w:r>
      <w:r>
        <w:rPr>
          <w:rFonts w:ascii="Times New Roman" w:cs="Times New Roman" w:eastAsia="Times New Roman" w:hAnsi="Times New Roman"/>
          <w:b w:val="false"/>
          <w:bCs w:val="false"/>
          <w:i w:val="false"/>
          <w:iCs w:val="false"/>
          <w:sz w:val="24"/>
          <w:szCs w:val="24"/>
        </w:rPr>
        <w:t xml:space="preserve">cruce de series (VUs vs. RAM por servicio vs. tasa de caídas vs. P95) e interpretación conjunta contra las hipótesis.</w:t>
      </w:r>
    </w:p>
    <w:p>
      <w:pPr>
        <w:pStyle w:val="Heading1"/>
        <w:spacing w:after="140" w:before="280"/>
      </w:pPr>
      <w:r>
        <w:rPr>
          <w:rFonts w:ascii="Times New Roman" w:cs="Times New Roman" w:eastAsia="Times New Roman" w:hAnsi="Times New Roman"/>
          <w:b/>
          <w:bCs/>
          <w:color w:val="000000"/>
          <w:sz w:val="28"/>
          <w:szCs w:val="28"/>
        </w:rPr>
        <w:t xml:space="preserve">7. Resultados preliminares (piloto y primera sesión)</w:t>
      </w:r>
    </w:p>
    <w:p>
      <w:pPr>
        <w:pStyle w:val="Heading2"/>
        <w:spacing w:after="120" w:before="220"/>
      </w:pPr>
      <w:r>
        <w:rPr>
          <w:rFonts w:ascii="Times New Roman" w:cs="Times New Roman" w:eastAsia="Times New Roman" w:hAnsi="Times New Roman"/>
          <w:b/>
          <w:bCs/>
          <w:color w:val="000000"/>
          <w:sz w:val="26"/>
          <w:szCs w:val="26"/>
        </w:rPr>
        <w:t xml:space="preserve">7.1 Validación del instrumento (piloto)</w:t>
      </w:r>
    </w:p>
    <w:p>
      <w:pPr>
        <w:spacing w:after="120" w:before="0" w:line="276" w:lineRule="auto"/>
      </w:pPr>
      <w:r>
        <w:rPr>
          <w:rFonts w:ascii="Times New Roman" w:cs="Times New Roman" w:eastAsia="Times New Roman" w:hAnsi="Times New Roman"/>
          <w:b w:val="false"/>
          <w:bCs w:val="false"/>
          <w:i w:val="false"/>
          <w:iCs w:val="false"/>
          <w:sz w:val="24"/>
          <w:szCs w:val="24"/>
        </w:rPr>
        <w:t xml:space="preserve">El primer piloto (100 VUs contra el despliegue real) produjo resultados anómalos: 88.30 % de peticiones HTTP fallidas y 93.68 % de conexiones WebSocket rechazadas, pese a que la telemetría del servidor mostraba consumo mínimo (≤ 44 MB de RAM). El cruce de ambas fuentes reveló la causa: el gateway aplica un límite de tasa por usuario (5 req/s, ráfaga 20) y todos los usuarios virtuales comparten la misma cuenta sintética de pruebas, por lo que el experimento completo compartía una sola cubeta de tokens: se estaba midiendo el limitador, no la arquitectura. Se corrigió haciendo los límites configurables por variable de entorno (documentados en §6.3) y se repitió el piloto.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2D6" w:val="clear"/>
            <w:tcMar>
              <w:top w:type="dxa" w:w="60"/>
              <w:left w:type="dxa" w:w="80"/>
              <w:bottom w:type="dxa" w:w="60"/>
              <w:right w:type="dxa" w:w="80"/>
            </w:tcMar>
          </w:tcPr>
          <w:p>
            <w:pPr>
              <w:spacing w:after="40" w:line="240" w:lineRule="auto"/>
            </w:pPr>
            <w:r>
              <w:rPr>
                <w:rFonts w:ascii="Times New Roman" w:cs="Times New Roman" w:eastAsia="Times New Roman" w:hAnsi="Times New Roman"/>
                <w:b/>
                <w:bCs/>
                <w:sz w:val="20"/>
                <w:szCs w:val="20"/>
              </w:rPr>
              <w:t xml:space="preserve">Métrica</w:t>
            </w:r>
          </w:p>
        </w:tc>
        <w:tc>
          <w:tcPr>
            <w:tcW w:type="dxa" w:w="3120"/>
            <w:shd w:fill="E8E2D6" w:val="clear"/>
            <w:tcMar>
              <w:top w:type="dxa" w:w="60"/>
              <w:left w:type="dxa" w:w="80"/>
              <w:bottom w:type="dxa" w:w="60"/>
              <w:right w:type="dxa" w:w="80"/>
            </w:tcMar>
          </w:tcPr>
          <w:p>
            <w:pPr>
              <w:spacing w:after="40" w:line="240" w:lineRule="auto"/>
            </w:pPr>
            <w:r>
              <w:rPr>
                <w:rFonts w:ascii="Times New Roman" w:cs="Times New Roman" w:eastAsia="Times New Roman" w:hAnsi="Times New Roman"/>
                <w:b/>
                <w:bCs/>
                <w:sz w:val="20"/>
                <w:szCs w:val="20"/>
              </w:rPr>
              <w:t xml:space="preserve">Piloto 1 (artefacto)</w:t>
            </w:r>
          </w:p>
        </w:tc>
        <w:tc>
          <w:tcPr>
            <w:tcW w:type="dxa" w:w="3120"/>
            <w:shd w:fill="E8E2D6" w:val="clear"/>
            <w:tcMar>
              <w:top w:type="dxa" w:w="60"/>
              <w:left w:type="dxa" w:w="80"/>
              <w:bottom w:type="dxa" w:w="60"/>
              <w:right w:type="dxa" w:w="80"/>
            </w:tcMar>
          </w:tcPr>
          <w:p>
            <w:pPr>
              <w:spacing w:after="40" w:line="240" w:lineRule="auto"/>
            </w:pPr>
            <w:r>
              <w:rPr>
                <w:rFonts w:ascii="Times New Roman" w:cs="Times New Roman" w:eastAsia="Times New Roman" w:hAnsi="Times New Roman"/>
                <w:b/>
                <w:bCs/>
                <w:sz w:val="20"/>
                <w:szCs w:val="20"/>
              </w:rPr>
              <w:t xml:space="preserve">Piloto 2 (válido)</w:t>
            </w:r>
          </w:p>
        </w:tc>
      </w:tr>
      <w:tr>
        <w:tc>
          <w:tcPr>
            <w:tcW w:type="dxa" w:w="312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Peticiones HTTP fallidas</w:t>
            </w:r>
          </w:p>
        </w:tc>
        <w:tc>
          <w:tcPr>
            <w:tcW w:type="dxa" w:w="312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88.30 %</w:t>
            </w:r>
          </w:p>
        </w:tc>
        <w:tc>
          <w:tcPr>
            <w:tcW w:type="dxa" w:w="312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0.00 % (0 / 21 596)</w:t>
            </w:r>
          </w:p>
        </w:tc>
      </w:tr>
      <w:tr>
        <w:tc>
          <w:tcPr>
            <w:tcW w:type="dxa" w:w="312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Conexiones WS caídas</w:t>
            </w:r>
          </w:p>
        </w:tc>
        <w:tc>
          <w:tcPr>
            <w:tcW w:type="dxa" w:w="312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93.68 %</w:t>
            </w:r>
          </w:p>
        </w:tc>
        <w:tc>
          <w:tcPr>
            <w:tcW w:type="dxa" w:w="312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0.00 % (0 / 408)</w:t>
            </w:r>
          </w:p>
        </w:tc>
      </w:tr>
      <w:tr>
        <w:tc>
          <w:tcPr>
            <w:tcW w:type="dxa" w:w="312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Duración media de sesión WS</w:t>
            </w:r>
          </w:p>
        </w:tc>
        <w:tc>
          <w:tcPr>
            <w:tcW w:type="dxa" w:w="312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4.96 s</w:t>
            </w:r>
          </w:p>
        </w:tc>
        <w:tc>
          <w:tcPr>
            <w:tcW w:type="dxa" w:w="312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88 s</w:t>
            </w:r>
          </w:p>
        </w:tc>
      </w:tr>
      <w:tr>
        <w:tc>
          <w:tcPr>
            <w:tcW w:type="dxa" w:w="312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P95 HTTP (exitosas)</w:t>
            </w:r>
          </w:p>
        </w:tc>
        <w:tc>
          <w:tcPr>
            <w:tcW w:type="dxa" w:w="312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425 ms</w:t>
            </w:r>
          </w:p>
        </w:tc>
        <w:tc>
          <w:tcPr>
            <w:tcW w:type="dxa" w:w="312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404 ms</w:t>
            </w:r>
          </w:p>
        </w:tc>
      </w:tr>
    </w:tbl>
    <w:p>
      <w:pPr>
        <w:spacing w:after="120" w:before="0" w:line="276" w:lineRule="auto"/>
      </w:pPr>
      <w:r>
        <w:rPr>
          <w:rFonts w:ascii="Times New Roman" w:cs="Times New Roman" w:eastAsia="Times New Roman" w:hAnsi="Times New Roman"/>
          <w:b w:val="false"/>
          <w:bCs w:val="false"/>
          <w:i w:val="false"/>
          <w:iCs w:val="false"/>
          <w:sz w:val="24"/>
          <w:szCs w:val="24"/>
        </w:rPr>
        <w:t xml:space="preserve"/>
      </w:r>
    </w:p>
    <w:p>
      <w:pPr>
        <w:spacing w:after="120" w:before="0" w:line="276" w:lineRule="auto"/>
      </w:pPr>
      <w:r>
        <w:rPr>
          <w:rFonts w:ascii="Times New Roman" w:cs="Times New Roman" w:eastAsia="Times New Roman" w:hAnsi="Times New Roman"/>
          <w:b w:val="false"/>
          <w:bCs w:val="false"/>
          <w:i w:val="false"/>
          <w:iCs w:val="false"/>
          <w:sz w:val="24"/>
          <w:szCs w:val="24"/>
        </w:rPr>
        <w:t xml:space="preserve">Este episodio ilustra por qué la telemetría del lado del servidor no es opcional en estudios de carga: sin ella, el 88 % de fallos se habría atribuido erróneamente a la capa gratuita.</w:t>
      </w:r>
    </w:p>
    <w:p>
      <w:pPr>
        <w:pStyle w:val="Heading2"/>
        <w:spacing w:after="120" w:before="220"/>
      </w:pPr>
      <w:r>
        <w:rPr>
          <w:rFonts w:ascii="Times New Roman" w:cs="Times New Roman" w:eastAsia="Times New Roman" w:hAnsi="Times New Roman"/>
          <w:b/>
          <w:bCs/>
          <w:color w:val="000000"/>
          <w:sz w:val="26"/>
          <w:szCs w:val="26"/>
        </w:rPr>
        <w:t xml:space="preserve">7.2 Primera sesión de la matriz (niveles 100 y 1 000)</w:t>
      </w:r>
    </w:p>
    <w:p>
      <w:pPr>
        <w:spacing w:after="120" w:before="0" w:line="276" w:lineRule="auto"/>
      </w:pPr>
      <w:r>
        <w:rPr>
          <w:rFonts w:ascii="Times New Roman" w:cs="Times New Roman" w:eastAsia="Times New Roman" w:hAnsi="Times New Roman"/>
          <w:b w:val="false"/>
          <w:bCs w:val="false"/>
          <w:i w:val="false"/>
          <w:iCs w:val="false"/>
          <w:sz w:val="24"/>
          <w:szCs w:val="24"/>
        </w:rPr>
        <w:t xml:space="preserve">La primera sesión (2026-07-05, 02:08–03:56 UTC) produjo 6 corridas válidas de 6, sin huecos de telemetría. Se reporta la mediana de las tres réplicas por nivel; entre paréntesis, el rango mínimo–máximo.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800"/>
        <w:gridCol w:w="3160"/>
      </w:tblGrid>
      <w:tr>
        <w:trPr>
          <w:tblHeader/>
        </w:trPr>
        <w:tc>
          <w:tcPr>
            <w:tcW w:type="dxa" w:w="3400"/>
            <w:shd w:fill="E8E2D6" w:val="clear"/>
            <w:tcMar>
              <w:top w:type="dxa" w:w="60"/>
              <w:left w:type="dxa" w:w="80"/>
              <w:bottom w:type="dxa" w:w="60"/>
              <w:right w:type="dxa" w:w="80"/>
            </w:tcMar>
          </w:tcPr>
          <w:p>
            <w:pPr>
              <w:spacing w:after="40" w:line="240" w:lineRule="auto"/>
            </w:pPr>
            <w:r>
              <w:rPr>
                <w:rFonts w:ascii="Times New Roman" w:cs="Times New Roman" w:eastAsia="Times New Roman" w:hAnsi="Times New Roman"/>
                <w:b/>
                <w:bCs/>
                <w:sz w:val="20"/>
                <w:szCs w:val="20"/>
              </w:rPr>
              <w:t xml:space="preserve">Métrica</w:t>
            </w:r>
          </w:p>
        </w:tc>
        <w:tc>
          <w:tcPr>
            <w:tcW w:type="dxa" w:w="2800"/>
            <w:shd w:fill="E8E2D6" w:val="clear"/>
            <w:tcMar>
              <w:top w:type="dxa" w:w="60"/>
              <w:left w:type="dxa" w:w="80"/>
              <w:bottom w:type="dxa" w:w="60"/>
              <w:right w:type="dxa" w:w="80"/>
            </w:tcMar>
          </w:tcPr>
          <w:p>
            <w:pPr>
              <w:spacing w:after="40" w:line="240" w:lineRule="auto"/>
            </w:pPr>
            <w:r>
              <w:rPr>
                <w:rFonts w:ascii="Times New Roman" w:cs="Times New Roman" w:eastAsia="Times New Roman" w:hAnsi="Times New Roman"/>
                <w:b/>
                <w:bCs/>
                <w:sz w:val="20"/>
                <w:szCs w:val="20"/>
              </w:rPr>
              <w:t xml:space="preserve">100 VUs</w:t>
            </w:r>
          </w:p>
        </w:tc>
        <w:tc>
          <w:tcPr>
            <w:tcW w:type="dxa" w:w="3160"/>
            <w:shd w:fill="E8E2D6" w:val="clear"/>
            <w:tcMar>
              <w:top w:type="dxa" w:w="60"/>
              <w:left w:type="dxa" w:w="80"/>
              <w:bottom w:type="dxa" w:w="60"/>
              <w:right w:type="dxa" w:w="80"/>
            </w:tcMar>
          </w:tcPr>
          <w:p>
            <w:pPr>
              <w:spacing w:after="40" w:line="240" w:lineRule="auto"/>
            </w:pPr>
            <w:r>
              <w:rPr>
                <w:rFonts w:ascii="Times New Roman" w:cs="Times New Roman" w:eastAsia="Times New Roman" w:hAnsi="Times New Roman"/>
                <w:b/>
                <w:bCs/>
                <w:sz w:val="20"/>
                <w:szCs w:val="20"/>
              </w:rPr>
              <w:t xml:space="preserve">1 000 VUs</w:t>
            </w:r>
          </w:p>
        </w:tc>
      </w:tr>
      <w:tr>
        <w:tc>
          <w:tcPr>
            <w:tcW w:type="dxa" w:w="34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Peticiones HTTP fallidas</w:t>
            </w:r>
          </w:p>
        </w:tc>
        <w:tc>
          <w:tcPr>
            <w:tcW w:type="dxa" w:w="28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0.00 %</w:t>
            </w:r>
          </w:p>
        </w:tc>
        <w:tc>
          <w:tcPr>
            <w:tcW w:type="dxa" w:w="31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0.00 % (0 / 64 706)</w:t>
            </w:r>
          </w:p>
        </w:tc>
      </w:tr>
      <w:tr>
        <w:tc>
          <w:tcPr>
            <w:tcW w:type="dxa" w:w="34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P95 HTTP</w:t>
            </w:r>
          </w:p>
        </w:tc>
        <w:tc>
          <w:tcPr>
            <w:tcW w:type="dxa" w:w="28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826 ms (790–847)</w:t>
            </w:r>
          </w:p>
        </w:tc>
        <w:tc>
          <w:tcPr>
            <w:tcW w:type="dxa" w:w="31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1 045 ms (955–1 138)</w:t>
            </w:r>
          </w:p>
        </w:tc>
      </w:tr>
      <w:tr>
        <w:tc>
          <w:tcPr>
            <w:tcW w:type="dxa" w:w="34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Conexiones WS caídas</w:t>
            </w:r>
          </w:p>
        </w:tc>
        <w:tc>
          <w:tcPr>
            <w:tcW w:type="dxa" w:w="28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0.00 % (0–1.92)</w:t>
            </w:r>
          </w:p>
        </w:tc>
        <w:tc>
          <w:tcPr>
            <w:tcW w:type="dxa" w:w="31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23.87 % (23.59–24.16)</w:t>
            </w:r>
          </w:p>
        </w:tc>
      </w:tr>
      <w:tr>
        <w:tc>
          <w:tcPr>
            <w:tcW w:type="dxa" w:w="34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P95 establecimiento WS</w:t>
            </w:r>
          </w:p>
        </w:tc>
        <w:tc>
          <w:tcPr>
            <w:tcW w:type="dxa" w:w="28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918 ms (894–932)</w:t>
            </w:r>
          </w:p>
        </w:tc>
        <w:tc>
          <w:tcPr>
            <w:tcW w:type="dxa" w:w="31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19 974 ms (19 817–20 251)</w:t>
            </w:r>
          </w:p>
        </w:tc>
      </w:tr>
      <w:tr>
        <w:tc>
          <w:tcPr>
            <w:tcW w:type="dxa" w:w="34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RAM pico api-gateway</w:t>
            </w:r>
          </w:p>
        </w:tc>
        <w:tc>
          <w:tcPr>
            <w:tcW w:type="dxa" w:w="28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43.6 MB (43.5–43.8)</w:t>
            </w:r>
          </w:p>
        </w:tc>
        <w:tc>
          <w:tcPr>
            <w:tcW w:type="dxa" w:w="31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238.5 MB (236.8–239.2)</w:t>
            </w:r>
          </w:p>
        </w:tc>
      </w:tr>
      <w:tr>
        <w:tc>
          <w:tcPr>
            <w:tcW w:type="dxa" w:w="34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RAM pico realtime-service</w:t>
            </w:r>
          </w:p>
        </w:tc>
        <w:tc>
          <w:tcPr>
            <w:tcW w:type="dxa" w:w="28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42.8 MB (36.6–50.7)</w:t>
            </w:r>
          </w:p>
        </w:tc>
        <w:tc>
          <w:tcPr>
            <w:tcW w:type="dxa" w:w="31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231.3 MB (164.1–293.0)</w:t>
            </w:r>
          </w:p>
        </w:tc>
      </w:tr>
      <w:tr>
        <w:tc>
          <w:tcPr>
            <w:tcW w:type="dxa" w:w="34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RAM pico groups-service</w:t>
            </w:r>
          </w:p>
        </w:tc>
        <w:tc>
          <w:tcPr>
            <w:tcW w:type="dxa" w:w="28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51.6 MB (51.0–52.3)</w:t>
            </w:r>
          </w:p>
        </w:tc>
        <w:tc>
          <w:tcPr>
            <w:tcW w:type="dxa" w:w="31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54.8 MB (49.9–60.4)</w:t>
            </w:r>
          </w:p>
        </w:tc>
      </w:tr>
      <w:tr>
        <w:tc>
          <w:tcPr>
            <w:tcW w:type="dxa" w:w="34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RAM pico habits-service</w:t>
            </w:r>
          </w:p>
        </w:tc>
        <w:tc>
          <w:tcPr>
            <w:tcW w:type="dxa" w:w="280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20.8 MB (20.6–21.0)</w:t>
            </w:r>
          </w:p>
        </w:tc>
        <w:tc>
          <w:tcPr>
            <w:tcW w:type="dxa" w:w="3160"/>
            <w:tcMar>
              <w:top w:type="dxa" w:w="60"/>
              <w:left w:type="dxa" w:w="80"/>
              <w:bottom w:type="dxa" w:w="60"/>
              <w:right w:type="dxa" w:w="80"/>
            </w:tcMar>
          </w:tcPr>
          <w:p>
            <w:pPr>
              <w:spacing w:after="40" w:line="240" w:lineRule="auto"/>
            </w:pPr>
            <w:r>
              <w:rPr>
                <w:rFonts w:ascii="Times New Roman" w:cs="Times New Roman" w:eastAsia="Times New Roman" w:hAnsi="Times New Roman"/>
                <w:b w:val="false"/>
                <w:bCs w:val="false"/>
                <w:sz w:val="20"/>
                <w:szCs w:val="20"/>
              </w:rPr>
              <w:t xml:space="preserve">21.5 MB (20.7–21.5)</w:t>
            </w:r>
          </w:p>
        </w:tc>
      </w:tr>
    </w:tbl>
    <w:p>
      <w:pPr>
        <w:spacing w:after="120" w:before="0" w:line="276" w:lineRule="auto"/>
      </w:pPr>
      <w:r>
        <w:rPr>
          <w:rFonts w:ascii="Times New Roman" w:cs="Times New Roman" w:eastAsia="Times New Roman" w:hAnsi="Times New Roman"/>
          <w:b w:val="false"/>
          <w:bCs w:val="false"/>
          <w:i w:val="false"/>
          <w:iCs w:val="false"/>
          <w:sz w:val="24"/>
          <w:szCs w:val="24"/>
        </w:rPr>
        <w:t xml:space="preserve"/>
      </w:r>
    </w:p>
    <w:p>
      <w:pPr>
        <w:spacing w:after="120" w:before="0" w:line="276" w:lineRule="auto"/>
      </w:pPr>
      <w:r>
        <w:rPr>
          <w:rFonts w:ascii="Times New Roman" w:cs="Times New Roman" w:eastAsia="Times New Roman" w:hAnsi="Times New Roman"/>
          <w:b/>
          <w:bCs/>
          <w:i w:val="false"/>
          <w:iCs w:val="false"/>
          <w:sz w:val="24"/>
          <w:szCs w:val="24"/>
        </w:rPr>
        <w:t xml:space="preserve">Observación 1 — degradación asimétrica entre planos: </w:t>
      </w:r>
      <w:r>
        <w:rPr>
          <w:rFonts w:ascii="Times New Roman" w:cs="Times New Roman" w:eastAsia="Times New Roman" w:hAnsi="Times New Roman"/>
          <w:b w:val="false"/>
          <w:bCs w:val="false"/>
          <w:i w:val="false"/>
          <w:iCs w:val="false"/>
          <w:sz w:val="24"/>
          <w:szCs w:val="24"/>
        </w:rPr>
        <w:t xml:space="preserve">a 1 000 VUs el plano HTTP se degrada pero no falla (0 de 64 706 peticiones fallidas; P95 26 % mayor que en el nivel 100), mientras el plano WebSocket cruza su umbral de servicio: ~1 de cada 4 conexiones se cae y el establecimiento P95 pasa de ~0.9 s a ~20 s. La dispersión mínima entre réplicas (23.59–24.16 %) descarta el ruido de plataforma: es un límite del sistema, no del entorno.</w:t>
      </w:r>
    </w:p>
    <w:p>
      <w:pPr>
        <w:spacing w:after="120" w:before="0" w:line="276" w:lineRule="auto"/>
      </w:pPr>
      <w:r>
        <w:rPr>
          <w:rFonts w:ascii="Times New Roman" w:cs="Times New Roman" w:eastAsia="Times New Roman" w:hAnsi="Times New Roman"/>
          <w:b/>
          <w:bCs/>
          <w:i w:val="false"/>
          <w:iCs w:val="false"/>
          <w:sz w:val="24"/>
          <w:szCs w:val="24"/>
        </w:rPr>
        <w:t xml:space="preserve">Observación 2 — la presión de memoria se concentra en la ruta de tiempo real: </w:t>
      </w:r>
      <w:r>
        <w:rPr>
          <w:rFonts w:ascii="Times New Roman" w:cs="Times New Roman" w:eastAsia="Times New Roman" w:hAnsi="Times New Roman"/>
          <w:b w:val="false"/>
          <w:bCs w:val="false"/>
          <w:i w:val="false"/>
          <w:iCs w:val="false"/>
          <w:sz w:val="24"/>
          <w:szCs w:val="24"/>
        </w:rPr>
        <w:t xml:space="preserve">api-gateway y realtime-service multiplican ×5 su RAM respecto al nivel 100 (44→239 MB y 43→231 MB) mientras groups y habits permanecen planos. A 1 000 VUs el servicio más cargado consume 46.6 % del límite de 512 MB; una proyección simple sitúa el primer colapso por memoria entre 2 500 y 5 000 VUs, hipótesis que los niveles restantes ponen a prueba.</w:t>
      </w:r>
    </w:p>
    <w:p>
      <w:pPr>
        <w:pStyle w:val="Heading2"/>
        <w:spacing w:after="120" w:before="220"/>
      </w:pPr>
      <w:r>
        <w:rPr>
          <w:rFonts w:ascii="Times New Roman" w:cs="Times New Roman" w:eastAsia="Times New Roman" w:hAnsi="Times New Roman"/>
          <w:b/>
          <w:bCs/>
          <w:color w:val="000000"/>
          <w:sz w:val="26"/>
          <w:szCs w:val="26"/>
        </w:rPr>
        <w:t xml:space="preserve">7.3 Nota de re-ejecución, corrida puente y hallazgo sobre cuotas</w:t>
      </w:r>
    </w:p>
    <w:p>
      <w:pPr>
        <w:spacing w:after="120" w:before="0" w:line="276" w:lineRule="auto"/>
      </w:pPr>
      <w:r>
        <w:rPr>
          <w:rFonts w:ascii="Times New Roman" w:cs="Times New Roman" w:eastAsia="Times New Roman" w:hAnsi="Times New Roman"/>
          <w:b w:val="false"/>
          <w:bCs w:val="false"/>
          <w:i w:val="false"/>
          <w:iCs w:val="false"/>
          <w:sz w:val="24"/>
          <w:szCs w:val="24"/>
        </w:rPr>
        <w:t xml:space="preserve">Tras la primera sesión, el experimento agotó la cuota mensual de transferencia de la capa gratuita (5 GB de egreso por cuenta) en las cuentas del api-gateway y de groups-service, lo que suspendió los servicios. Esto motivó dos ajustes documentados: (a) habilitar compresión gzip en las respuestas de los servicios —los payloads JSON viajaban sin comprimir; la compresión reduce el egreso en ~80 %— y (b) re-desplegar los cuatro servicios en cuentas nuevas, del mismo tipo de instancia y región. La ejecución de la matriz queda por tanto dividida en dos sesiones con condiciones de despliegue distintas (sesión 1: sin compresión, cuentas originales; sesión 2: con compresión, cuentas nuevas).</w:t>
      </w:r>
    </w:p>
    <w:p>
      <w:pPr>
        <w:spacing w:after="120" w:before="0" w:line="276" w:lineRule="auto"/>
      </w:pPr>
      <w:r>
        <w:rPr>
          <w:rFonts w:ascii="Times New Roman" w:cs="Times New Roman" w:eastAsia="Times New Roman" w:hAnsi="Times New Roman"/>
          <w:b w:val="false"/>
          <w:bCs w:val="false"/>
          <w:i w:val="false"/>
          <w:iCs w:val="false"/>
          <w:sz w:val="24"/>
          <w:szCs w:val="24"/>
        </w:rPr>
        <w:t xml:space="preserve">Para validar la comparabilidad entre ambas sesiones sin exceder el presupuesto de egreso disponible (cuatro cuentas de 5 GB, sin cuentas de reserva), la sesión 2 ejecuta primero una corrida puente en el nivel de 1 000 VUs sobre el despliegue nuevo, con criterio predefinido: si su P95 HTTP y su tasa de conexiones WS caídas caen dentro del rango mínimo–máximo de las tres réplicas de la sesión 1 ampliado en ±10 % (P95: 955–1 138 ms; caídas: 23.59–24.16 %), se declara la comparabilidad y la curva completa integra ambas sesiones, documentando el puente; si divergen materialmente, los resultados oficiales se limitan a la curva del despliegue nuevo y la sesión 1 se reporta como piloto extendido. A continuación se ejecutan los niveles 2 500 y 5 000 (tres réplicas cada uno). Presupuesto estimado de la sesión 2: siete corridas × ~0.6 GB ≈ 4.2 GB en la cuenta del gateway y ~3.9 GB en la de groups, con margen para repetir una corrida inválida; la corrida puente sirve además como verificación empírica del egreso por corrida antes de comprometer los niveles altos. El episodio de la cuota se documenta, junto con la mitigación por compresión, como hallazgo del estudio sobre las restricciones operativas de la capa gratuita.</w:t>
      </w:r>
    </w:p>
    <w:p>
      <w:pPr>
        <w:pStyle w:val="Heading1"/>
        <w:spacing w:after="140" w:before="280"/>
      </w:pPr>
      <w:r>
        <w:rPr>
          <w:rFonts w:ascii="Times New Roman" w:cs="Times New Roman" w:eastAsia="Times New Roman" w:hAnsi="Times New Roman"/>
          <w:b/>
          <w:bCs/>
          <w:color w:val="000000"/>
          <w:sz w:val="28"/>
          <w:szCs w:val="28"/>
        </w:rPr>
        <w:t xml:space="preserve">8. Limitaciones y sesgos reconocidos</w:t>
      </w:r>
    </w:p>
    <w:p>
      <w:pPr>
        <w:pStyle w:val="ListParagraph"/>
        <w:numPr>
          <w:ilvl w:val="0"/>
          <w:numId w:val="2"/>
        </w:numPr>
        <w:spacing w:after="80" w:line="276" w:lineRule="auto"/>
      </w:pPr>
      <w:r>
        <w:rPr>
          <w:rFonts w:ascii="Times New Roman" w:cs="Times New Roman" w:eastAsia="Times New Roman" w:hAnsi="Times New Roman"/>
          <w:b/>
          <w:bCs/>
          <w:i w:val="false"/>
          <w:iCs w:val="false"/>
          <w:sz w:val="24"/>
          <w:szCs w:val="24"/>
        </w:rPr>
        <w:t xml:space="preserve">Constructo — carga de un solo usuario: </w:t>
      </w:r>
      <w:r>
        <w:rPr>
          <w:rFonts w:ascii="Times New Roman" w:cs="Times New Roman" w:eastAsia="Times New Roman" w:hAnsi="Times New Roman"/>
          <w:b w:val="false"/>
          <w:bCs w:val="false"/>
          <w:i w:val="false"/>
          <w:iCs w:val="false"/>
          <w:sz w:val="24"/>
          <w:szCs w:val="24"/>
        </w:rPr>
        <w:t xml:space="preserve">todos los usuarios virtuales se autentican con la misma cuenta sintética; los patrones de consulta y caché no representan a miles de usuarios distintos. El límite de tasa por usuario se elevó por configuración documentada durante las corridas.</w:t>
      </w:r>
    </w:p>
    <w:p>
      <w:pPr>
        <w:pStyle w:val="ListParagraph"/>
        <w:numPr>
          <w:ilvl w:val="0"/>
          <w:numId w:val="2"/>
        </w:numPr>
        <w:spacing w:after="80" w:line="276" w:lineRule="auto"/>
      </w:pPr>
      <w:r>
        <w:rPr>
          <w:rFonts w:ascii="Times New Roman" w:cs="Times New Roman" w:eastAsia="Times New Roman" w:hAnsi="Times New Roman"/>
          <w:b/>
          <w:bCs/>
          <w:i w:val="false"/>
          <w:iCs w:val="false"/>
          <w:sz w:val="24"/>
          <w:szCs w:val="24"/>
        </w:rPr>
        <w:t xml:space="preserve">Validez interna — ruido de plataforma: </w:t>
      </w:r>
      <w:r>
        <w:rPr>
          <w:rFonts w:ascii="Times New Roman" w:cs="Times New Roman" w:eastAsia="Times New Roman" w:hAnsi="Times New Roman"/>
          <w:b w:val="false"/>
          <w:bCs w:val="false"/>
          <w:i w:val="false"/>
          <w:iCs w:val="false"/>
          <w:sz w:val="24"/>
          <w:szCs w:val="24"/>
        </w:rPr>
        <w:t xml:space="preserve">en capa gratuita los recursos se comparten con inquilinos desconocidos ("vecinos ruidosos"). Se mitiga con tres réplicas por nivel en ventanas horarias similares y reportando dispersión; aun así, corridas en ventanas distintas pueden diferir (el nivel 100 reportó P95 de 404 ms en el piloto y 826 ms en la matriz).</w:t>
      </w:r>
    </w:p>
    <w:p>
      <w:pPr>
        <w:pStyle w:val="ListParagraph"/>
        <w:numPr>
          <w:ilvl w:val="0"/>
          <w:numId w:val="2"/>
        </w:numPr>
        <w:spacing w:after="80" w:line="276" w:lineRule="auto"/>
      </w:pPr>
      <w:r>
        <w:rPr>
          <w:rFonts w:ascii="Times New Roman" w:cs="Times New Roman" w:eastAsia="Times New Roman" w:hAnsi="Times New Roman"/>
          <w:b/>
          <w:bCs/>
          <w:i w:val="false"/>
          <w:iCs w:val="false"/>
          <w:sz w:val="24"/>
          <w:szCs w:val="24"/>
        </w:rPr>
        <w:t xml:space="preserve">Validez interna — variabilidad del hardware gratuito: </w:t>
      </w:r>
      <w:r>
        <w:rPr>
          <w:rFonts w:ascii="Times New Roman" w:cs="Times New Roman" w:eastAsia="Times New Roman" w:hAnsi="Times New Roman"/>
          <w:b w:val="false"/>
          <w:bCs w:val="false"/>
          <w:i w:val="false"/>
          <w:iCs w:val="false"/>
          <w:sz w:val="24"/>
          <w:szCs w:val="24"/>
        </w:rPr>
        <w:t xml:space="preserve">el proveedor no garantiza homogeneidad de hardware entre instancias ni entre despliegues; el re-despliegue en cuentas nuevas (§7.3) se documenta como amenaza y se controla re-ejecutando la matriz completa en un único despliegue.</w:t>
      </w:r>
    </w:p>
    <w:p>
      <w:pPr>
        <w:pStyle w:val="ListParagraph"/>
        <w:numPr>
          <w:ilvl w:val="0"/>
          <w:numId w:val="2"/>
        </w:numPr>
        <w:spacing w:after="80" w:line="276" w:lineRule="auto"/>
      </w:pPr>
      <w:r>
        <w:rPr>
          <w:rFonts w:ascii="Times New Roman" w:cs="Times New Roman" w:eastAsia="Times New Roman" w:hAnsi="Times New Roman"/>
          <w:b/>
          <w:bCs/>
          <w:i w:val="false"/>
          <w:iCs w:val="false"/>
          <w:sz w:val="24"/>
          <w:szCs w:val="24"/>
        </w:rPr>
        <w:t xml:space="preserve">Validez externa — generalización: </w:t>
      </w:r>
      <w:r>
        <w:rPr>
          <w:rFonts w:ascii="Times New Roman" w:cs="Times New Roman" w:eastAsia="Times New Roman" w:hAnsi="Times New Roman"/>
          <w:b w:val="false"/>
          <w:bCs w:val="false"/>
          <w:i w:val="false"/>
          <w:iCs w:val="false"/>
          <w:sz w:val="24"/>
          <w:szCs w:val="24"/>
        </w:rPr>
        <w:t xml:space="preserve">es un estudio de caso de un sistema (Go + Render + Supabase); los hallazgos informan sobre esta clase de arquitectura, no sobre cualquier PaaS gratuita. La replicabilidad se apoya en el artefacto publicado (código, arnés y datos crudos).</w:t>
      </w:r>
    </w:p>
    <w:p>
      <w:pPr>
        <w:pStyle w:val="ListParagraph"/>
        <w:numPr>
          <w:ilvl w:val="0"/>
          <w:numId w:val="2"/>
        </w:numPr>
        <w:spacing w:after="80" w:line="276" w:lineRule="auto"/>
      </w:pPr>
      <w:r>
        <w:rPr>
          <w:rFonts w:ascii="Times New Roman" w:cs="Times New Roman" w:eastAsia="Times New Roman" w:hAnsi="Times New Roman"/>
          <w:b/>
          <w:bCs/>
          <w:i w:val="false"/>
          <w:iCs w:val="false"/>
          <w:sz w:val="24"/>
          <w:szCs w:val="24"/>
        </w:rPr>
        <w:t xml:space="preserve">Instrumento — inyector único: </w:t>
      </w:r>
      <w:r>
        <w:rPr>
          <w:rFonts w:ascii="Times New Roman" w:cs="Times New Roman" w:eastAsia="Times New Roman" w:hAnsi="Times New Roman"/>
          <w:b w:val="false"/>
          <w:bCs w:val="false"/>
          <w:i w:val="false"/>
          <w:iCs w:val="false"/>
          <w:sz w:val="24"/>
          <w:szCs w:val="24"/>
        </w:rPr>
        <w:t xml:space="preserve">k6 se ejecuta desde una sola máquina y red; su ancho de banda podría ser cuello de botella en los niveles altos. Se registrará el consumo de red del inyector en el nivel de 5 000 VUs.</w:t>
      </w:r>
    </w:p>
    <w:p>
      <w:pPr>
        <w:pStyle w:val="Heading1"/>
        <w:spacing w:after="140" w:before="280"/>
      </w:pPr>
      <w:r>
        <w:rPr>
          <w:rFonts w:ascii="Times New Roman" w:cs="Times New Roman" w:eastAsia="Times New Roman" w:hAnsi="Times New Roman"/>
          <w:b/>
          <w:bCs/>
          <w:color w:val="000000"/>
          <w:sz w:val="28"/>
          <w:szCs w:val="28"/>
        </w:rPr>
        <w:t xml:space="preserve">9. Referencias</w:t>
      </w:r>
    </w:p>
    <w:p>
      <w:pPr>
        <w:spacing w:after="120" w:line="276" w:lineRule="auto"/>
        <w:ind w:left="720" w:hanging="720"/>
      </w:pPr>
      <w:r>
        <w:rPr>
          <w:rFonts w:ascii="Times New Roman" w:cs="Times New Roman" w:eastAsia="Times New Roman" w:hAnsi="Times New Roman"/>
          <w:sz w:val="24"/>
          <w:szCs w:val="24"/>
        </w:rPr>
        <w:t xml:space="preserve">ACM/IEEE-CS Joint Task Force on Software Engineering Ethics. (1999). Software Engineering Code of Ethics and Professional Practice (versión 5.2). https://ethics.acm.org/code-of-ethics/software-engineering-code/</w:t>
      </w:r>
    </w:p>
    <w:p>
      <w:pPr>
        <w:spacing w:after="120" w:line="276" w:lineRule="auto"/>
        <w:ind w:left="720" w:hanging="720"/>
      </w:pPr>
      <w:r>
        <w:rPr>
          <w:rFonts w:ascii="Times New Roman" w:cs="Times New Roman" w:eastAsia="Times New Roman" w:hAnsi="Times New Roman"/>
          <w:sz w:val="24"/>
          <w:szCs w:val="24"/>
        </w:rPr>
        <w:t xml:space="preserve">Blinowski, G., Ojdowska, A., &amp; Przybyłek, A. (2022). Monolithic vs. microservice architecture: A performance and scalability evaluation. IEEE Access, 10, 20357–20374. https://doi.org/10.1109/ACCESS.2022.3152803</w:t>
      </w:r>
    </w:p>
    <w:p>
      <w:pPr>
        <w:spacing w:after="120" w:line="276" w:lineRule="auto"/>
        <w:ind w:left="720" w:hanging="720"/>
      </w:pPr>
      <w:r>
        <w:rPr>
          <w:rFonts w:ascii="Times New Roman" w:cs="Times New Roman" w:eastAsia="Times New Roman" w:hAnsi="Times New Roman"/>
          <w:sz w:val="24"/>
          <w:szCs w:val="24"/>
        </w:rPr>
        <w:t xml:space="preserve">Cámara de Diputados del H. Congreso de la Unión. (2025). Ley Federal de Protección de Datos Personales en Posesión de los Particulares. Diario Oficial de la Federación, 20 de marzo de 2025.</w:t>
      </w:r>
    </w:p>
    <w:p>
      <w:pPr>
        <w:spacing w:after="120" w:line="276" w:lineRule="auto"/>
        <w:ind w:left="720" w:hanging="720"/>
      </w:pPr>
      <w:r>
        <w:rPr>
          <w:rFonts w:ascii="Times New Roman" w:cs="Times New Roman" w:eastAsia="Times New Roman" w:hAnsi="Times New Roman"/>
          <w:sz w:val="24"/>
          <w:szCs w:val="24"/>
        </w:rPr>
        <w:t xml:space="preserve">Fernando, L., &amp; Engel, M. M. (2025). Comparative performance benchmarking of WebSocket libraries on Node.js and Golang. Sinkron: Jurnal dan Penelitian Teknik Informatika, 9(4), 2051–2060. https://doi.org/10.33395/sinkron.v9i4.15266</w:t>
      </w:r>
    </w:p>
    <w:p>
      <w:pPr>
        <w:spacing w:after="120" w:line="276" w:lineRule="auto"/>
        <w:ind w:left="720" w:hanging="720"/>
      </w:pPr>
      <w:r>
        <w:rPr>
          <w:rFonts w:ascii="Times New Roman" w:cs="Times New Roman" w:eastAsia="Times New Roman" w:hAnsi="Times New Roman"/>
          <w:sz w:val="24"/>
          <w:szCs w:val="24"/>
        </w:rPr>
        <w:t xml:space="preserve">Grafana Labs. (2026). k6 documentation. https://grafana.com/docs/k6/</w:t>
      </w:r>
    </w:p>
    <w:p>
      <w:pPr>
        <w:spacing w:after="120" w:line="276" w:lineRule="auto"/>
        <w:ind w:left="720" w:hanging="720"/>
      </w:pPr>
      <w:r>
        <w:rPr>
          <w:rFonts w:ascii="Times New Roman" w:cs="Times New Roman" w:eastAsia="Times New Roman" w:hAnsi="Times New Roman"/>
          <w:sz w:val="24"/>
          <w:szCs w:val="24"/>
        </w:rPr>
        <w:t xml:space="preserve">Hernández-Sampieri, R., &amp; Mendoza Torres, C. P. (2023). Metodología de la investigación: Las rutas cuantitativa, cualitativa y mixta (2.ª ed.). McGraw-Hill.</w:t>
      </w:r>
    </w:p>
    <w:p>
      <w:pPr>
        <w:spacing w:after="120" w:line="276" w:lineRule="auto"/>
        <w:ind w:left="720" w:hanging="720"/>
      </w:pPr>
      <w:r>
        <w:rPr>
          <w:rFonts w:ascii="Times New Roman" w:cs="Times New Roman" w:eastAsia="Times New Roman" w:hAnsi="Times New Roman"/>
          <w:sz w:val="24"/>
          <w:szCs w:val="24"/>
        </w:rPr>
        <w:t xml:space="preserve">International Organization for Standardization. (2022). ISO/IEC 27001:2022 — Information security, cybersecurity and privacy protection: Information security management systems — Requirements.</w:t>
      </w:r>
    </w:p>
    <w:p>
      <w:pPr>
        <w:spacing w:after="120" w:line="276" w:lineRule="auto"/>
        <w:ind w:left="720" w:hanging="720"/>
      </w:pPr>
      <w:r>
        <w:rPr>
          <w:rFonts w:ascii="Times New Roman" w:cs="Times New Roman" w:eastAsia="Times New Roman" w:hAnsi="Times New Roman"/>
          <w:sz w:val="24"/>
          <w:szCs w:val="24"/>
        </w:rPr>
        <w:t xml:space="preserve">International Organization for Standardization. (2023). ISO/IEC 25010:2023 — Systems and software engineering: Systems and software Quality Requirements and Evaluation (SQuaRE) — Product quality model.</w:t>
      </w:r>
    </w:p>
    <w:p>
      <w:pPr>
        <w:spacing w:after="120" w:line="276" w:lineRule="auto"/>
        <w:ind w:left="720" w:hanging="720"/>
      </w:pPr>
      <w:r>
        <w:rPr>
          <w:rFonts w:ascii="Times New Roman" w:cs="Times New Roman" w:eastAsia="Times New Roman" w:hAnsi="Times New Roman"/>
          <w:sz w:val="24"/>
          <w:szCs w:val="24"/>
        </w:rPr>
        <w:t xml:space="preserve">International Organization for Standardization, International Electrotechnical Commission, &amp; Institute of Electrical and Electronics Engineers. (2018). ISO/IEC/IEEE 29148:2018 — Systems and software engineering: Life cycle processes — Requirements engineering.</w:t>
      </w:r>
    </w:p>
    <w:p>
      <w:pPr>
        <w:spacing w:after="120" w:line="276" w:lineRule="auto"/>
        <w:ind w:left="720" w:hanging="720"/>
      </w:pPr>
      <w:r>
        <w:rPr>
          <w:rFonts w:ascii="Times New Roman" w:cs="Times New Roman" w:eastAsia="Times New Roman" w:hAnsi="Times New Roman"/>
          <w:sz w:val="24"/>
          <w:szCs w:val="24"/>
        </w:rPr>
        <w:t xml:space="preserve">Lemos, E., Oliveira, R., Rodrigues, J., &amp; Oliveira Neto, R. F. (2025). Deep learning model deployment in multiple cloud providers: An exploratory study using low computing power environments. arXiv. https://arxiv.org/abs/2503.23988</w:t>
      </w:r>
    </w:p>
    <w:p>
      <w:pPr>
        <w:spacing w:after="120" w:line="276" w:lineRule="auto"/>
        <w:ind w:left="720" w:hanging="720"/>
      </w:pPr>
      <w:r>
        <w:rPr>
          <w:rFonts w:ascii="Times New Roman" w:cs="Times New Roman" w:eastAsia="Times New Roman" w:hAnsi="Times New Roman"/>
          <w:sz w:val="24"/>
          <w:szCs w:val="24"/>
        </w:rPr>
        <w:t xml:space="preserve">Newman, S. (2021). Building microservices (2.ª ed.). O’Reilly Media.</w:t>
      </w:r>
    </w:p>
    <w:p>
      <w:pPr>
        <w:spacing w:after="120" w:line="276" w:lineRule="auto"/>
        <w:ind w:left="720" w:hanging="720"/>
      </w:pPr>
      <w:r>
        <w:rPr>
          <w:rFonts w:ascii="Times New Roman" w:cs="Times New Roman" w:eastAsia="Times New Roman" w:hAnsi="Times New Roman"/>
          <w:sz w:val="24"/>
          <w:szCs w:val="24"/>
        </w:rPr>
        <w:t xml:space="preserve">Prometheus Authors. (2026). Prometheus documentation. https://prometheus.io/docs/</w:t>
      </w:r>
    </w:p>
    <w:p>
      <w:pPr>
        <w:spacing w:after="120" w:line="276" w:lineRule="auto"/>
        <w:ind w:left="720" w:hanging="720"/>
      </w:pPr>
      <w:r>
        <w:rPr>
          <w:rFonts w:ascii="Times New Roman" w:cs="Times New Roman" w:eastAsia="Times New Roman" w:hAnsi="Times New Roman"/>
          <w:sz w:val="24"/>
          <w:szCs w:val="24"/>
        </w:rPr>
        <w:t xml:space="preserve">Render. (2026). Free instance types. Render Docs. https://render.com/docs/free</w:t>
      </w:r>
    </w:p>
    <w:p>
      <w:pPr>
        <w:spacing w:after="120" w:line="276" w:lineRule="auto"/>
        <w:ind w:left="720" w:hanging="720"/>
      </w:pPr>
      <w:r>
        <w:rPr>
          <w:rFonts w:ascii="Times New Roman" w:cs="Times New Roman" w:eastAsia="Times New Roman" w:hAnsi="Times New Roman"/>
          <w:sz w:val="24"/>
          <w:szCs w:val="24"/>
        </w:rPr>
        <w:t xml:space="preserve">Render. (2026). Outbound bandwidth. Render Docs. https://render.com/docs/outbound-bandwidth</w:t>
      </w:r>
    </w:p>
    <w:p>
      <w:pPr>
        <w:spacing w:after="120" w:line="276" w:lineRule="auto"/>
        <w:ind w:left="720" w:hanging="720"/>
      </w:pPr>
      <w:r>
        <w:rPr>
          <w:rFonts w:ascii="Times New Roman" w:cs="Times New Roman" w:eastAsia="Times New Roman" w:hAnsi="Times New Roman"/>
          <w:sz w:val="24"/>
          <w:szCs w:val="24"/>
        </w:rPr>
        <w:t xml:space="preserve">Sobri, M., et al. (2022). A study of database connection pool in microservice architecture. JOIV: International Journal on Informatics Visualization. https://joiv.org/index.php/joiv/article/view/1094</w:t>
      </w:r>
    </w:p>
    <w:p>
      <w:pPr>
        <w:spacing w:after="120" w:line="276" w:lineRule="auto"/>
        <w:ind w:left="720" w:hanging="720"/>
      </w:pPr>
      <w:r>
        <w:rPr>
          <w:rFonts w:ascii="Times New Roman" w:cs="Times New Roman" w:eastAsia="Times New Roman" w:hAnsi="Times New Roman"/>
          <w:sz w:val="24"/>
          <w:szCs w:val="24"/>
        </w:rPr>
        <w:t xml:space="preserve">Supabase. (2026). Supabase documentation. https://supabase.com/docs</w:t>
      </w:r>
    </w:p>
    <w:p>
      <w:pPr>
        <w:spacing w:after="120" w:line="276" w:lineRule="auto"/>
        <w:ind w:left="720" w:hanging="720"/>
      </w:pPr>
      <w:r>
        <w:rPr>
          <w:rFonts w:ascii="Times New Roman" w:cs="Times New Roman" w:eastAsia="Times New Roman" w:hAnsi="Times New Roman"/>
          <w:sz w:val="24"/>
          <w:szCs w:val="24"/>
        </w:rPr>
        <w:t xml:space="preserve">The Go Authors. (2026). The Go programming language documentation. https://go.dev/doc/</w:t>
      </w:r>
    </w:p>
    <w:p>
      <w:pPr>
        <w:spacing w:after="120" w:line="276" w:lineRule="auto"/>
        <w:ind w:left="720" w:hanging="720"/>
      </w:pPr>
      <w:r>
        <w:rPr>
          <w:rFonts w:ascii="Times New Roman" w:cs="Times New Roman" w:eastAsia="Times New Roman" w:hAnsi="Times New Roman"/>
          <w:sz w:val="24"/>
          <w:szCs w:val="24"/>
        </w:rPr>
        <w:t xml:space="preserve">World Wide Web Consortium. (2023). Web Content Accessibility Guidelines (WCAG) 2.2. https://www.w3.org/TR/WCAG22/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2026-07-11T02:33:58.015Z</dcterms:created>
  <dcterms:modified xsi:type="dcterms:W3CDTF">2026-07-11T02:33:58.020Z</dcterms:modified>
</cp:coreProperties>
</file>

<file path=docProps/custom.xml><?xml version="1.0" encoding="utf-8"?>
<Properties xmlns="http://schemas.openxmlformats.org/officeDocument/2006/custom-properties" xmlns:vt="http://schemas.openxmlformats.org/officeDocument/2006/docPropsVTypes"/>
</file>