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E780" w14:textId="77777777" w:rsidR="001442CF" w:rsidRDefault="001442CF" w:rsidP="008B52C6">
      <w:pPr>
        <w:shd w:val="clear" w:color="auto" w:fill="D1D1D1" w:themeFill="background2" w:themeFillShade="E6"/>
        <w:jc w:val="center"/>
        <w:rPr>
          <w:rFonts w:ascii="Calibri" w:hAnsi="Calibri" w:cs="Calibri"/>
          <w:b/>
          <w:bCs/>
          <w:sz w:val="40"/>
          <w:szCs w:val="40"/>
        </w:rPr>
      </w:pPr>
      <w:r w:rsidRPr="001442CF">
        <w:rPr>
          <w:rFonts w:ascii="Calibri" w:hAnsi="Calibri" w:cs="Calibri"/>
          <w:b/>
          <w:bCs/>
          <w:sz w:val="40"/>
          <w:szCs w:val="40"/>
        </w:rPr>
        <w:t>INFORME DE EXPERIENCIA DE USUARIO</w:t>
      </w:r>
    </w:p>
    <w:p w14:paraId="1880DAA2" w14:textId="37AA3DF8" w:rsidR="001442CF" w:rsidRPr="001442CF" w:rsidRDefault="001442CF" w:rsidP="008B52C6">
      <w:pPr>
        <w:shd w:val="clear" w:color="auto" w:fill="D1D1D1" w:themeFill="background2" w:themeFillShade="E6"/>
        <w:jc w:val="center"/>
        <w:rPr>
          <w:rFonts w:ascii="Calibri" w:hAnsi="Calibri" w:cs="Calibri"/>
          <w:b/>
          <w:bCs/>
          <w:sz w:val="40"/>
          <w:szCs w:val="40"/>
        </w:rPr>
      </w:pPr>
      <w:r w:rsidRPr="001442CF">
        <w:rPr>
          <w:rFonts w:ascii="Calibri" w:hAnsi="Calibri" w:cs="Calibri"/>
          <w:b/>
          <w:bCs/>
          <w:sz w:val="40"/>
          <w:szCs w:val="40"/>
        </w:rPr>
        <w:t xml:space="preserve">DE ENERO A ABRIL 2025 EN </w:t>
      </w:r>
      <w:r w:rsidR="008B52C6">
        <w:rPr>
          <w:rFonts w:ascii="Calibri" w:hAnsi="Calibri" w:cs="Calibri"/>
          <w:b/>
          <w:bCs/>
          <w:sz w:val="40"/>
          <w:szCs w:val="40"/>
        </w:rPr>
        <w:t>CONCESIONARIOS</w:t>
      </w:r>
      <w:r w:rsidRPr="001442CF">
        <w:rPr>
          <w:rFonts w:ascii="Calibri" w:hAnsi="Calibri" w:cs="Calibri"/>
          <w:b/>
          <w:bCs/>
          <w:sz w:val="40"/>
          <w:szCs w:val="40"/>
        </w:rPr>
        <w:t xml:space="preserve"> KIA</w:t>
      </w:r>
    </w:p>
    <w:p w14:paraId="539CB522" w14:textId="77777777" w:rsidR="001442CF" w:rsidRPr="001442CF" w:rsidRDefault="001442CF" w:rsidP="001442CF">
      <w:pPr>
        <w:jc w:val="both"/>
        <w:rPr>
          <w:rFonts w:ascii="Calibri" w:hAnsi="Calibri" w:cs="Calibri"/>
          <w:b/>
          <w:bCs/>
        </w:rPr>
      </w:pPr>
    </w:p>
    <w:p w14:paraId="324326B3" w14:textId="7B46A41A" w:rsidR="001442CF" w:rsidRPr="001442CF" w:rsidRDefault="001442CF" w:rsidP="001442CF">
      <w:pPr>
        <w:pStyle w:val="Ttulo2"/>
      </w:pPr>
      <w:r w:rsidRPr="001442CF">
        <w:t>INTRODUCCIÓN</w:t>
      </w:r>
    </w:p>
    <w:p w14:paraId="225045CE" w14:textId="4D50F11B" w:rsidR="001442CF" w:rsidRPr="001442CF" w:rsidRDefault="001442CF" w:rsidP="001442CF">
      <w:pPr>
        <w:jc w:val="both"/>
        <w:rPr>
          <w:rFonts w:ascii="Calibri" w:hAnsi="Calibri" w:cs="Calibri"/>
          <w:u w:val="single"/>
        </w:rPr>
      </w:pPr>
      <w:r w:rsidRPr="001442CF">
        <w:rPr>
          <w:rFonts w:ascii="Calibri" w:hAnsi="Calibri" w:cs="Calibri"/>
        </w:rPr>
        <w:br/>
        <w:t xml:space="preserve">Este informe sintetiza el análisis de 249 valoraciones recogidas entre el 1 de enero y el 29 de abril de 2025 en </w:t>
      </w:r>
      <w:r w:rsidR="008B52C6">
        <w:rPr>
          <w:rFonts w:ascii="Calibri" w:hAnsi="Calibri" w:cs="Calibri"/>
        </w:rPr>
        <w:t>concesionarios</w:t>
      </w:r>
      <w:r w:rsidRPr="001442CF">
        <w:rPr>
          <w:rFonts w:ascii="Calibri" w:hAnsi="Calibri" w:cs="Calibri"/>
        </w:rPr>
        <w:t xml:space="preserve"> Kia. Los datos proceden de </w:t>
      </w:r>
      <w:proofErr w:type="spellStart"/>
      <w:r w:rsidRPr="001442CF">
        <w:rPr>
          <w:rFonts w:ascii="Calibri" w:hAnsi="Calibri" w:cs="Calibri"/>
        </w:rPr>
        <w:t>verbatims</w:t>
      </w:r>
      <w:proofErr w:type="spellEnd"/>
      <w:r w:rsidRPr="001442CF">
        <w:rPr>
          <w:rFonts w:ascii="Calibri" w:hAnsi="Calibri" w:cs="Calibri"/>
        </w:rPr>
        <w:t xml:space="preserve"> voluntarios de clientes (“Comentarios”), con puntuaciones de satisfacción (1 muy malo–8 muy bueno). Aunque aportan </w:t>
      </w:r>
      <w:proofErr w:type="spellStart"/>
      <w:r w:rsidRPr="001442CF">
        <w:rPr>
          <w:rFonts w:ascii="Calibri" w:hAnsi="Calibri" w:cs="Calibri"/>
        </w:rPr>
        <w:t>insights</w:t>
      </w:r>
      <w:proofErr w:type="spellEnd"/>
      <w:r w:rsidRPr="001442CF">
        <w:rPr>
          <w:rFonts w:ascii="Calibri" w:hAnsi="Calibri" w:cs="Calibri"/>
        </w:rPr>
        <w:t xml:space="preserve"> valiosos, cabe considerar un posible sesgo de quienes deciden compartir su opinión.</w:t>
      </w:r>
    </w:p>
    <w:p w14:paraId="7C92B837" w14:textId="41791686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23B201A8" w14:textId="77777777" w:rsidR="001442CF" w:rsidRPr="001442CF" w:rsidRDefault="001442CF" w:rsidP="001442CF">
      <w:pPr>
        <w:pStyle w:val="Ttulo2"/>
      </w:pPr>
      <w:r w:rsidRPr="001442CF">
        <w:t>HALLAZGOS CLAVE</w:t>
      </w:r>
    </w:p>
    <w:p w14:paraId="7EF63E41" w14:textId="77777777" w:rsidR="001442CF" w:rsidRPr="001442CF" w:rsidRDefault="001442CF" w:rsidP="001442C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Promedio general</w:t>
      </w:r>
      <w:r w:rsidRPr="001442CF">
        <w:rPr>
          <w:rFonts w:ascii="Calibri" w:hAnsi="Calibri" w:cs="Calibri"/>
        </w:rPr>
        <w:t>: 6,47 sobre 8.</w:t>
      </w:r>
    </w:p>
    <w:p w14:paraId="47BF349B" w14:textId="77777777" w:rsidR="001442CF" w:rsidRPr="001442CF" w:rsidRDefault="001442CF" w:rsidP="001442C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Tecnología</w:t>
      </w:r>
    </w:p>
    <w:p w14:paraId="0D51F4DB" w14:textId="77777777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Gasolina (121 valoraciones, 48,6 %): 6,81</w:t>
      </w:r>
    </w:p>
    <w:p w14:paraId="1C2B212B" w14:textId="77777777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Híbrido (82, 32,9 %): 6,41</w:t>
      </w:r>
    </w:p>
    <w:p w14:paraId="2D131176" w14:textId="77777777" w:rsid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Eléctrico (46, 18,5 %): 5,24</w:t>
      </w:r>
    </w:p>
    <w:p w14:paraId="3DA43D85" w14:textId="4F91A8D1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Los clientes de vehículos eléctricos registran la satisfacción más baja, un reto estratégico.</w:t>
      </w:r>
    </w:p>
    <w:p w14:paraId="60D8FB6B" w14:textId="77777777" w:rsidR="001442CF" w:rsidRPr="001442CF" w:rsidRDefault="001442CF" w:rsidP="001442C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Modelo crítico</w:t>
      </w:r>
    </w:p>
    <w:p w14:paraId="7F322B7B" w14:textId="77777777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EV3(SV)</w:t>
      </w:r>
      <w:r w:rsidRPr="001442CF">
        <w:rPr>
          <w:rFonts w:ascii="Calibri" w:hAnsi="Calibri" w:cs="Calibri"/>
        </w:rPr>
        <w:t xml:space="preserve"> (40 valoraciones, 16,1 %): media 4,93.</w:t>
      </w:r>
      <w:r w:rsidRPr="001442CF">
        <w:rPr>
          <w:rFonts w:ascii="Calibri" w:hAnsi="Calibri" w:cs="Calibri"/>
        </w:rPr>
        <w:br/>
        <w:t>Comentarios recurrentes sobre fallos en el ICCU, manuales confusos y demoras &gt; 1 semana en taller.</w:t>
      </w:r>
    </w:p>
    <w:p w14:paraId="42BB184D" w14:textId="77777777" w:rsidR="001442CF" w:rsidRPr="001442CF" w:rsidRDefault="001442CF" w:rsidP="001442C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Tendencia temporal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</w:tblGrid>
      <w:tr w:rsidR="001442CF" w:rsidRPr="001442CF" w14:paraId="5B9E03DE" w14:textId="77777777" w:rsidTr="001442CF">
        <w:tc>
          <w:tcPr>
            <w:tcW w:w="1943" w:type="dxa"/>
            <w:shd w:val="clear" w:color="auto" w:fill="E8E8E8" w:themeFill="background2"/>
            <w:vAlign w:val="center"/>
          </w:tcPr>
          <w:p w14:paraId="52057BDA" w14:textId="02E959FA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Mes</w:t>
            </w:r>
          </w:p>
        </w:tc>
        <w:tc>
          <w:tcPr>
            <w:tcW w:w="1943" w:type="dxa"/>
            <w:shd w:val="clear" w:color="auto" w:fill="E8E8E8" w:themeFill="background2"/>
            <w:vAlign w:val="center"/>
          </w:tcPr>
          <w:p w14:paraId="376D4A37" w14:textId="4D2D7927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Valoraciones</w:t>
            </w:r>
          </w:p>
        </w:tc>
        <w:tc>
          <w:tcPr>
            <w:tcW w:w="1944" w:type="dxa"/>
            <w:shd w:val="clear" w:color="auto" w:fill="E8E8E8" w:themeFill="background2"/>
            <w:vAlign w:val="center"/>
          </w:tcPr>
          <w:p w14:paraId="76C4E8A8" w14:textId="648DA2E3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Media</w:t>
            </w:r>
          </w:p>
        </w:tc>
      </w:tr>
      <w:tr w:rsidR="001442CF" w:rsidRPr="001442CF" w14:paraId="1631E485" w14:textId="77777777" w:rsidTr="001442CF">
        <w:tc>
          <w:tcPr>
            <w:tcW w:w="1943" w:type="dxa"/>
            <w:vAlign w:val="center"/>
          </w:tcPr>
          <w:p w14:paraId="58074E36" w14:textId="28AEC784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Ene</w:t>
            </w:r>
          </w:p>
        </w:tc>
        <w:tc>
          <w:tcPr>
            <w:tcW w:w="1943" w:type="dxa"/>
            <w:vAlign w:val="center"/>
          </w:tcPr>
          <w:p w14:paraId="2B506368" w14:textId="5428DFC1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66</w:t>
            </w:r>
          </w:p>
        </w:tc>
        <w:tc>
          <w:tcPr>
            <w:tcW w:w="1944" w:type="dxa"/>
            <w:vAlign w:val="center"/>
          </w:tcPr>
          <w:p w14:paraId="460254F0" w14:textId="3F1CCFEC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6,42</w:t>
            </w:r>
          </w:p>
        </w:tc>
      </w:tr>
      <w:tr w:rsidR="001442CF" w:rsidRPr="001442CF" w14:paraId="69DA3F98" w14:textId="77777777" w:rsidTr="001442CF">
        <w:tc>
          <w:tcPr>
            <w:tcW w:w="1943" w:type="dxa"/>
            <w:vAlign w:val="center"/>
          </w:tcPr>
          <w:p w14:paraId="131884DB" w14:textId="4F615E49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Feb</w:t>
            </w:r>
          </w:p>
        </w:tc>
        <w:tc>
          <w:tcPr>
            <w:tcW w:w="1943" w:type="dxa"/>
            <w:vAlign w:val="center"/>
          </w:tcPr>
          <w:p w14:paraId="2EAD846D" w14:textId="656AF04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64</w:t>
            </w:r>
          </w:p>
        </w:tc>
        <w:tc>
          <w:tcPr>
            <w:tcW w:w="1944" w:type="dxa"/>
            <w:vAlign w:val="center"/>
          </w:tcPr>
          <w:p w14:paraId="51BE0C48" w14:textId="5290EB39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6,73</w:t>
            </w:r>
          </w:p>
        </w:tc>
      </w:tr>
      <w:tr w:rsidR="001442CF" w:rsidRPr="001442CF" w14:paraId="2C579B80" w14:textId="77777777" w:rsidTr="001442CF">
        <w:tc>
          <w:tcPr>
            <w:tcW w:w="1943" w:type="dxa"/>
            <w:vAlign w:val="center"/>
          </w:tcPr>
          <w:p w14:paraId="74C69E22" w14:textId="1C9CC73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Mar</w:t>
            </w:r>
          </w:p>
        </w:tc>
        <w:tc>
          <w:tcPr>
            <w:tcW w:w="1943" w:type="dxa"/>
            <w:vAlign w:val="center"/>
          </w:tcPr>
          <w:p w14:paraId="02AD6F1F" w14:textId="45937D32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64</w:t>
            </w:r>
          </w:p>
        </w:tc>
        <w:tc>
          <w:tcPr>
            <w:tcW w:w="1944" w:type="dxa"/>
            <w:vAlign w:val="center"/>
          </w:tcPr>
          <w:p w14:paraId="528CB9F9" w14:textId="4636B670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6,19</w:t>
            </w:r>
          </w:p>
        </w:tc>
      </w:tr>
      <w:tr w:rsidR="001442CF" w:rsidRPr="001442CF" w14:paraId="417FD951" w14:textId="77777777" w:rsidTr="001442CF">
        <w:tc>
          <w:tcPr>
            <w:tcW w:w="1943" w:type="dxa"/>
            <w:vAlign w:val="center"/>
          </w:tcPr>
          <w:p w14:paraId="37F53D44" w14:textId="3C01C745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Abr</w:t>
            </w:r>
          </w:p>
        </w:tc>
        <w:tc>
          <w:tcPr>
            <w:tcW w:w="1943" w:type="dxa"/>
            <w:vAlign w:val="center"/>
          </w:tcPr>
          <w:p w14:paraId="563C2348" w14:textId="2B468114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55</w:t>
            </w:r>
          </w:p>
        </w:tc>
        <w:tc>
          <w:tcPr>
            <w:tcW w:w="1944" w:type="dxa"/>
            <w:vAlign w:val="center"/>
          </w:tcPr>
          <w:p w14:paraId="5C22693B" w14:textId="4AD29C07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6,18</w:t>
            </w:r>
          </w:p>
        </w:tc>
      </w:tr>
    </w:tbl>
    <w:p w14:paraId="01D44311" w14:textId="0D13E7A8" w:rsidR="001442CF" w:rsidRPr="001442CF" w:rsidRDefault="001442CF" w:rsidP="001442CF">
      <w:pPr>
        <w:ind w:left="720"/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→ Tras un pico en febrero, la satisfacción desciende en marzo-abril.</w:t>
      </w:r>
    </w:p>
    <w:p w14:paraId="471D911B" w14:textId="77777777" w:rsidR="001442CF" w:rsidRPr="001442CF" w:rsidRDefault="001442CF" w:rsidP="001442C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Demoras en servicio</w:t>
      </w:r>
    </w:p>
    <w:p w14:paraId="54549FE9" w14:textId="77777777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lastRenderedPageBreak/>
        <w:t>44 comentarios aluden a “espera”, “demora” o “tardanza” (17,7 % del total).</w:t>
      </w:r>
    </w:p>
    <w:p w14:paraId="4D879C17" w14:textId="77777777" w:rsidR="001442CF" w:rsidRPr="001442CF" w:rsidRDefault="001442CF" w:rsidP="001442CF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Media de satisfacción en esos casos: 5,16, muy por debajo del global.</w:t>
      </w:r>
    </w:p>
    <w:p w14:paraId="667BEE27" w14:textId="5D61EF4A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3B6C392B" w14:textId="77777777" w:rsidR="001442CF" w:rsidRPr="001442CF" w:rsidRDefault="001442CF" w:rsidP="001442CF">
      <w:pPr>
        <w:pStyle w:val="Ttulo2"/>
      </w:pPr>
      <w:r w:rsidRPr="001442CF">
        <w:t>ÁREAS DE OPORTUNIDAD Y RIESGO</w:t>
      </w:r>
    </w:p>
    <w:p w14:paraId="41D9E8C8" w14:textId="77777777" w:rsidR="001442CF" w:rsidRPr="001442CF" w:rsidRDefault="001442CF" w:rsidP="001442CF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Talleres en riesgo (puntuación &lt; 5)</w:t>
      </w:r>
    </w:p>
    <w:tbl>
      <w:tblPr>
        <w:tblStyle w:val="Tablaconcuadrcula"/>
        <w:tblW w:w="8132" w:type="dxa"/>
        <w:tblInd w:w="360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</w:tblGrid>
      <w:tr w:rsidR="001442CF" w:rsidRPr="001442CF" w14:paraId="377A077C" w14:textId="77777777" w:rsidTr="001442CF">
        <w:tc>
          <w:tcPr>
            <w:tcW w:w="2033" w:type="dxa"/>
            <w:shd w:val="clear" w:color="auto" w:fill="E8E8E8" w:themeFill="background2"/>
            <w:vAlign w:val="center"/>
          </w:tcPr>
          <w:p w14:paraId="526B90C9" w14:textId="1178FF5F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Taller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039E5021" w14:textId="69E98BDE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Valoraciones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6B74C50C" w14:textId="3FA7B1DE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Media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79B84D00" w14:textId="1F5F72E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% del total</w:t>
            </w:r>
          </w:p>
        </w:tc>
      </w:tr>
      <w:tr w:rsidR="001442CF" w:rsidRPr="001442CF" w14:paraId="1F04448F" w14:textId="77777777" w:rsidTr="001442CF">
        <w:tc>
          <w:tcPr>
            <w:tcW w:w="2033" w:type="dxa"/>
            <w:vAlign w:val="center"/>
          </w:tcPr>
          <w:p w14:paraId="7055A8EA" w14:textId="2BC7FF4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TALENTO MOTOR, S.L.</w:t>
            </w:r>
          </w:p>
        </w:tc>
        <w:tc>
          <w:tcPr>
            <w:tcW w:w="2033" w:type="dxa"/>
            <w:vAlign w:val="center"/>
          </w:tcPr>
          <w:p w14:paraId="213E0641" w14:textId="32992E32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4</w:t>
            </w:r>
          </w:p>
        </w:tc>
        <w:tc>
          <w:tcPr>
            <w:tcW w:w="2033" w:type="dxa"/>
            <w:vAlign w:val="center"/>
          </w:tcPr>
          <w:p w14:paraId="6382BF28" w14:textId="398E011E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2,75</w:t>
            </w:r>
          </w:p>
        </w:tc>
        <w:tc>
          <w:tcPr>
            <w:tcW w:w="2033" w:type="dxa"/>
            <w:vAlign w:val="center"/>
          </w:tcPr>
          <w:p w14:paraId="29EC4FAD" w14:textId="17CDA44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1,6 %</w:t>
            </w:r>
          </w:p>
        </w:tc>
      </w:tr>
      <w:tr w:rsidR="001442CF" w:rsidRPr="001442CF" w14:paraId="6A5493F1" w14:textId="77777777" w:rsidTr="001442CF">
        <w:tc>
          <w:tcPr>
            <w:tcW w:w="2033" w:type="dxa"/>
            <w:vAlign w:val="center"/>
          </w:tcPr>
          <w:p w14:paraId="0B8F65D6" w14:textId="47242377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MOBILIFY ALJARAFE, S.L.</w:t>
            </w:r>
          </w:p>
        </w:tc>
        <w:tc>
          <w:tcPr>
            <w:tcW w:w="2033" w:type="dxa"/>
            <w:vAlign w:val="center"/>
          </w:tcPr>
          <w:p w14:paraId="17428368" w14:textId="507166BE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</w:t>
            </w:r>
          </w:p>
        </w:tc>
        <w:tc>
          <w:tcPr>
            <w:tcW w:w="2033" w:type="dxa"/>
            <w:vAlign w:val="center"/>
          </w:tcPr>
          <w:p w14:paraId="6DB7FD40" w14:textId="297F710C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3,33</w:t>
            </w:r>
          </w:p>
        </w:tc>
        <w:tc>
          <w:tcPr>
            <w:tcW w:w="2033" w:type="dxa"/>
            <w:vAlign w:val="center"/>
          </w:tcPr>
          <w:p w14:paraId="467B8399" w14:textId="1920B406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1,2 %</w:t>
            </w:r>
          </w:p>
        </w:tc>
      </w:tr>
      <w:tr w:rsidR="001442CF" w:rsidRPr="001442CF" w14:paraId="751AB7FC" w14:textId="77777777" w:rsidTr="001442CF">
        <w:tc>
          <w:tcPr>
            <w:tcW w:w="2033" w:type="dxa"/>
            <w:vAlign w:val="center"/>
          </w:tcPr>
          <w:p w14:paraId="0CBE4B3C" w14:textId="16A71BC8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MAS MOTOR, S.A.</w:t>
            </w:r>
          </w:p>
        </w:tc>
        <w:tc>
          <w:tcPr>
            <w:tcW w:w="2033" w:type="dxa"/>
            <w:vAlign w:val="center"/>
          </w:tcPr>
          <w:p w14:paraId="7B58F045" w14:textId="23E173B7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7</w:t>
            </w:r>
          </w:p>
        </w:tc>
        <w:tc>
          <w:tcPr>
            <w:tcW w:w="2033" w:type="dxa"/>
            <w:vAlign w:val="center"/>
          </w:tcPr>
          <w:p w14:paraId="1E067F1B" w14:textId="1B2105D4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3,71</w:t>
            </w:r>
          </w:p>
        </w:tc>
        <w:tc>
          <w:tcPr>
            <w:tcW w:w="2033" w:type="dxa"/>
            <w:vAlign w:val="center"/>
          </w:tcPr>
          <w:p w14:paraId="7A46E1FB" w14:textId="5CE96164" w:rsidR="001442CF" w:rsidRP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2,8 %</w:t>
            </w:r>
          </w:p>
        </w:tc>
      </w:tr>
    </w:tbl>
    <w:p w14:paraId="7179533A" w14:textId="77777777" w:rsidR="001442CF" w:rsidRPr="001442CF" w:rsidRDefault="001442CF" w:rsidP="001442CF">
      <w:pPr>
        <w:ind w:left="360"/>
        <w:jc w:val="both"/>
        <w:rPr>
          <w:rFonts w:ascii="Calibri" w:hAnsi="Calibri" w:cs="Calibri"/>
        </w:rPr>
      </w:pPr>
    </w:p>
    <w:p w14:paraId="0331C8F4" w14:textId="77777777" w:rsidR="001442CF" w:rsidRPr="001442CF" w:rsidRDefault="001442CF" w:rsidP="001442CF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Motivos</w:t>
      </w:r>
    </w:p>
    <w:p w14:paraId="27F6EA65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“1 semana funcionando, y más de 8 días en el taller.”</w:t>
      </w:r>
    </w:p>
    <w:p w14:paraId="468AEF8C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“Me entregaron el coche … y estaba sin revisar.”</w:t>
      </w:r>
    </w:p>
    <w:p w14:paraId="5B14A9F2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“Problemas iniciales de software que dejaron el vehículo parado.”</w:t>
      </w:r>
    </w:p>
    <w:p w14:paraId="42C88BD2" w14:textId="77777777" w:rsidR="001442CF" w:rsidRPr="001442CF" w:rsidRDefault="001442CF" w:rsidP="001442CF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Modelo en riesgo</w:t>
      </w:r>
    </w:p>
    <w:p w14:paraId="22A8C824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EV3(SV)</w:t>
      </w:r>
      <w:r w:rsidRPr="001442CF">
        <w:rPr>
          <w:rFonts w:ascii="Calibri" w:hAnsi="Calibri" w:cs="Calibri"/>
        </w:rPr>
        <w:t>: 16,1 % del total, media 4,93.</w:t>
      </w:r>
    </w:p>
    <w:p w14:paraId="4012C02E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Incidencias frecuentes en ICCU, manuales poco claros y tiempos de espera prolongados.</w:t>
      </w:r>
    </w:p>
    <w:p w14:paraId="2A6379E8" w14:textId="77777777" w:rsidR="001442CF" w:rsidRPr="001442CF" w:rsidRDefault="001442CF" w:rsidP="001442CF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Tecnología eléctrica</w:t>
      </w:r>
    </w:p>
    <w:p w14:paraId="454880EA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18,5 % de las valoraciones, pero satisfacción un 20 % inferior a gasolina.</w:t>
      </w:r>
    </w:p>
    <w:p w14:paraId="09865D5D" w14:textId="77777777" w:rsidR="001442CF" w:rsidRPr="001442CF" w:rsidRDefault="001442CF" w:rsidP="001442CF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Concentran las quejas de demoras y fallos técnicos.</w:t>
      </w:r>
    </w:p>
    <w:p w14:paraId="02B86FC9" w14:textId="1125D735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78A531EE" w14:textId="77777777" w:rsidR="001442CF" w:rsidRPr="001442CF" w:rsidRDefault="001442CF" w:rsidP="001442CF">
      <w:pPr>
        <w:pStyle w:val="Ttulo2"/>
      </w:pPr>
      <w:r w:rsidRPr="001442CF">
        <w:t>TEMPORALIDAD</w:t>
      </w:r>
    </w:p>
    <w:p w14:paraId="74797557" w14:textId="77777777" w:rsidR="001442CF" w:rsidRPr="001442CF" w:rsidRDefault="001442CF" w:rsidP="001442CF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Evolución mensual</w:t>
      </w:r>
      <w:r w:rsidRPr="001442CF">
        <w:rPr>
          <w:rFonts w:ascii="Calibri" w:hAnsi="Calibri" w:cs="Calibri"/>
        </w:rPr>
        <w:t>: satisfacción decreciente en marzo y abril tras pico en febrero.</w:t>
      </w:r>
    </w:p>
    <w:p w14:paraId="72978184" w14:textId="77777777" w:rsidR="001442CF" w:rsidRPr="001442CF" w:rsidRDefault="001442CF" w:rsidP="001442CF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Percepción de demora</w:t>
      </w:r>
    </w:p>
    <w:p w14:paraId="395088FC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Malo: espera &gt; 5 días</w:t>
      </w:r>
    </w:p>
    <w:p w14:paraId="61A3F1E7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Aceptable: 2–4 días</w:t>
      </w:r>
    </w:p>
    <w:p w14:paraId="69841A42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Excelente: &lt; 48 horas</w:t>
      </w:r>
    </w:p>
    <w:p w14:paraId="0BF05309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lastRenderedPageBreak/>
        <w:t>Un 17,7 % insiste en revisar procesos logísticos y planificar citas con mayor precisión.</w:t>
      </w:r>
    </w:p>
    <w:p w14:paraId="1DAE39D1" w14:textId="77777777" w:rsidR="001442CF" w:rsidRPr="001442CF" w:rsidRDefault="001442CF" w:rsidP="001442CF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Cobertura de datos</w:t>
      </w:r>
    </w:p>
    <w:p w14:paraId="3FECCD95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Algunos talleres no registran valoraciones en ciertos meses (ej. AKI MADRID AUTOMOCIÓN, variantes de nombre).</w:t>
      </w:r>
    </w:p>
    <w:p w14:paraId="7A97B1FB" w14:textId="77777777" w:rsidR="001442CF" w:rsidRPr="001442CF" w:rsidRDefault="001442CF" w:rsidP="001442CF">
      <w:pPr>
        <w:numPr>
          <w:ilvl w:val="1"/>
          <w:numId w:val="3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 xml:space="preserve">Riesgo de “puntos ciegos” por inconsistencias en la recogida de </w:t>
      </w:r>
      <w:proofErr w:type="spellStart"/>
      <w:r w:rsidRPr="001442CF">
        <w:rPr>
          <w:rFonts w:ascii="Calibri" w:hAnsi="Calibri" w:cs="Calibri"/>
        </w:rPr>
        <w:t>feedback</w:t>
      </w:r>
      <w:proofErr w:type="spellEnd"/>
      <w:r w:rsidRPr="001442CF">
        <w:rPr>
          <w:rFonts w:ascii="Calibri" w:hAnsi="Calibri" w:cs="Calibri"/>
        </w:rPr>
        <w:t>.</w:t>
      </w:r>
    </w:p>
    <w:p w14:paraId="2893D6C2" w14:textId="73BDC040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4AA28B98" w14:textId="77777777" w:rsidR="001442CF" w:rsidRPr="001442CF" w:rsidRDefault="001442CF" w:rsidP="001442CF">
      <w:pPr>
        <w:pStyle w:val="Ttulo2"/>
      </w:pPr>
      <w:r w:rsidRPr="001442CF">
        <w:t>TALLERES</w:t>
      </w:r>
    </w:p>
    <w:p w14:paraId="46C32CCA" w14:textId="40EEC17B" w:rsidR="001442CF" w:rsidRPr="001442CF" w:rsidRDefault="001442CF" w:rsidP="001442C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Peor puntuados (&lt; 5)</w:t>
      </w:r>
    </w:p>
    <w:tbl>
      <w:tblPr>
        <w:tblStyle w:val="Tablaconcuadrcula"/>
        <w:tblW w:w="8132" w:type="dxa"/>
        <w:tblInd w:w="360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</w:tblGrid>
      <w:tr w:rsidR="001442CF" w14:paraId="6005BD01" w14:textId="77777777" w:rsidTr="001442CF">
        <w:tc>
          <w:tcPr>
            <w:tcW w:w="2033" w:type="dxa"/>
            <w:shd w:val="clear" w:color="auto" w:fill="E8E8E8" w:themeFill="background2"/>
            <w:vAlign w:val="center"/>
          </w:tcPr>
          <w:p w14:paraId="03B3838E" w14:textId="4D8D1A6E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Taller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18CA85B4" w14:textId="393BC3FB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Media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2C780DD1" w14:textId="44DA3BBD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Valoraciones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14B6E7CD" w14:textId="0332AD69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% total</w:t>
            </w:r>
          </w:p>
        </w:tc>
      </w:tr>
      <w:tr w:rsidR="001442CF" w14:paraId="06B7EDF8" w14:textId="77777777" w:rsidTr="001442CF">
        <w:tc>
          <w:tcPr>
            <w:tcW w:w="2033" w:type="dxa"/>
            <w:vAlign w:val="center"/>
          </w:tcPr>
          <w:p w14:paraId="14B29F57" w14:textId="4A335043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TALENTO MOTOR, S.L.</w:t>
            </w:r>
          </w:p>
        </w:tc>
        <w:tc>
          <w:tcPr>
            <w:tcW w:w="2033" w:type="dxa"/>
            <w:vAlign w:val="center"/>
          </w:tcPr>
          <w:p w14:paraId="2397839B" w14:textId="2D9B003F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2,75</w:t>
            </w:r>
          </w:p>
        </w:tc>
        <w:tc>
          <w:tcPr>
            <w:tcW w:w="2033" w:type="dxa"/>
            <w:vAlign w:val="center"/>
          </w:tcPr>
          <w:p w14:paraId="06A0913A" w14:textId="2E653C91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4</w:t>
            </w:r>
          </w:p>
        </w:tc>
        <w:tc>
          <w:tcPr>
            <w:tcW w:w="2033" w:type="dxa"/>
            <w:vAlign w:val="center"/>
          </w:tcPr>
          <w:p w14:paraId="58F00F39" w14:textId="7CD14BAE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1,6 %</w:t>
            </w:r>
          </w:p>
        </w:tc>
      </w:tr>
      <w:tr w:rsidR="001442CF" w14:paraId="442A1C28" w14:textId="77777777" w:rsidTr="001442CF">
        <w:tc>
          <w:tcPr>
            <w:tcW w:w="2033" w:type="dxa"/>
            <w:vAlign w:val="center"/>
          </w:tcPr>
          <w:p w14:paraId="6033DD2F" w14:textId="04515D95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MOBILIFY ALJARAFE, S.L.</w:t>
            </w:r>
          </w:p>
        </w:tc>
        <w:tc>
          <w:tcPr>
            <w:tcW w:w="2033" w:type="dxa"/>
            <w:vAlign w:val="center"/>
          </w:tcPr>
          <w:p w14:paraId="40B93D0D" w14:textId="407FCAE9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3,33</w:t>
            </w:r>
          </w:p>
        </w:tc>
        <w:tc>
          <w:tcPr>
            <w:tcW w:w="2033" w:type="dxa"/>
            <w:vAlign w:val="center"/>
          </w:tcPr>
          <w:p w14:paraId="1D67E18F" w14:textId="019825D0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</w:t>
            </w:r>
          </w:p>
        </w:tc>
        <w:tc>
          <w:tcPr>
            <w:tcW w:w="2033" w:type="dxa"/>
            <w:vAlign w:val="center"/>
          </w:tcPr>
          <w:p w14:paraId="3544E984" w14:textId="44EF55E2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1,2 %</w:t>
            </w:r>
          </w:p>
        </w:tc>
      </w:tr>
      <w:tr w:rsidR="001442CF" w14:paraId="7091C0C1" w14:textId="77777777" w:rsidTr="001442CF">
        <w:tc>
          <w:tcPr>
            <w:tcW w:w="2033" w:type="dxa"/>
            <w:vAlign w:val="center"/>
          </w:tcPr>
          <w:p w14:paraId="5625E146" w14:textId="2CBE9738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MAS MOTOR, S.A.</w:t>
            </w:r>
          </w:p>
        </w:tc>
        <w:tc>
          <w:tcPr>
            <w:tcW w:w="2033" w:type="dxa"/>
            <w:vAlign w:val="center"/>
          </w:tcPr>
          <w:p w14:paraId="064019BE" w14:textId="26BC15AA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3,71</w:t>
            </w:r>
          </w:p>
        </w:tc>
        <w:tc>
          <w:tcPr>
            <w:tcW w:w="2033" w:type="dxa"/>
            <w:vAlign w:val="center"/>
          </w:tcPr>
          <w:p w14:paraId="6428434C" w14:textId="1897D7D4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7</w:t>
            </w:r>
          </w:p>
        </w:tc>
        <w:tc>
          <w:tcPr>
            <w:tcW w:w="2033" w:type="dxa"/>
            <w:vAlign w:val="center"/>
          </w:tcPr>
          <w:p w14:paraId="77AA9A11" w14:textId="143F94EB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2,8 %</w:t>
            </w:r>
          </w:p>
        </w:tc>
      </w:tr>
    </w:tbl>
    <w:p w14:paraId="45A792F1" w14:textId="77777777" w:rsidR="001442CF" w:rsidRPr="001442CF" w:rsidRDefault="001442CF" w:rsidP="001442CF">
      <w:pPr>
        <w:ind w:left="720"/>
        <w:jc w:val="both"/>
        <w:rPr>
          <w:rFonts w:ascii="Calibri" w:hAnsi="Calibri" w:cs="Calibri"/>
        </w:rPr>
      </w:pPr>
    </w:p>
    <w:p w14:paraId="2A91BFF8" w14:textId="3ED9D405" w:rsidR="001442CF" w:rsidRPr="001442CF" w:rsidRDefault="001442CF" w:rsidP="001442C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Razones detectadas</w:t>
      </w:r>
      <w:r w:rsidRPr="001442CF">
        <w:rPr>
          <w:rFonts w:ascii="Calibri" w:hAnsi="Calibri" w:cs="Calibri"/>
        </w:rPr>
        <w:t>: largas esperas (&gt; 1 semana), seguimientos deficientes, reparaciones incompletas.</w:t>
      </w:r>
    </w:p>
    <w:p w14:paraId="347E57A6" w14:textId="77777777" w:rsidR="001442CF" w:rsidRDefault="001442CF" w:rsidP="001442C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Mejor puntuados</w:t>
      </w:r>
      <w:r w:rsidRPr="001442CF">
        <w:rPr>
          <w:rFonts w:ascii="Calibri" w:hAnsi="Calibri" w:cs="Calibri"/>
        </w:rPr>
        <w:t xml:space="preserve"> (≥ 3 valoraciones)</w:t>
      </w:r>
    </w:p>
    <w:tbl>
      <w:tblPr>
        <w:tblStyle w:val="Tablaconcuadrcula"/>
        <w:tblW w:w="8132" w:type="dxa"/>
        <w:tblInd w:w="360" w:type="dxa"/>
        <w:tblLook w:val="04A0" w:firstRow="1" w:lastRow="0" w:firstColumn="1" w:lastColumn="0" w:noHBand="0" w:noVBand="1"/>
      </w:tblPr>
      <w:tblGrid>
        <w:gridCol w:w="2033"/>
        <w:gridCol w:w="2033"/>
        <w:gridCol w:w="2033"/>
        <w:gridCol w:w="2033"/>
      </w:tblGrid>
      <w:tr w:rsidR="001442CF" w14:paraId="786AED7C" w14:textId="77777777" w:rsidTr="001442CF">
        <w:tc>
          <w:tcPr>
            <w:tcW w:w="2033" w:type="dxa"/>
            <w:shd w:val="clear" w:color="auto" w:fill="E8E8E8" w:themeFill="background2"/>
            <w:vAlign w:val="center"/>
          </w:tcPr>
          <w:p w14:paraId="66586F9E" w14:textId="736CDE46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Taller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69BEE71F" w14:textId="32981433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Media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5BB59196" w14:textId="0F4BAA3E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Valoraciones</w:t>
            </w:r>
          </w:p>
        </w:tc>
        <w:tc>
          <w:tcPr>
            <w:tcW w:w="2033" w:type="dxa"/>
            <w:shd w:val="clear" w:color="auto" w:fill="E8E8E8" w:themeFill="background2"/>
            <w:vAlign w:val="center"/>
          </w:tcPr>
          <w:p w14:paraId="5F9F14F6" w14:textId="64CECB76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  <w:b/>
                <w:bCs/>
              </w:rPr>
              <w:t>% total</w:t>
            </w:r>
          </w:p>
        </w:tc>
      </w:tr>
      <w:tr w:rsidR="001442CF" w14:paraId="54B05C99" w14:textId="77777777" w:rsidTr="001442CF">
        <w:tc>
          <w:tcPr>
            <w:tcW w:w="2033" w:type="dxa"/>
            <w:vAlign w:val="center"/>
          </w:tcPr>
          <w:p w14:paraId="5123B8F7" w14:textId="6C605DE2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AKI MADRID AUTOMOCIÓN, S.L.</w:t>
            </w:r>
          </w:p>
        </w:tc>
        <w:tc>
          <w:tcPr>
            <w:tcW w:w="2033" w:type="dxa"/>
            <w:vAlign w:val="center"/>
          </w:tcPr>
          <w:p w14:paraId="627BBF75" w14:textId="47FE9625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8,00</w:t>
            </w:r>
          </w:p>
        </w:tc>
        <w:tc>
          <w:tcPr>
            <w:tcW w:w="2033" w:type="dxa"/>
            <w:vAlign w:val="center"/>
          </w:tcPr>
          <w:p w14:paraId="406CE2A4" w14:textId="0CD2EAC7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4</w:t>
            </w:r>
          </w:p>
        </w:tc>
        <w:tc>
          <w:tcPr>
            <w:tcW w:w="2033" w:type="dxa"/>
            <w:vAlign w:val="center"/>
          </w:tcPr>
          <w:p w14:paraId="2C3F8013" w14:textId="128585E6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1,6 %</w:t>
            </w:r>
          </w:p>
        </w:tc>
      </w:tr>
      <w:tr w:rsidR="001442CF" w14:paraId="7A3BA2D1" w14:textId="77777777" w:rsidTr="001442CF">
        <w:tc>
          <w:tcPr>
            <w:tcW w:w="2033" w:type="dxa"/>
            <w:vAlign w:val="center"/>
          </w:tcPr>
          <w:p w14:paraId="63905599" w14:textId="276E8579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AUTOS SELIKAR, S.L.</w:t>
            </w:r>
          </w:p>
        </w:tc>
        <w:tc>
          <w:tcPr>
            <w:tcW w:w="2033" w:type="dxa"/>
            <w:vAlign w:val="center"/>
          </w:tcPr>
          <w:p w14:paraId="3330C4D2" w14:textId="56034048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8,00</w:t>
            </w:r>
          </w:p>
        </w:tc>
        <w:tc>
          <w:tcPr>
            <w:tcW w:w="2033" w:type="dxa"/>
            <w:vAlign w:val="center"/>
          </w:tcPr>
          <w:p w14:paraId="70FB77E4" w14:textId="55C5F561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3</w:t>
            </w:r>
          </w:p>
        </w:tc>
        <w:tc>
          <w:tcPr>
            <w:tcW w:w="2033" w:type="dxa"/>
            <w:vAlign w:val="center"/>
          </w:tcPr>
          <w:p w14:paraId="7A334A3B" w14:textId="2663614F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1,2 %</w:t>
            </w:r>
          </w:p>
        </w:tc>
      </w:tr>
      <w:tr w:rsidR="001442CF" w14:paraId="7D596BC5" w14:textId="77777777" w:rsidTr="001442CF">
        <w:tc>
          <w:tcPr>
            <w:tcW w:w="2033" w:type="dxa"/>
            <w:vAlign w:val="center"/>
          </w:tcPr>
          <w:p w14:paraId="32701BCC" w14:textId="4D98C9B9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AUTO VIDAL Y TALLERES, S.L.</w:t>
            </w:r>
          </w:p>
        </w:tc>
        <w:tc>
          <w:tcPr>
            <w:tcW w:w="2033" w:type="dxa"/>
            <w:vAlign w:val="center"/>
          </w:tcPr>
          <w:p w14:paraId="11E71E67" w14:textId="797F969F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7,75</w:t>
            </w:r>
          </w:p>
        </w:tc>
        <w:tc>
          <w:tcPr>
            <w:tcW w:w="2033" w:type="dxa"/>
            <w:vAlign w:val="center"/>
          </w:tcPr>
          <w:p w14:paraId="6A861F38" w14:textId="2EC2387D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4</w:t>
            </w:r>
          </w:p>
        </w:tc>
        <w:tc>
          <w:tcPr>
            <w:tcW w:w="2033" w:type="dxa"/>
            <w:vAlign w:val="center"/>
          </w:tcPr>
          <w:p w14:paraId="3668A453" w14:textId="6BFDEE72" w:rsidR="001442CF" w:rsidRDefault="001442CF" w:rsidP="001442CF">
            <w:pPr>
              <w:jc w:val="both"/>
              <w:rPr>
                <w:rFonts w:ascii="Calibri" w:hAnsi="Calibri" w:cs="Calibri"/>
              </w:rPr>
            </w:pPr>
            <w:r w:rsidRPr="001442CF">
              <w:rPr>
                <w:rFonts w:ascii="Calibri" w:hAnsi="Calibri" w:cs="Calibri"/>
              </w:rPr>
              <w:t>1,6 %</w:t>
            </w:r>
          </w:p>
        </w:tc>
      </w:tr>
    </w:tbl>
    <w:p w14:paraId="187A0497" w14:textId="77777777" w:rsidR="001442CF" w:rsidRPr="001442CF" w:rsidRDefault="001442CF" w:rsidP="001442CF">
      <w:pPr>
        <w:ind w:left="360"/>
        <w:jc w:val="both"/>
        <w:rPr>
          <w:rFonts w:ascii="Calibri" w:hAnsi="Calibri" w:cs="Calibri"/>
        </w:rPr>
      </w:pPr>
    </w:p>
    <w:p w14:paraId="66400D49" w14:textId="77777777" w:rsidR="001442CF" w:rsidRPr="001442CF" w:rsidRDefault="001442CF" w:rsidP="001442C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Puntos fuertes</w:t>
      </w:r>
    </w:p>
    <w:p w14:paraId="424A92F2" w14:textId="77777777" w:rsidR="001442CF" w:rsidRPr="001442CF" w:rsidRDefault="001442CF" w:rsidP="001442CF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Atención personalizada y ágil proceso de entrega.</w:t>
      </w:r>
    </w:p>
    <w:p w14:paraId="41F41732" w14:textId="77777777" w:rsidR="001442CF" w:rsidRPr="001442CF" w:rsidRDefault="001442CF" w:rsidP="001442CF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Resolución proactiva de incidencias.</w:t>
      </w:r>
    </w:p>
    <w:p w14:paraId="4C2AA55E" w14:textId="77777777" w:rsidR="001442CF" w:rsidRPr="001442CF" w:rsidRDefault="001442CF" w:rsidP="001442CF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>Trato cercano y adaptado a cada cliente.</w:t>
      </w:r>
    </w:p>
    <w:p w14:paraId="1B16D693" w14:textId="77777777" w:rsidR="001442CF" w:rsidRPr="001442CF" w:rsidRDefault="001442CF" w:rsidP="001442C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Diferencias clave en comentarios</w:t>
      </w:r>
    </w:p>
    <w:p w14:paraId="56328D8F" w14:textId="77777777" w:rsidR="001442CF" w:rsidRPr="001442CF" w:rsidRDefault="001442CF" w:rsidP="001442CF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Baja satisfacción</w:t>
      </w:r>
      <w:r w:rsidRPr="001442CF">
        <w:rPr>
          <w:rFonts w:ascii="Calibri" w:hAnsi="Calibri" w:cs="Calibri"/>
        </w:rPr>
        <w:t>: enfoque técnico, largas esperas, falta de comunicación.</w:t>
      </w:r>
    </w:p>
    <w:p w14:paraId="6C6D7DB7" w14:textId="77777777" w:rsidR="001442CF" w:rsidRPr="001442CF" w:rsidRDefault="001442CF" w:rsidP="001442CF">
      <w:pPr>
        <w:numPr>
          <w:ilvl w:val="1"/>
          <w:numId w:val="4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lastRenderedPageBreak/>
        <w:t>Alta satisfacción</w:t>
      </w:r>
      <w:r w:rsidRPr="001442CF">
        <w:rPr>
          <w:rFonts w:ascii="Calibri" w:hAnsi="Calibri" w:cs="Calibri"/>
        </w:rPr>
        <w:t>: trato personalizado, rapidez en recogida/entrega, proactividad.</w:t>
      </w:r>
    </w:p>
    <w:p w14:paraId="3F7CBC5B" w14:textId="518559B3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2F52D809" w14:textId="77777777" w:rsidR="001442CF" w:rsidRPr="001442CF" w:rsidRDefault="001442CF" w:rsidP="001442CF">
      <w:pPr>
        <w:pStyle w:val="Ttulo2"/>
      </w:pPr>
      <w:r w:rsidRPr="001442CF">
        <w:t>MODELOS Y TECNOLOGÍA</w:t>
      </w:r>
    </w:p>
    <w:tbl>
      <w:tblPr>
        <w:tblStyle w:val="Tablaconcuadrcula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442CF" w:rsidRPr="001442CF" w14:paraId="2FEEF350" w14:textId="77777777" w:rsidTr="001442CF">
        <w:tc>
          <w:tcPr>
            <w:tcW w:w="2123" w:type="dxa"/>
            <w:shd w:val="clear" w:color="auto" w:fill="E8E8E8" w:themeFill="background2"/>
            <w:vAlign w:val="center"/>
          </w:tcPr>
          <w:p w14:paraId="329B18C6" w14:textId="1B7D3264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  <w:b/>
                <w:bCs/>
              </w:rPr>
              <w:t>Tecnología</w:t>
            </w:r>
          </w:p>
        </w:tc>
        <w:tc>
          <w:tcPr>
            <w:tcW w:w="2123" w:type="dxa"/>
            <w:shd w:val="clear" w:color="auto" w:fill="E8E8E8" w:themeFill="background2"/>
            <w:vAlign w:val="center"/>
          </w:tcPr>
          <w:p w14:paraId="0312268C" w14:textId="2D02DDED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  <w:b/>
                <w:bCs/>
              </w:rPr>
              <w:t>Media</w:t>
            </w:r>
          </w:p>
        </w:tc>
        <w:tc>
          <w:tcPr>
            <w:tcW w:w="2123" w:type="dxa"/>
            <w:shd w:val="clear" w:color="auto" w:fill="E8E8E8" w:themeFill="background2"/>
            <w:vAlign w:val="center"/>
          </w:tcPr>
          <w:p w14:paraId="6A5D6854" w14:textId="62089E65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  <w:b/>
                <w:bCs/>
              </w:rPr>
              <w:t>Valoraciones</w:t>
            </w:r>
          </w:p>
        </w:tc>
        <w:tc>
          <w:tcPr>
            <w:tcW w:w="2123" w:type="dxa"/>
            <w:shd w:val="clear" w:color="auto" w:fill="E8E8E8" w:themeFill="background2"/>
            <w:vAlign w:val="center"/>
          </w:tcPr>
          <w:p w14:paraId="1C784373" w14:textId="7FB16599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  <w:b/>
                <w:bCs/>
              </w:rPr>
              <w:t>% total</w:t>
            </w:r>
          </w:p>
        </w:tc>
      </w:tr>
      <w:tr w:rsidR="001442CF" w:rsidRPr="001442CF" w14:paraId="341CC963" w14:textId="77777777" w:rsidTr="001442CF">
        <w:tc>
          <w:tcPr>
            <w:tcW w:w="2123" w:type="dxa"/>
            <w:vAlign w:val="center"/>
          </w:tcPr>
          <w:p w14:paraId="08E0AB71" w14:textId="5393A7C6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Gasolina</w:t>
            </w:r>
          </w:p>
        </w:tc>
        <w:tc>
          <w:tcPr>
            <w:tcW w:w="2123" w:type="dxa"/>
            <w:vAlign w:val="center"/>
          </w:tcPr>
          <w:p w14:paraId="2E1DC7D2" w14:textId="6298473F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6,81</w:t>
            </w:r>
          </w:p>
        </w:tc>
        <w:tc>
          <w:tcPr>
            <w:tcW w:w="2123" w:type="dxa"/>
            <w:vAlign w:val="center"/>
          </w:tcPr>
          <w:p w14:paraId="47879EDA" w14:textId="06F22072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121</w:t>
            </w:r>
          </w:p>
        </w:tc>
        <w:tc>
          <w:tcPr>
            <w:tcW w:w="2123" w:type="dxa"/>
            <w:vAlign w:val="center"/>
          </w:tcPr>
          <w:p w14:paraId="38E5E9B0" w14:textId="11D35FC0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48,6 %</w:t>
            </w:r>
          </w:p>
        </w:tc>
      </w:tr>
      <w:tr w:rsidR="001442CF" w:rsidRPr="001442CF" w14:paraId="71B5666F" w14:textId="77777777" w:rsidTr="001442CF">
        <w:tc>
          <w:tcPr>
            <w:tcW w:w="2123" w:type="dxa"/>
            <w:vAlign w:val="center"/>
          </w:tcPr>
          <w:p w14:paraId="08A349E9" w14:textId="750D1446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Híbrido</w:t>
            </w:r>
          </w:p>
        </w:tc>
        <w:tc>
          <w:tcPr>
            <w:tcW w:w="2123" w:type="dxa"/>
            <w:vAlign w:val="center"/>
          </w:tcPr>
          <w:p w14:paraId="7B57371F" w14:textId="11CFC53B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6,41</w:t>
            </w:r>
          </w:p>
        </w:tc>
        <w:tc>
          <w:tcPr>
            <w:tcW w:w="2123" w:type="dxa"/>
            <w:vAlign w:val="center"/>
          </w:tcPr>
          <w:p w14:paraId="5BEAAB67" w14:textId="6ACE2F63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82</w:t>
            </w:r>
          </w:p>
        </w:tc>
        <w:tc>
          <w:tcPr>
            <w:tcW w:w="2123" w:type="dxa"/>
            <w:vAlign w:val="center"/>
          </w:tcPr>
          <w:p w14:paraId="54BE7418" w14:textId="02FCE9B2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32,9 %</w:t>
            </w:r>
          </w:p>
        </w:tc>
      </w:tr>
      <w:tr w:rsidR="001442CF" w:rsidRPr="001442CF" w14:paraId="2CB9F545" w14:textId="77777777" w:rsidTr="001442CF">
        <w:tc>
          <w:tcPr>
            <w:tcW w:w="2123" w:type="dxa"/>
            <w:vAlign w:val="center"/>
          </w:tcPr>
          <w:p w14:paraId="15007D6C" w14:textId="3B9E078A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Eléctrico</w:t>
            </w:r>
          </w:p>
        </w:tc>
        <w:tc>
          <w:tcPr>
            <w:tcW w:w="2123" w:type="dxa"/>
            <w:vAlign w:val="center"/>
          </w:tcPr>
          <w:p w14:paraId="4ED854ED" w14:textId="3894039D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5,24</w:t>
            </w:r>
          </w:p>
        </w:tc>
        <w:tc>
          <w:tcPr>
            <w:tcW w:w="2123" w:type="dxa"/>
            <w:vAlign w:val="center"/>
          </w:tcPr>
          <w:p w14:paraId="5C3EE6E1" w14:textId="215B7DA5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46</w:t>
            </w:r>
          </w:p>
        </w:tc>
        <w:tc>
          <w:tcPr>
            <w:tcW w:w="2123" w:type="dxa"/>
            <w:vAlign w:val="center"/>
          </w:tcPr>
          <w:p w14:paraId="742C3D52" w14:textId="4DEFF417" w:rsidR="001442CF" w:rsidRPr="001442CF" w:rsidRDefault="001442CF" w:rsidP="001442CF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442CF">
              <w:rPr>
                <w:rFonts w:ascii="Calibri" w:hAnsi="Calibri" w:cs="Calibri"/>
              </w:rPr>
              <w:t>18,5 %</w:t>
            </w:r>
          </w:p>
        </w:tc>
      </w:tr>
    </w:tbl>
    <w:p w14:paraId="4C6CD597" w14:textId="77777777" w:rsidR="001442CF" w:rsidRPr="001442CF" w:rsidRDefault="001442CF" w:rsidP="001442CF">
      <w:pPr>
        <w:jc w:val="both"/>
        <w:rPr>
          <w:rFonts w:ascii="Calibri" w:hAnsi="Calibri" w:cs="Calibri"/>
          <w:b/>
          <w:bCs/>
        </w:rPr>
      </w:pPr>
    </w:p>
    <w:p w14:paraId="04140839" w14:textId="77777777" w:rsidR="001442CF" w:rsidRPr="001442CF" w:rsidRDefault="001442CF" w:rsidP="001442CF">
      <w:pPr>
        <w:jc w:val="both"/>
        <w:rPr>
          <w:rFonts w:ascii="Calibri" w:hAnsi="Calibri" w:cs="Calibri"/>
          <w:b/>
          <w:bCs/>
        </w:rPr>
      </w:pPr>
    </w:p>
    <w:p w14:paraId="0081205E" w14:textId="77777777" w:rsidR="001442CF" w:rsidRPr="001442CF" w:rsidRDefault="001442CF" w:rsidP="001442CF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EV3(SV)</w:t>
      </w:r>
      <w:r w:rsidRPr="001442CF">
        <w:rPr>
          <w:rFonts w:ascii="Calibri" w:hAnsi="Calibri" w:cs="Calibri"/>
        </w:rPr>
        <w:t xml:space="preserve"> (40 valoraciones, 16,1 %): media 4,93.</w:t>
      </w:r>
      <w:r w:rsidRPr="001442CF">
        <w:rPr>
          <w:rFonts w:ascii="Calibri" w:hAnsi="Calibri" w:cs="Calibri"/>
        </w:rPr>
        <w:br/>
        <w:t>Incidencias recurrentes en ICCU, manuales confusos y demoras de hasta 2 semanas.</w:t>
      </w:r>
    </w:p>
    <w:p w14:paraId="74C364AD" w14:textId="77777777" w:rsidR="001442CF" w:rsidRPr="001442CF" w:rsidRDefault="001442CF" w:rsidP="001442CF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</w:rPr>
        <w:t xml:space="preserve">En </w:t>
      </w:r>
      <w:r w:rsidRPr="001442CF">
        <w:rPr>
          <w:rFonts w:ascii="Calibri" w:hAnsi="Calibri" w:cs="Calibri"/>
          <w:b/>
          <w:bCs/>
        </w:rPr>
        <w:t>Talento Motor</w:t>
      </w:r>
      <w:r w:rsidRPr="001442CF">
        <w:rPr>
          <w:rFonts w:ascii="Calibri" w:hAnsi="Calibri" w:cs="Calibri"/>
        </w:rPr>
        <w:t xml:space="preserve"> y </w:t>
      </w:r>
      <w:r w:rsidRPr="001442CF">
        <w:rPr>
          <w:rFonts w:ascii="Calibri" w:hAnsi="Calibri" w:cs="Calibri"/>
          <w:b/>
          <w:bCs/>
        </w:rPr>
        <w:t>Mas Motor</w:t>
      </w:r>
      <w:r w:rsidRPr="001442CF">
        <w:rPr>
          <w:rFonts w:ascii="Calibri" w:hAnsi="Calibri" w:cs="Calibri"/>
        </w:rPr>
        <w:t xml:space="preserve">, el EV3 concentra casi todas las quejas de eléctricos; en </w:t>
      </w:r>
      <w:r w:rsidRPr="001442CF">
        <w:rPr>
          <w:rFonts w:ascii="Calibri" w:hAnsi="Calibri" w:cs="Calibri"/>
          <w:b/>
          <w:bCs/>
        </w:rPr>
        <w:t xml:space="preserve">Autos </w:t>
      </w:r>
      <w:proofErr w:type="spellStart"/>
      <w:r w:rsidRPr="001442CF">
        <w:rPr>
          <w:rFonts w:ascii="Calibri" w:hAnsi="Calibri" w:cs="Calibri"/>
          <w:b/>
          <w:bCs/>
        </w:rPr>
        <w:t>Selikar</w:t>
      </w:r>
      <w:proofErr w:type="spellEnd"/>
      <w:r w:rsidRPr="001442CF">
        <w:rPr>
          <w:rFonts w:ascii="Calibri" w:hAnsi="Calibri" w:cs="Calibri"/>
        </w:rPr>
        <w:t xml:space="preserve"> y </w:t>
      </w:r>
      <w:r w:rsidRPr="001442CF">
        <w:rPr>
          <w:rFonts w:ascii="Calibri" w:hAnsi="Calibri" w:cs="Calibri"/>
          <w:b/>
          <w:bCs/>
        </w:rPr>
        <w:t>Auto Vidal</w:t>
      </w:r>
      <w:r w:rsidRPr="001442CF">
        <w:rPr>
          <w:rFonts w:ascii="Calibri" w:hAnsi="Calibri" w:cs="Calibri"/>
        </w:rPr>
        <w:t>, obtiene valoraciones por encima de 6.</w:t>
      </w:r>
    </w:p>
    <w:p w14:paraId="6FEE60D6" w14:textId="77777777" w:rsidR="001442CF" w:rsidRPr="001442CF" w:rsidRDefault="001442CF" w:rsidP="001442CF">
      <w:pPr>
        <w:jc w:val="both"/>
        <w:rPr>
          <w:rFonts w:ascii="Calibri" w:hAnsi="Calibri" w:cs="Calibri"/>
        </w:rPr>
      </w:pPr>
    </w:p>
    <w:p w14:paraId="48765A41" w14:textId="38E6238B" w:rsidR="001442CF" w:rsidRPr="001442CF" w:rsidRDefault="001442CF" w:rsidP="001442CF">
      <w:pPr>
        <w:pStyle w:val="Ttulo2"/>
      </w:pPr>
      <w:r w:rsidRPr="001442CF">
        <w:t>CONCLUSIONES</w:t>
      </w:r>
    </w:p>
    <w:p w14:paraId="7F714A6C" w14:textId="77777777" w:rsidR="001442CF" w:rsidRPr="001442CF" w:rsidRDefault="001442CF" w:rsidP="001442C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Optimizar gestión de citas y tiempos de taller</w:t>
      </w:r>
      <w:r w:rsidRPr="001442CF">
        <w:rPr>
          <w:rFonts w:ascii="Calibri" w:hAnsi="Calibri" w:cs="Calibri"/>
        </w:rPr>
        <w:t xml:space="preserve"> para reducir demoras que penalizan la satisfacción (17,7 % menciones, media 5,16).</w:t>
      </w:r>
    </w:p>
    <w:p w14:paraId="38411722" w14:textId="77777777" w:rsidR="001442CF" w:rsidRPr="001442CF" w:rsidRDefault="001442CF" w:rsidP="001442C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Reforzar postventa de eléctricos</w:t>
      </w:r>
      <w:r w:rsidRPr="001442CF">
        <w:rPr>
          <w:rFonts w:ascii="Calibri" w:hAnsi="Calibri" w:cs="Calibri"/>
        </w:rPr>
        <w:t>, especialmente EV3(SV): revisar manuales, software ICCU y cadena de recambios.</w:t>
      </w:r>
    </w:p>
    <w:p w14:paraId="34213D9B" w14:textId="77777777" w:rsidR="001442CF" w:rsidRPr="001442CF" w:rsidRDefault="001442CF" w:rsidP="001442C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 xml:space="preserve">Estandarizar recogida de </w:t>
      </w:r>
      <w:proofErr w:type="spellStart"/>
      <w:r w:rsidRPr="001442CF">
        <w:rPr>
          <w:rFonts w:ascii="Calibri" w:hAnsi="Calibri" w:cs="Calibri"/>
          <w:b/>
          <w:bCs/>
        </w:rPr>
        <w:t>feedback</w:t>
      </w:r>
      <w:proofErr w:type="spellEnd"/>
      <w:r w:rsidRPr="001442CF">
        <w:rPr>
          <w:rFonts w:ascii="Calibri" w:hAnsi="Calibri" w:cs="Calibri"/>
        </w:rPr>
        <w:t xml:space="preserve"> (nomenclatura de talleres y periodicidad) para evitar puntos ciegos.</w:t>
      </w:r>
    </w:p>
    <w:p w14:paraId="7A453D5F" w14:textId="77777777" w:rsidR="001442CF" w:rsidRPr="001442CF" w:rsidRDefault="001442CF" w:rsidP="001442C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1442CF">
        <w:rPr>
          <w:rFonts w:ascii="Calibri" w:hAnsi="Calibri" w:cs="Calibri"/>
          <w:b/>
          <w:bCs/>
        </w:rPr>
        <w:t>Escalar buenas prácticas</w:t>
      </w:r>
      <w:r w:rsidRPr="001442CF">
        <w:rPr>
          <w:rFonts w:ascii="Calibri" w:hAnsi="Calibri" w:cs="Calibri"/>
        </w:rPr>
        <w:t xml:space="preserve"> de los top 3 talleres (trato personalizado, agilidad y proactividad) al resto de la red.</w:t>
      </w:r>
    </w:p>
    <w:p w14:paraId="536773B7" w14:textId="77777777" w:rsidR="001442CF" w:rsidRDefault="001442CF"/>
    <w:sectPr w:rsidR="001442C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E324D" w14:textId="77777777" w:rsidR="00A6497B" w:rsidRDefault="00A6497B" w:rsidP="001442CF">
      <w:pPr>
        <w:spacing w:after="0" w:line="240" w:lineRule="auto"/>
      </w:pPr>
      <w:r>
        <w:separator/>
      </w:r>
    </w:p>
  </w:endnote>
  <w:endnote w:type="continuationSeparator" w:id="0">
    <w:p w14:paraId="453E2D21" w14:textId="77777777" w:rsidR="00A6497B" w:rsidRDefault="00A6497B" w:rsidP="0014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A3A3D" w14:textId="22A532AB" w:rsidR="008B52C6" w:rsidRDefault="008B52C6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6BABB8" wp14:editId="2A40AEA7">
          <wp:simplePos x="0" y="0"/>
          <wp:positionH relativeFrom="margin">
            <wp:posOffset>4725035</wp:posOffset>
          </wp:positionH>
          <wp:positionV relativeFrom="paragraph">
            <wp:posOffset>-189956</wp:posOffset>
          </wp:positionV>
          <wp:extent cx="728980" cy="254635"/>
          <wp:effectExtent l="0" t="0" r="0" b="0"/>
          <wp:wrapThrough wrapText="bothSides">
            <wp:wrapPolygon edited="0">
              <wp:start x="6209" y="0"/>
              <wp:lineTo x="1129" y="1616"/>
              <wp:lineTo x="0" y="6464"/>
              <wp:lineTo x="1129" y="19392"/>
              <wp:lineTo x="20321" y="19392"/>
              <wp:lineTo x="20885" y="4848"/>
              <wp:lineTo x="18627" y="1616"/>
              <wp:lineTo x="8467" y="0"/>
              <wp:lineTo x="6209" y="0"/>
            </wp:wrapPolygon>
          </wp:wrapThrough>
          <wp:docPr id="1683808410" name="Imagen 2" descr="Imagen que contiene objeto, plato, dibujo, reloj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3808410" name="Imagen 2" descr="Imagen que contiene objeto, plato, dibujo, reloj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980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E5061CF" wp14:editId="36959846">
          <wp:simplePos x="0" y="0"/>
          <wp:positionH relativeFrom="margin">
            <wp:posOffset>0</wp:posOffset>
          </wp:positionH>
          <wp:positionV relativeFrom="paragraph">
            <wp:posOffset>-153579</wp:posOffset>
          </wp:positionV>
          <wp:extent cx="989965" cy="247015"/>
          <wp:effectExtent l="0" t="0" r="635" b="635"/>
          <wp:wrapThrough wrapText="bothSides">
            <wp:wrapPolygon edited="0">
              <wp:start x="831" y="0"/>
              <wp:lineTo x="0" y="3332"/>
              <wp:lineTo x="0" y="19990"/>
              <wp:lineTo x="20367" y="19990"/>
              <wp:lineTo x="21198" y="16658"/>
              <wp:lineTo x="21198" y="0"/>
              <wp:lineTo x="831" y="0"/>
            </wp:wrapPolygon>
          </wp:wrapThrough>
          <wp:docPr id="998696039" name="Imagen 1" descr="Pantalla de computadora con fondo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696039" name="Imagen 1" descr="Pantalla de computadora con fondo negr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24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8E66" w14:textId="77777777" w:rsidR="00A6497B" w:rsidRDefault="00A6497B" w:rsidP="001442CF">
      <w:pPr>
        <w:spacing w:after="0" w:line="240" w:lineRule="auto"/>
      </w:pPr>
      <w:r>
        <w:separator/>
      </w:r>
    </w:p>
  </w:footnote>
  <w:footnote w:type="continuationSeparator" w:id="0">
    <w:p w14:paraId="40059971" w14:textId="77777777" w:rsidR="00A6497B" w:rsidRDefault="00A6497B" w:rsidP="00144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33D"/>
    <w:multiLevelType w:val="multilevel"/>
    <w:tmpl w:val="D22A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6195"/>
    <w:multiLevelType w:val="multilevel"/>
    <w:tmpl w:val="A19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60947"/>
    <w:multiLevelType w:val="multilevel"/>
    <w:tmpl w:val="26E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86CAC"/>
    <w:multiLevelType w:val="multilevel"/>
    <w:tmpl w:val="C3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665A"/>
    <w:multiLevelType w:val="multilevel"/>
    <w:tmpl w:val="97BE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E64ED"/>
    <w:multiLevelType w:val="multilevel"/>
    <w:tmpl w:val="3E5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73044"/>
    <w:multiLevelType w:val="multilevel"/>
    <w:tmpl w:val="DC82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03590">
    <w:abstractNumId w:val="5"/>
  </w:num>
  <w:num w:numId="2" w16cid:durableId="2080638508">
    <w:abstractNumId w:val="6"/>
  </w:num>
  <w:num w:numId="3" w16cid:durableId="275915084">
    <w:abstractNumId w:val="4"/>
  </w:num>
  <w:num w:numId="4" w16cid:durableId="200216325">
    <w:abstractNumId w:val="0"/>
  </w:num>
  <w:num w:numId="5" w16cid:durableId="541795605">
    <w:abstractNumId w:val="2"/>
  </w:num>
  <w:num w:numId="6" w16cid:durableId="239677537">
    <w:abstractNumId w:val="3"/>
  </w:num>
  <w:num w:numId="7" w16cid:durableId="32115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CF"/>
    <w:rsid w:val="001442CF"/>
    <w:rsid w:val="008B52C6"/>
    <w:rsid w:val="00A6497B"/>
    <w:rsid w:val="00A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80C48"/>
  <w15:chartTrackingRefBased/>
  <w15:docId w15:val="{03A47F22-47FE-440C-BE09-AA32856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2CF"/>
    <w:pPr>
      <w:shd w:val="clear" w:color="auto" w:fill="E8E8E8" w:themeFill="background2"/>
      <w:jc w:val="both"/>
      <w:outlineLvl w:val="1"/>
    </w:pPr>
    <w:rPr>
      <w:rFonts w:ascii="Calibri" w:hAnsi="Calibri" w:cs="Calibr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442CF"/>
    <w:rPr>
      <w:rFonts w:ascii="Calibri" w:hAnsi="Calibri" w:cs="Calibri"/>
      <w:b/>
      <w:bCs/>
      <w:sz w:val="28"/>
      <w:szCs w:val="28"/>
      <w:shd w:val="clear" w:color="auto" w:fill="E8E8E8" w:themeFill="background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2C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2CF"/>
  </w:style>
  <w:style w:type="paragraph" w:styleId="Piedepgina">
    <w:name w:val="footer"/>
    <w:basedOn w:val="Normal"/>
    <w:link w:val="PiedepginaCar"/>
    <w:uiPriority w:val="99"/>
    <w:unhideWhenUsed/>
    <w:rsid w:val="0014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0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Garrido Jimenez</dc:creator>
  <cp:keywords/>
  <dc:description/>
  <cp:lastModifiedBy>David Garrido Jimenez</cp:lastModifiedBy>
  <cp:revision>1</cp:revision>
  <dcterms:created xsi:type="dcterms:W3CDTF">2025-05-07T17:56:00Z</dcterms:created>
  <dcterms:modified xsi:type="dcterms:W3CDTF">2025-05-07T18:13:00Z</dcterms:modified>
</cp:coreProperties>
</file>