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f3v05xkqw4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Ember Core (EC) – Project Master Document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Node: NODE-OC-01 • Project Code: EC • Rev 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ld16xdbas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Ember Core is the first operational project of the PSN, a modular solar charging station designed for durability, accessibility, and scalability. It serves as the core power system for NODE-OC-01, enabling off-grid operations and acting as a proof-of-concept for future PSN deployments.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Objectives: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reliable solar-based power supply.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accessible, easily sourced parts for replicability.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build process to enable others to create their own.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v7rocw7tg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Phase Index &amp; Navigation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q83kqvr60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– Foundation &amp; Orientation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Initial planning, design layout, and orientation of the solar charging station concept. Defined goals, gathered specifications, and identified key components for proof-of-concept build.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Phase 1 – Foundation &amp; Orientation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i4lpjvd2b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– Build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Main assembly of the Ember Core system, including component installation, wiring, and integration of environmental durability features. Includes skill-building resources to support technical steps.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Bill of Materials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Phase 2 Build Doc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Skills Corner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Phase 2 Start / Planning Notes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vxwwrn10t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– Installation &amp; Commissioning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rPr>
          <w:rtl w:val="0"/>
        </w:rPr>
        <w:t xml:space="preserve"> Relocation of Ember Core into its semi-permanent operational location, final system integration, and readiness verification. Phase focuses on real-world application and adaptability for different environments.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Phase 3 Start / Overview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Phase 3 Install Doc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Bill of Materials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Phase 3 wrap-up/ Overview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iifeiswf6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Supporting Information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PSN Naming Conventions:</w:t>
      </w:r>
      <w:r w:rsidDel="00000000" w:rsidR="00000000" w:rsidRPr="00000000">
        <w:rPr>
          <w:rtl w:val="0"/>
        </w:rPr>
        <w:t xml:space="preserve">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PSN Project Template:</w:t>
      </w:r>
      <w:r w:rsidDel="00000000" w:rsidR="00000000" w:rsidRPr="00000000">
        <w:rPr>
          <w:rtl w:val="0"/>
        </w:rPr>
        <w:t xml:space="preserve"> 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Document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NODE-OC-01_EC_MasterDoc_v1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STvX8NMV4O9BmsVwOrvRSmD37A_g2osDOoYjn32IY6c/edit?usp=drive_link" TargetMode="External"/><Relationship Id="rId10" Type="http://schemas.openxmlformats.org/officeDocument/2006/relationships/hyperlink" Target="https://docs.google.com/document/d/1y9Eo41l2OYX5rRNxx5EPqtWUl3c0ONxWnJ273OAfBeA/edit?usp=drive_link" TargetMode="External"/><Relationship Id="rId13" Type="http://schemas.openxmlformats.org/officeDocument/2006/relationships/hyperlink" Target="https://docs.google.com/spreadsheets/d/1McVXnFCwlcahf6ANrHuZPBjaW1NSh8GgXwVhW83CJbc/edit?usp=drive_link" TargetMode="External"/><Relationship Id="rId12" Type="http://schemas.openxmlformats.org/officeDocument/2006/relationships/hyperlink" Target="https://docs.google.com/document/d/1EHwgPdenJoOpMsTwTJzH1oijWh1cgwW1WU_X6WqtcR4/ed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QHd8wCtrUni3YYJDudp1Fj48SfJszPq9APB5RxWrDk/edit?usp=drive_link" TargetMode="External"/><Relationship Id="rId15" Type="http://schemas.openxmlformats.org/officeDocument/2006/relationships/hyperlink" Target="https://docs.google.com/document/d/1pmfCc_BmV6OiWrMwf25vu_t41RhP1O0a6gQsM8x27jY/edit?usp=drive_link" TargetMode="External"/><Relationship Id="rId14" Type="http://schemas.openxmlformats.org/officeDocument/2006/relationships/hyperlink" Target="https://docs.google.com/document/d/1sJbw1g8A7Kha6VrEeXW2jr5zAOqZTMaNC6ZtZpqQryA/edit?usp=sharing" TargetMode="External"/><Relationship Id="rId16" Type="http://schemas.openxmlformats.org/officeDocument/2006/relationships/hyperlink" Target="https://docs.google.com/document/d/1mjuLPyBD9rC024QJZ_DZlWIwjhHvvSMWkPG7w94HJcI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ZGQIQzokb7t4NdjMP897RrR4QGEihzVwv2VNedEqFI/edit?usp=drive_link" TargetMode="External"/><Relationship Id="rId7" Type="http://schemas.openxmlformats.org/officeDocument/2006/relationships/hyperlink" Target="https://docs.google.com/spreadsheets/d/1McVXnFCwlcahf6ANrHuZPBjaW1NSh8GgXwVhW83CJbc/edit?usp=drive_link" TargetMode="External"/><Relationship Id="rId8" Type="http://schemas.openxmlformats.org/officeDocument/2006/relationships/hyperlink" Target="https://docs.google.com/document/d/1-4cnPVqmFLMWaymTQghoNi7_oh9k1TA4-VjJfVAZVqM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