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aconcuadrcula"/>
        <w:tblpPr w:leftFromText="141" w:rightFromText="141" w:vertAnchor="text" w:horzAnchor="margin" w:tblpY="-695"/>
        <w:tblW w:w="949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43"/>
        <w:gridCol w:w="3423"/>
        <w:gridCol w:w="1532"/>
      </w:tblGrid>
      <w:tr w:rsidR="00BA6DA6" w14:paraId="05A4C610" w14:textId="77777777" w:rsidTr="000B3C90">
        <w:tc>
          <w:tcPr>
            <w:tcW w:w="4543" w:type="dxa"/>
          </w:tcPr>
          <w:p w14:paraId="4525A16D" w14:textId="77777777" w:rsidR="00BA6DA6" w:rsidRDefault="00BA6DA6" w:rsidP="000B3C90">
            <w:pPr>
              <w:jc w:val="both"/>
            </w:pPr>
            <w:r>
              <w:rPr>
                <w:noProof/>
                <w:lang w:eastAsia="es-ES"/>
              </w:rPr>
              <w:drawing>
                <wp:inline distT="0" distB="0" distL="0" distR="0" wp14:anchorId="5EE89FF7" wp14:editId="1D4DA19F">
                  <wp:extent cx="2747321" cy="569521"/>
                  <wp:effectExtent l="0" t="0" r="0" b="2540"/>
                  <wp:docPr id="30"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cstate="print">
                            <a:extLst>
                              <a:ext uri="{28A0092B-C50C-407E-A947-70E740481C1C}">
                                <a14:useLocalDpi xmlns:a14="http://schemas.microsoft.com/office/drawing/2010/main" val="0"/>
                              </a:ext>
                            </a:extLst>
                          </a:blip>
                          <a:stretch>
                            <a:fillRect/>
                          </a:stretch>
                        </pic:blipFill>
                        <pic:spPr bwMode="auto">
                          <a:xfrm>
                            <a:off x="0" y="0"/>
                            <a:ext cx="2814309" cy="583408"/>
                          </a:xfrm>
                          <a:prstGeom prst="rect">
                            <a:avLst/>
                          </a:prstGeom>
                          <a:noFill/>
                        </pic:spPr>
                      </pic:pic>
                    </a:graphicData>
                  </a:graphic>
                </wp:inline>
              </w:drawing>
            </w:r>
          </w:p>
        </w:tc>
        <w:tc>
          <w:tcPr>
            <w:tcW w:w="3423" w:type="dxa"/>
          </w:tcPr>
          <w:p w14:paraId="4FAEA8D7" w14:textId="77777777" w:rsidR="00BA6DA6" w:rsidRPr="000D550F" w:rsidRDefault="00BA6DA6" w:rsidP="000B3C90">
            <w:pPr>
              <w:jc w:val="center"/>
              <w:rPr>
                <w:b/>
              </w:rPr>
            </w:pPr>
            <w:r>
              <w:rPr>
                <w:noProof/>
                <w:lang w:eastAsia="es-ES"/>
              </w:rPr>
              <w:drawing>
                <wp:inline distT="0" distB="0" distL="0" distR="0" wp14:anchorId="463E10E6" wp14:editId="561B33FA">
                  <wp:extent cx="1085423" cy="533400"/>
                  <wp:effectExtent l="0" t="0" r="635" b="0"/>
                  <wp:docPr id="3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cstate="print">
                            <a:extLst>
                              <a:ext uri="{28A0092B-C50C-407E-A947-70E740481C1C}">
                                <a14:useLocalDpi xmlns:a14="http://schemas.microsoft.com/office/drawing/2010/main" val="0"/>
                              </a:ext>
                            </a:extLst>
                          </a:blip>
                          <a:stretch>
                            <a:fillRect/>
                          </a:stretch>
                        </pic:blipFill>
                        <pic:spPr bwMode="auto">
                          <a:xfrm>
                            <a:off x="0" y="0"/>
                            <a:ext cx="1106246" cy="543633"/>
                          </a:xfrm>
                          <a:prstGeom prst="rect">
                            <a:avLst/>
                          </a:prstGeom>
                          <a:noFill/>
                        </pic:spPr>
                      </pic:pic>
                    </a:graphicData>
                  </a:graphic>
                </wp:inline>
              </w:drawing>
            </w:r>
          </w:p>
        </w:tc>
        <w:tc>
          <w:tcPr>
            <w:tcW w:w="1532" w:type="dxa"/>
          </w:tcPr>
          <w:p w14:paraId="7A901C90" w14:textId="77777777" w:rsidR="00BA6DA6" w:rsidRDefault="00BA6DA6" w:rsidP="000B3C90">
            <w:pPr>
              <w:jc w:val="right"/>
            </w:pPr>
            <w:r>
              <w:rPr>
                <w:noProof/>
                <w:lang w:eastAsia="es-ES"/>
              </w:rPr>
              <w:drawing>
                <wp:inline distT="0" distB="0" distL="0" distR="0" wp14:anchorId="6CA5D14A" wp14:editId="305AEB0F">
                  <wp:extent cx="759287" cy="619125"/>
                  <wp:effectExtent l="0" t="0" r="3175" b="0"/>
                  <wp:docPr id="36"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783244" cy="638659"/>
                          </a:xfrm>
                          <a:prstGeom prst="rect">
                            <a:avLst/>
                          </a:prstGeom>
                          <a:noFill/>
                        </pic:spPr>
                      </pic:pic>
                    </a:graphicData>
                  </a:graphic>
                </wp:inline>
              </w:drawing>
            </w:r>
          </w:p>
        </w:tc>
      </w:tr>
    </w:tbl>
    <w:p w14:paraId="1D4F1022" w14:textId="77777777" w:rsidR="00BA6DA6" w:rsidRDefault="00BA6DA6" w:rsidP="00BA6DA6">
      <w:pPr>
        <w:jc w:val="center"/>
        <w:rPr>
          <w:b/>
        </w:rPr>
      </w:pPr>
    </w:p>
    <w:p w14:paraId="7D2AA44A" w14:textId="77777777" w:rsidR="00BA6DA6" w:rsidRPr="004607ED" w:rsidRDefault="00BA6DA6" w:rsidP="00BA6DA6">
      <w:pPr>
        <w:tabs>
          <w:tab w:val="left" w:pos="2988"/>
        </w:tabs>
        <w:ind w:left="1416"/>
        <w:rPr>
          <w:b/>
          <w:sz w:val="28"/>
        </w:rPr>
      </w:pPr>
      <w:r w:rsidRPr="004607ED">
        <w:rPr>
          <w:b/>
          <w:sz w:val="28"/>
        </w:rPr>
        <w:t xml:space="preserve">INSTITUTO TECNOLÓGICO DE </w:t>
      </w:r>
      <w:r>
        <w:rPr>
          <w:b/>
          <w:sz w:val="28"/>
        </w:rPr>
        <w:t>FRONTERA COMALAPA</w:t>
      </w:r>
    </w:p>
    <w:p w14:paraId="67EDB712" w14:textId="77777777" w:rsidR="00BA6DA6" w:rsidRDefault="00BA6DA6" w:rsidP="00BA6DA6"/>
    <w:p w14:paraId="2595280C" w14:textId="77777777" w:rsidR="00BA6DA6" w:rsidRPr="00BA6DA6" w:rsidRDefault="00BA6DA6" w:rsidP="00BA6DA6">
      <w:pPr>
        <w:jc w:val="center"/>
        <w:rPr>
          <w:rFonts w:cs="Arial"/>
          <w:b/>
        </w:rPr>
      </w:pPr>
      <w:r w:rsidRPr="00BA6DA6">
        <w:rPr>
          <w:rFonts w:cs="Arial"/>
          <w:b/>
        </w:rPr>
        <w:t>MATERIA</w:t>
      </w:r>
    </w:p>
    <w:p w14:paraId="45AEE54F" w14:textId="77777777" w:rsidR="00BA6DA6" w:rsidRPr="00BA6DA6" w:rsidRDefault="00BA6DA6" w:rsidP="00BA6DA6">
      <w:pPr>
        <w:ind w:left="2832"/>
        <w:rPr>
          <w:rFonts w:cs="Arial"/>
          <w:b/>
          <w:bCs/>
        </w:rPr>
      </w:pPr>
      <w:r w:rsidRPr="00BA6DA6">
        <w:rPr>
          <w:rFonts w:cs="Arial"/>
          <w:b/>
          <w:bCs/>
        </w:rPr>
        <w:t>Fundamentos de Base de Datos</w:t>
      </w:r>
    </w:p>
    <w:p w14:paraId="619FF385" w14:textId="77777777" w:rsidR="00BA6DA6" w:rsidRPr="00BA6DA6" w:rsidRDefault="00BA6DA6" w:rsidP="00BA6DA6">
      <w:pPr>
        <w:rPr>
          <w:rFonts w:cs="Arial"/>
          <w:b/>
          <w:bCs/>
        </w:rPr>
      </w:pPr>
    </w:p>
    <w:p w14:paraId="1C6B45D5" w14:textId="77777777" w:rsidR="00BA6DA6" w:rsidRPr="00BA6DA6" w:rsidRDefault="00BA6DA6" w:rsidP="00BA6DA6">
      <w:pPr>
        <w:jc w:val="center"/>
        <w:rPr>
          <w:rFonts w:cs="Arial"/>
          <w:b/>
          <w:bCs/>
        </w:rPr>
      </w:pPr>
      <w:r w:rsidRPr="00BA6DA6">
        <w:rPr>
          <w:rFonts w:cs="Arial"/>
          <w:b/>
          <w:bCs/>
        </w:rPr>
        <w:t>Actividad 4.1: Mapa Mental</w:t>
      </w:r>
    </w:p>
    <w:p w14:paraId="438628C5" w14:textId="77777777" w:rsidR="00BA6DA6" w:rsidRPr="00BA6DA6" w:rsidRDefault="00BA6DA6" w:rsidP="00BA6DA6">
      <w:pPr>
        <w:jc w:val="center"/>
        <w:rPr>
          <w:rFonts w:cs="Arial"/>
          <w:b/>
        </w:rPr>
      </w:pPr>
      <w:r w:rsidRPr="00BA6DA6">
        <w:rPr>
          <w:rFonts w:cs="Arial"/>
          <w:b/>
        </w:rPr>
        <w:t>Tema del trabajo</w:t>
      </w:r>
    </w:p>
    <w:p w14:paraId="0CD6F904" w14:textId="77777777" w:rsidR="00BA6DA6" w:rsidRPr="00BA6DA6" w:rsidRDefault="00BA6DA6" w:rsidP="00BA6DA6">
      <w:pPr>
        <w:rPr>
          <w:rFonts w:cs="Arial"/>
        </w:rPr>
      </w:pPr>
    </w:p>
    <w:p w14:paraId="2E1BD410" w14:textId="77777777" w:rsidR="00BA6DA6" w:rsidRPr="00BA6DA6" w:rsidRDefault="00BA6DA6" w:rsidP="00BA6DA6">
      <w:pPr>
        <w:jc w:val="center"/>
        <w:rPr>
          <w:rFonts w:cs="Arial"/>
          <w:b/>
        </w:rPr>
      </w:pPr>
      <w:r w:rsidRPr="00BA6DA6">
        <w:rPr>
          <w:rFonts w:cs="Arial"/>
          <w:b/>
        </w:rPr>
        <w:t xml:space="preserve">David Hilario Tzunux Guox </w:t>
      </w:r>
    </w:p>
    <w:p w14:paraId="7CA339D5" w14:textId="12FE9A42" w:rsidR="00BA6DA6" w:rsidRPr="00BA6DA6" w:rsidRDefault="00BA6DA6" w:rsidP="00BA6DA6">
      <w:pPr>
        <w:jc w:val="center"/>
        <w:rPr>
          <w:rFonts w:cs="Arial"/>
          <w:b/>
        </w:rPr>
      </w:pPr>
      <w:r w:rsidRPr="00BA6DA6">
        <w:rPr>
          <w:rFonts w:cs="Arial"/>
          <w:b/>
        </w:rPr>
        <w:t>ESTUDIANTE</w:t>
      </w:r>
    </w:p>
    <w:p w14:paraId="1CEEA049" w14:textId="77777777" w:rsidR="00BA6DA6" w:rsidRPr="00BA6DA6" w:rsidRDefault="00BA6DA6" w:rsidP="00BA6DA6">
      <w:pPr>
        <w:jc w:val="center"/>
        <w:rPr>
          <w:rFonts w:cs="Arial"/>
          <w:b/>
        </w:rPr>
      </w:pPr>
    </w:p>
    <w:p w14:paraId="0987C666" w14:textId="77777777" w:rsidR="00BA6DA6" w:rsidRPr="00BA6DA6" w:rsidRDefault="00BA6DA6" w:rsidP="00BA6DA6">
      <w:pPr>
        <w:jc w:val="center"/>
        <w:rPr>
          <w:rFonts w:cs="Arial"/>
          <w:b/>
        </w:rPr>
      </w:pPr>
      <w:r w:rsidRPr="00BA6DA6">
        <w:rPr>
          <w:rFonts w:cs="Arial"/>
          <w:b/>
        </w:rPr>
        <w:t>4TO semestre I.S.C.</w:t>
      </w:r>
    </w:p>
    <w:p w14:paraId="38D2DB2C" w14:textId="6712BB27" w:rsidR="00BA6DA6" w:rsidRPr="00BA6DA6" w:rsidRDefault="00BA6DA6" w:rsidP="00BA6DA6">
      <w:pPr>
        <w:jc w:val="center"/>
        <w:rPr>
          <w:rFonts w:cs="Arial"/>
          <w:b/>
        </w:rPr>
      </w:pPr>
      <w:r w:rsidRPr="00BA6DA6">
        <w:rPr>
          <w:rFonts w:cs="Arial"/>
          <w:b/>
        </w:rPr>
        <w:t>N.C. 241260075</w:t>
      </w:r>
    </w:p>
    <w:p w14:paraId="0C2EEF98" w14:textId="77777777" w:rsidR="00BA6DA6" w:rsidRPr="00BA6DA6" w:rsidRDefault="00BA6DA6" w:rsidP="00BA6DA6">
      <w:pPr>
        <w:jc w:val="center"/>
        <w:rPr>
          <w:rFonts w:cs="Arial"/>
          <w:b/>
        </w:rPr>
      </w:pPr>
    </w:p>
    <w:p w14:paraId="7FAA4E11" w14:textId="77777777" w:rsidR="00BA6DA6" w:rsidRPr="00BA6DA6" w:rsidRDefault="00BA6DA6" w:rsidP="00BA6DA6">
      <w:pPr>
        <w:jc w:val="center"/>
        <w:rPr>
          <w:rFonts w:cs="Arial"/>
          <w:b/>
        </w:rPr>
      </w:pPr>
      <w:r w:rsidRPr="00BA6DA6">
        <w:rPr>
          <w:rFonts w:cs="Arial"/>
          <w:b/>
        </w:rPr>
        <w:t xml:space="preserve">MODALIDAD </w:t>
      </w:r>
    </w:p>
    <w:p w14:paraId="4381D6B0" w14:textId="77777777" w:rsidR="00BA6DA6" w:rsidRPr="00BA6DA6" w:rsidRDefault="00BA6DA6" w:rsidP="00BA6DA6">
      <w:pPr>
        <w:jc w:val="center"/>
        <w:rPr>
          <w:rFonts w:cs="Arial"/>
          <w:b/>
        </w:rPr>
      </w:pPr>
      <w:r w:rsidRPr="00BA6DA6">
        <w:rPr>
          <w:rFonts w:cs="Arial"/>
          <w:b/>
        </w:rPr>
        <w:t xml:space="preserve">Escolarizada </w:t>
      </w:r>
    </w:p>
    <w:p w14:paraId="67160928" w14:textId="77777777" w:rsidR="00BA6DA6" w:rsidRPr="00BA6DA6" w:rsidRDefault="00BA6DA6" w:rsidP="00BA6DA6">
      <w:pPr>
        <w:jc w:val="center"/>
        <w:rPr>
          <w:rFonts w:cs="Arial"/>
          <w:b/>
        </w:rPr>
      </w:pPr>
    </w:p>
    <w:p w14:paraId="536A40F6" w14:textId="77777777" w:rsidR="00BA6DA6" w:rsidRPr="00BA6DA6" w:rsidRDefault="00BA6DA6" w:rsidP="00BA6DA6">
      <w:pPr>
        <w:jc w:val="center"/>
        <w:rPr>
          <w:rFonts w:cs="Arial"/>
          <w:b/>
        </w:rPr>
      </w:pPr>
    </w:p>
    <w:p w14:paraId="2E4AF9C1" w14:textId="03939B84" w:rsidR="00BA6DA6" w:rsidRPr="00BA6DA6" w:rsidRDefault="00BA6DA6" w:rsidP="00BA6DA6">
      <w:pPr>
        <w:jc w:val="center"/>
        <w:rPr>
          <w:rFonts w:cs="Arial"/>
          <w:b/>
        </w:rPr>
      </w:pPr>
      <w:r w:rsidRPr="00BA6DA6">
        <w:rPr>
          <w:rFonts w:cs="Arial"/>
          <w:b/>
        </w:rPr>
        <w:t xml:space="preserve">Ing. Francisco Javier Mingo Velasquez </w:t>
      </w:r>
    </w:p>
    <w:p w14:paraId="0D5C3988" w14:textId="77777777" w:rsidR="00BA6DA6" w:rsidRPr="00516899" w:rsidRDefault="00BA6DA6" w:rsidP="00BA6DA6">
      <w:pPr>
        <w:jc w:val="center"/>
        <w:rPr>
          <w:rFonts w:cs="Arial"/>
          <w:b/>
        </w:rPr>
      </w:pPr>
      <w:r w:rsidRPr="00BA6DA6">
        <w:rPr>
          <w:rFonts w:cs="Arial"/>
          <w:b/>
        </w:rPr>
        <w:t>DOCENTE</w:t>
      </w:r>
    </w:p>
    <w:p w14:paraId="2617D6C6" w14:textId="77777777" w:rsidR="00BA6DA6" w:rsidRDefault="00BA6DA6" w:rsidP="00BA6DA6">
      <w:pPr>
        <w:rPr>
          <w:rFonts w:cs="Arial"/>
        </w:rPr>
      </w:pPr>
    </w:p>
    <w:p w14:paraId="7B971E87" w14:textId="77777777" w:rsidR="00BA6DA6" w:rsidRPr="00065365" w:rsidRDefault="00BA6DA6" w:rsidP="00BA6DA6">
      <w:pPr>
        <w:rPr>
          <w:rFonts w:cs="Arial"/>
        </w:rPr>
      </w:pPr>
    </w:p>
    <w:p w14:paraId="6F7B0E83" w14:textId="35515024" w:rsidR="00BA6DA6" w:rsidRDefault="00BA6DA6" w:rsidP="00BA6DA6">
      <w:pPr>
        <w:jc w:val="right"/>
        <w:rPr>
          <w:rFonts w:cs="Arial"/>
          <w:b/>
        </w:rPr>
      </w:pPr>
      <w:r w:rsidRPr="00065365">
        <w:rPr>
          <w:rFonts w:cs="Arial"/>
          <w:b/>
        </w:rPr>
        <w:t xml:space="preserve">Frontera Comalapa, Chiapas, a </w:t>
      </w:r>
      <w:r>
        <w:rPr>
          <w:rFonts w:cs="Arial"/>
          <w:b/>
        </w:rPr>
        <w:t>24 de marzo de 2026</w:t>
      </w:r>
    </w:p>
    <w:p w14:paraId="0B7C53CB" w14:textId="77777777" w:rsidR="00BA6DA6" w:rsidRDefault="00BA6DA6">
      <w:pPr>
        <w:rPr>
          <w:rFonts w:cs="Arial"/>
          <w:b/>
        </w:rPr>
      </w:pPr>
      <w:r>
        <w:rPr>
          <w:rFonts w:cs="Arial"/>
          <w:b/>
        </w:rPr>
        <w:br w:type="page"/>
      </w:r>
    </w:p>
    <w:p w14:paraId="1935409B" w14:textId="77777777" w:rsidR="00BA6DA6" w:rsidRPr="00BA6DA6" w:rsidRDefault="00BA6DA6" w:rsidP="00BA6DA6">
      <w:pPr>
        <w:jc w:val="both"/>
        <w:rPr>
          <w:rFonts w:cs="Arial"/>
          <w:b/>
          <w:bCs/>
        </w:rPr>
      </w:pPr>
      <w:r w:rsidRPr="00BA6DA6">
        <w:rPr>
          <w:rFonts w:cs="Arial"/>
          <w:b/>
          <w:bCs/>
        </w:rPr>
        <w:lastRenderedPageBreak/>
        <w:t>Introducción</w:t>
      </w:r>
    </w:p>
    <w:p w14:paraId="2AFC2B03" w14:textId="77777777" w:rsidR="00BA6DA6" w:rsidRPr="00BA6DA6" w:rsidRDefault="00BA6DA6" w:rsidP="00BA6DA6">
      <w:pPr>
        <w:jc w:val="both"/>
        <w:rPr>
          <w:rFonts w:cs="Arial"/>
          <w:bCs/>
        </w:rPr>
      </w:pPr>
      <w:r w:rsidRPr="00BA6DA6">
        <w:rPr>
          <w:rFonts w:cs="Arial"/>
          <w:bCs/>
        </w:rPr>
        <w:t>La normalización de bases de datos es un proceso fundamental en el diseño de sistemas de información, ya que permite organizar los datos de manera eficiente dentro de una base de datos relacional. Su principal objetivo es reducir la redundancia de información, evitar inconsistencias y garantizar la integridad de los datos. Para lograrlo, se aplican una serie de reglas conocidas como formas normales, las cuales ayudan a estructurar correctamente las tablas y las relaciones entre ellas. La normalización es ampliamente utilizada en el desarrollo de sistemas informáticos, ya que facilita el mantenimiento, la actualización y la gestión adecuada de la información almacenada.</w:t>
      </w:r>
    </w:p>
    <w:p w14:paraId="14D47320" w14:textId="77777777" w:rsidR="00BA6DA6" w:rsidRDefault="00BA6DA6" w:rsidP="00BA6DA6">
      <w:pPr>
        <w:jc w:val="both"/>
        <w:rPr>
          <w:rFonts w:cs="Arial"/>
          <w:b/>
        </w:rPr>
      </w:pPr>
    </w:p>
    <w:p w14:paraId="49BF204E" w14:textId="3BBC33B5" w:rsidR="00BA6DA6" w:rsidRDefault="00BA6DA6"/>
    <w:p w14:paraId="3E187E45" w14:textId="77777777" w:rsidR="00BA6DA6" w:rsidRDefault="00BA6DA6">
      <w:r>
        <w:br w:type="page"/>
      </w:r>
    </w:p>
    <w:p w14:paraId="554B1046" w14:textId="2E97AB6A" w:rsidR="008E215B" w:rsidRDefault="00BA6DA6">
      <w:r>
        <w:rPr>
          <w:noProof/>
        </w:rPr>
        <w:lastRenderedPageBreak/>
        <w:drawing>
          <wp:inline distT="0" distB="0" distL="0" distR="0" wp14:anchorId="3FD27A2D" wp14:editId="3B92FD39">
            <wp:extent cx="6046470" cy="4724400"/>
            <wp:effectExtent l="0" t="0" r="0" b="0"/>
            <wp:docPr id="17650037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046470" cy="4724400"/>
                    </a:xfrm>
                    <a:prstGeom prst="rect">
                      <a:avLst/>
                    </a:prstGeom>
                    <a:noFill/>
                    <a:ln>
                      <a:noFill/>
                    </a:ln>
                  </pic:spPr>
                </pic:pic>
              </a:graphicData>
            </a:graphic>
          </wp:inline>
        </w:drawing>
      </w:r>
    </w:p>
    <w:p w14:paraId="2DF939A2" w14:textId="406D57F1" w:rsidR="00BA6DA6" w:rsidRDefault="00BA6DA6"/>
    <w:p w14:paraId="3DD39B02" w14:textId="77777777" w:rsidR="00BA6DA6" w:rsidRDefault="00BA6DA6">
      <w:r>
        <w:br w:type="page"/>
      </w:r>
    </w:p>
    <w:p w14:paraId="0BBBE521" w14:textId="77777777" w:rsidR="00BA6DA6" w:rsidRPr="00BA6DA6" w:rsidRDefault="00BA6DA6" w:rsidP="00BA6DA6">
      <w:pPr>
        <w:rPr>
          <w:b/>
          <w:bCs/>
        </w:rPr>
      </w:pPr>
      <w:r w:rsidRPr="00BA6DA6">
        <w:rPr>
          <w:b/>
          <w:bCs/>
        </w:rPr>
        <w:lastRenderedPageBreak/>
        <w:t>Conclusión</w:t>
      </w:r>
    </w:p>
    <w:p w14:paraId="4251D138" w14:textId="77777777" w:rsidR="00BA6DA6" w:rsidRPr="00BA6DA6" w:rsidRDefault="00BA6DA6" w:rsidP="00BA6DA6">
      <w:r w:rsidRPr="00BA6DA6">
        <w:t>La normalización de bases de datos es una técnica esencial para diseñar sistemas organizados, eficientes y confiables. A través de la aplicación de las diferentes formas normales, es posible eliminar la duplicidad de datos, mejorar la consistencia de la información y optimizar la administración de la base de datos. Aunque puede generar un mayor número de tablas y consultas más complejas, sus beneficios superan estas dificultades al proporcionar una estructura sólida para el almacenamiento de datos. Por ello, la normalización constituye una práctica indispensable en el desarrollo de aplicaciones y sistemas de gestión de información.</w:t>
      </w:r>
    </w:p>
    <w:p w14:paraId="19C1F1FE" w14:textId="77777777" w:rsidR="00BA6DA6" w:rsidRDefault="00BA6DA6"/>
    <w:p w14:paraId="2FFFD246" w14:textId="77777777" w:rsidR="00BA6DA6" w:rsidRPr="002A5CBA" w:rsidRDefault="00BA6DA6">
      <w:pPr>
        <w:rPr>
          <w:b/>
          <w:bCs/>
          <w:sz w:val="28"/>
          <w:szCs w:val="28"/>
          <w:u w:val="single"/>
        </w:rPr>
      </w:pPr>
    </w:p>
    <w:p w14:paraId="234AFDCC" w14:textId="77777777" w:rsidR="00BA6DA6" w:rsidRDefault="00BA6DA6">
      <w:pPr>
        <w:rPr>
          <w:b/>
          <w:bCs/>
          <w:sz w:val="28"/>
          <w:szCs w:val="28"/>
        </w:rPr>
      </w:pPr>
    </w:p>
    <w:p w14:paraId="5E973FF0" w14:textId="04329356" w:rsidR="00BA6DA6" w:rsidRDefault="00BA6DA6">
      <w:pPr>
        <w:rPr>
          <w:b/>
          <w:bCs/>
          <w:sz w:val="28"/>
          <w:szCs w:val="28"/>
        </w:rPr>
      </w:pPr>
      <w:r w:rsidRPr="00BA6DA6">
        <w:rPr>
          <w:b/>
          <w:bCs/>
          <w:sz w:val="28"/>
          <w:szCs w:val="28"/>
        </w:rPr>
        <w:t>Fuentes de información.</w:t>
      </w:r>
    </w:p>
    <w:p w14:paraId="3B95043C" w14:textId="77777777" w:rsidR="00BA6DA6" w:rsidRPr="00BA6DA6" w:rsidRDefault="00BA6DA6">
      <w:pPr>
        <w:rPr>
          <w:b/>
          <w:bCs/>
          <w:sz w:val="28"/>
          <w:szCs w:val="28"/>
        </w:rPr>
      </w:pPr>
    </w:p>
    <w:p w14:paraId="072F68B5" w14:textId="77777777" w:rsidR="00BA6DA6" w:rsidRPr="00BA6DA6" w:rsidRDefault="00BA6DA6" w:rsidP="00BA6DA6">
      <w:r w:rsidRPr="00BA6DA6">
        <w:rPr>
          <w:b/>
          <w:bCs/>
        </w:rPr>
        <w:t>Date, C. J. (2001).</w:t>
      </w:r>
      <w:r w:rsidRPr="00BA6DA6">
        <w:t xml:space="preserve"> </w:t>
      </w:r>
      <w:r w:rsidRPr="00BA6DA6">
        <w:rPr>
          <w:i/>
          <w:iCs/>
        </w:rPr>
        <w:t>Introducción a los sistemas de bases de datos</w:t>
      </w:r>
      <w:r w:rsidRPr="00BA6DA6">
        <w:t xml:space="preserve"> (7.ª ed.). Pearson Educación.</w:t>
      </w:r>
      <w:r w:rsidRPr="00BA6DA6">
        <w:br/>
        <w:t xml:space="preserve">Disponible en: </w:t>
      </w:r>
      <w:hyperlink r:id="rId9" w:tgtFrame="_blank" w:history="1">
        <w:r w:rsidRPr="00BA6DA6">
          <w:rPr>
            <w:rStyle w:val="Hipervnculo"/>
          </w:rPr>
          <w:t>Google Books - Introducción a los sistemas de bases de datos</w:t>
        </w:r>
      </w:hyperlink>
      <w:r w:rsidRPr="00BA6DA6">
        <w:t xml:space="preserve"> </w:t>
      </w:r>
    </w:p>
    <w:p w14:paraId="40D08BB8" w14:textId="77777777" w:rsidR="00BA6DA6" w:rsidRPr="00BA6DA6" w:rsidRDefault="00BA6DA6" w:rsidP="00BA6DA6">
      <w:r w:rsidRPr="00BA6DA6">
        <w:rPr>
          <w:b/>
          <w:bCs/>
        </w:rPr>
        <w:t xml:space="preserve">Elmasri, R., &amp; </w:t>
      </w:r>
      <w:proofErr w:type="spellStart"/>
      <w:r w:rsidRPr="00BA6DA6">
        <w:rPr>
          <w:b/>
          <w:bCs/>
        </w:rPr>
        <w:t>Navathe</w:t>
      </w:r>
      <w:proofErr w:type="spellEnd"/>
      <w:r w:rsidRPr="00BA6DA6">
        <w:rPr>
          <w:b/>
          <w:bCs/>
        </w:rPr>
        <w:t>, S. B. (2007).</w:t>
      </w:r>
      <w:r w:rsidRPr="00BA6DA6">
        <w:t xml:space="preserve"> </w:t>
      </w:r>
      <w:r w:rsidRPr="00BA6DA6">
        <w:rPr>
          <w:i/>
          <w:iCs/>
        </w:rPr>
        <w:t>Fundamentos de sistemas de bases de datos</w:t>
      </w:r>
      <w:r w:rsidRPr="00BA6DA6">
        <w:t xml:space="preserve"> (5.ª ed.). Pearson Educación.</w:t>
      </w:r>
      <w:r w:rsidRPr="00BA6DA6">
        <w:br/>
        <w:t xml:space="preserve">Disponible en: </w:t>
      </w:r>
      <w:hyperlink r:id="rId10" w:tgtFrame="_blank" w:history="1">
        <w:r w:rsidRPr="00BA6DA6">
          <w:rPr>
            <w:rStyle w:val="Hipervnculo"/>
          </w:rPr>
          <w:t>Dialnet - Fundamentos de sistemas de bases de datos</w:t>
        </w:r>
      </w:hyperlink>
      <w:r w:rsidRPr="00BA6DA6">
        <w:t xml:space="preserve"> </w:t>
      </w:r>
    </w:p>
    <w:p w14:paraId="2D9CB97B" w14:textId="77777777" w:rsidR="00BA6DA6" w:rsidRDefault="00BA6DA6"/>
    <w:p w14:paraId="18F0132D" w14:textId="77777777" w:rsidR="00496523" w:rsidRDefault="00496523"/>
    <w:p w14:paraId="0900BCC0" w14:textId="77777777" w:rsidR="002A5CBA" w:rsidRPr="002A5CBA" w:rsidRDefault="002A5CBA">
      <w:pPr>
        <w:rPr>
          <w:u w:val="single"/>
        </w:rPr>
      </w:pPr>
    </w:p>
    <w:p w14:paraId="0D23DF1E" w14:textId="23FEAA31" w:rsidR="00496523" w:rsidRDefault="00496523">
      <w:r>
        <w:t xml:space="preserve">Anexo enlace a </w:t>
      </w:r>
      <w:proofErr w:type="spellStart"/>
      <w:r>
        <w:t>Git</w:t>
      </w:r>
      <w:r w:rsidR="002A5CBA">
        <w:t>hub</w:t>
      </w:r>
      <w:proofErr w:type="spellEnd"/>
      <w:r>
        <w:t>:</w:t>
      </w:r>
    </w:p>
    <w:p w14:paraId="2B0C5BA0" w14:textId="1C07E800" w:rsidR="00496523" w:rsidRDefault="00496523">
      <w:hyperlink r:id="rId11" w:history="1">
        <w:r w:rsidRPr="006A5BDB">
          <w:rPr>
            <w:rStyle w:val="Hipervnculo"/>
          </w:rPr>
          <w:t>https://github.com/davidguox8/Fundamentos-Bases-de-Datos</w:t>
        </w:r>
      </w:hyperlink>
      <w:r>
        <w:t xml:space="preserve"> </w:t>
      </w:r>
    </w:p>
    <w:sectPr w:rsidR="00496523">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rial MT">
    <w:altName w:val="Arial"/>
    <w:charset w:val="01"/>
    <w:family w:val="swiss"/>
    <w:pitch w:val="variable"/>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5A105F"/>
    <w:multiLevelType w:val="multilevel"/>
    <w:tmpl w:val="93F80A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56912321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A6DA6"/>
    <w:rsid w:val="001D699F"/>
    <w:rsid w:val="002A5CBA"/>
    <w:rsid w:val="00496523"/>
    <w:rsid w:val="005F154D"/>
    <w:rsid w:val="008E215B"/>
    <w:rsid w:val="00BA6DA6"/>
    <w:rsid w:val="00D94270"/>
  </w:rsids>
  <m:mathPr>
    <m:mathFont m:val="Cambria Math"/>
    <m:brkBin m:val="before"/>
    <m:brkBinSub m:val="--"/>
    <m:smallFrac m:val="0"/>
    <m:dispDef/>
    <m:lMargin m:val="0"/>
    <m:rMargin m:val="0"/>
    <m:defJc m:val="centerGroup"/>
    <m:wrapIndent m:val="1440"/>
    <m:intLim m:val="subSup"/>
    <m:naryLim m:val="undOvr"/>
  </m:mathPr>
  <w:themeFontLang w:val="es-MX"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B54BAF"/>
  <w15:chartTrackingRefBased/>
  <w15:docId w15:val="{A6129AB4-4F3C-4ACC-9309-AA6840B986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MX"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A6DA6"/>
  </w:style>
  <w:style w:type="paragraph" w:styleId="Ttulo1">
    <w:name w:val="heading 1"/>
    <w:basedOn w:val="Normal"/>
    <w:next w:val="Normal"/>
    <w:link w:val="Ttulo1Car"/>
    <w:uiPriority w:val="9"/>
    <w:qFormat/>
    <w:rsid w:val="00BA6DA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BA6DA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BA6DA6"/>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BA6DA6"/>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BA6DA6"/>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BA6DA6"/>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BA6DA6"/>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BA6DA6"/>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BA6DA6"/>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BA6DA6"/>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rsid w:val="00BA6DA6"/>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BA6DA6"/>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BA6DA6"/>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BA6DA6"/>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BA6DA6"/>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BA6DA6"/>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BA6DA6"/>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BA6DA6"/>
    <w:rPr>
      <w:rFonts w:eastAsiaTheme="majorEastAsia" w:cstheme="majorBidi"/>
      <w:color w:val="272727" w:themeColor="text1" w:themeTint="D8"/>
    </w:rPr>
  </w:style>
  <w:style w:type="paragraph" w:styleId="Ttulo">
    <w:name w:val="Title"/>
    <w:basedOn w:val="Normal"/>
    <w:next w:val="Normal"/>
    <w:link w:val="TtuloCar"/>
    <w:uiPriority w:val="10"/>
    <w:qFormat/>
    <w:rsid w:val="00BA6DA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BA6DA6"/>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BA6DA6"/>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BA6DA6"/>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BA6DA6"/>
    <w:pPr>
      <w:spacing w:before="160"/>
      <w:jc w:val="center"/>
    </w:pPr>
    <w:rPr>
      <w:i/>
      <w:iCs/>
      <w:color w:val="404040" w:themeColor="text1" w:themeTint="BF"/>
    </w:rPr>
  </w:style>
  <w:style w:type="character" w:customStyle="1" w:styleId="CitaCar">
    <w:name w:val="Cita Car"/>
    <w:basedOn w:val="Fuentedeprrafopredeter"/>
    <w:link w:val="Cita"/>
    <w:uiPriority w:val="29"/>
    <w:rsid w:val="00BA6DA6"/>
    <w:rPr>
      <w:i/>
      <w:iCs/>
      <w:color w:val="404040" w:themeColor="text1" w:themeTint="BF"/>
    </w:rPr>
  </w:style>
  <w:style w:type="paragraph" w:styleId="Prrafodelista">
    <w:name w:val="List Paragraph"/>
    <w:basedOn w:val="Normal"/>
    <w:uiPriority w:val="34"/>
    <w:qFormat/>
    <w:rsid w:val="00BA6DA6"/>
    <w:pPr>
      <w:ind w:left="720"/>
      <w:contextualSpacing/>
    </w:pPr>
  </w:style>
  <w:style w:type="character" w:styleId="nfasisintenso">
    <w:name w:val="Intense Emphasis"/>
    <w:basedOn w:val="Fuentedeprrafopredeter"/>
    <w:uiPriority w:val="21"/>
    <w:qFormat/>
    <w:rsid w:val="00BA6DA6"/>
    <w:rPr>
      <w:i/>
      <w:iCs/>
      <w:color w:val="0F4761" w:themeColor="accent1" w:themeShade="BF"/>
    </w:rPr>
  </w:style>
  <w:style w:type="paragraph" w:styleId="Citadestacada">
    <w:name w:val="Intense Quote"/>
    <w:basedOn w:val="Normal"/>
    <w:next w:val="Normal"/>
    <w:link w:val="CitadestacadaCar"/>
    <w:uiPriority w:val="30"/>
    <w:qFormat/>
    <w:rsid w:val="00BA6DA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BA6DA6"/>
    <w:rPr>
      <w:i/>
      <w:iCs/>
      <w:color w:val="0F4761" w:themeColor="accent1" w:themeShade="BF"/>
    </w:rPr>
  </w:style>
  <w:style w:type="character" w:styleId="Referenciaintensa">
    <w:name w:val="Intense Reference"/>
    <w:basedOn w:val="Fuentedeprrafopredeter"/>
    <w:uiPriority w:val="32"/>
    <w:qFormat/>
    <w:rsid w:val="00BA6DA6"/>
    <w:rPr>
      <w:b/>
      <w:bCs/>
      <w:smallCaps/>
      <w:color w:val="0F4761" w:themeColor="accent1" w:themeShade="BF"/>
      <w:spacing w:val="5"/>
    </w:rPr>
  </w:style>
  <w:style w:type="table" w:styleId="Tablaconcuadrcula">
    <w:name w:val="Table Grid"/>
    <w:basedOn w:val="Tablanormal"/>
    <w:uiPriority w:val="39"/>
    <w:rsid w:val="00BA6DA6"/>
    <w:pPr>
      <w:spacing w:after="0" w:line="240" w:lineRule="auto"/>
    </w:pPr>
    <w:rPr>
      <w:rFonts w:eastAsia="Arial MT"/>
      <w:kern w:val="0"/>
      <w:sz w:val="22"/>
      <w:szCs w:val="22"/>
      <w:lang w:val="es-E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
    <w:name w:val="Hyperlink"/>
    <w:basedOn w:val="Fuentedeprrafopredeter"/>
    <w:uiPriority w:val="99"/>
    <w:unhideWhenUsed/>
    <w:rsid w:val="00BA6DA6"/>
    <w:rPr>
      <w:color w:val="467886" w:themeColor="hyperlink"/>
      <w:u w:val="single"/>
    </w:rPr>
  </w:style>
  <w:style w:type="character" w:styleId="Mencinsinresolver">
    <w:name w:val="Unresolved Mention"/>
    <w:basedOn w:val="Fuentedeprrafopredeter"/>
    <w:uiPriority w:val="99"/>
    <w:semiHidden/>
    <w:unhideWhenUsed/>
    <w:rsid w:val="00BA6DA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hyperlink" Target="https://github.com/davidguox8/Fundamentos-Bases-de-Datos" TargetMode="External"/><Relationship Id="rId5" Type="http://schemas.openxmlformats.org/officeDocument/2006/relationships/image" Target="media/image1.png"/><Relationship Id="rId10" Type="http://schemas.openxmlformats.org/officeDocument/2006/relationships/hyperlink" Target="https://dialnet.unirioja.es/servlet/libro?codigo=374718&amp;utm_source=chatgpt.com" TargetMode="External"/><Relationship Id="rId4" Type="http://schemas.openxmlformats.org/officeDocument/2006/relationships/webSettings" Target="webSettings.xml"/><Relationship Id="rId9" Type="http://schemas.openxmlformats.org/officeDocument/2006/relationships/hyperlink" Target="https://books.google.com/books/about/Introducci%C3%B3n_a_los_sistemas_de_bases_de.html?hl=es&amp;id=Vhum351T-K8C&amp;utm_source=chatgpt.com"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11</TotalTime>
  <Pages>4</Pages>
  <Words>382</Words>
  <Characters>2106</Characters>
  <Application>Microsoft Office Word</Application>
  <DocSecurity>0</DocSecurity>
  <Lines>17</Lines>
  <Paragraphs>4</Paragraphs>
  <ScaleCrop>false</ScaleCrop>
  <Company/>
  <LinksUpToDate>false</LinksUpToDate>
  <CharactersWithSpaces>2484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Hilario Tzunux Guox</dc:creator>
  <cp:keywords/>
  <dc:description/>
  <cp:lastModifiedBy>David Hilario Tzunux Guox</cp:lastModifiedBy>
  <cp:revision>3</cp:revision>
  <dcterms:created xsi:type="dcterms:W3CDTF">2026-05-29T23:58:00Z</dcterms:created>
  <dcterms:modified xsi:type="dcterms:W3CDTF">2026-05-30T00:36:00Z</dcterms:modified>
</cp:coreProperties>
</file>