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Database Export Report</w:t>
      </w:r>
    </w:p>
    <w:p>
      <w:pPr>
        <w:pStyle w:val="Subtitle"/>
      </w:pPr>
      <w:r>
        <w:t xml:space="preserve">MasterAntiqueRepair: SQL Server to Oracle</w:t>
      </w:r>
    </w:p>
    <w:p>
      <w:pPr>
        <w:spacing w:after="200"/>
      </w:pPr>
      <w:r>
        <w:rPr>
          <w:b/>
          <w:color w:val="2563EB"/>
          <w:sz w:val="28"/>
          <w:szCs w:val="28"/>
        </w:rPr>
        <w:t xml:space="preserve">Sanitized Oracle schema and data export</w:t>
      </w:r>
    </w:p>
    <w:tbl>
      <w:tblPr>
        <w:tblW w:w="936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c>
          <w:tcPr>
            <w:tcW w:w="9360" w:type="dxa"/>
            <w:shd w:val="clear" w:color="auto" w:fill="15803D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44"/>
                <w:szCs w:val="44"/>
              </w:rPr>
              <w:t xml:space="preserve">EXPORT COMPLETE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8 tables  |  156 rows  |  credentials sanitized for 12 users  |  Oracle AI Database 26ai (version 23+)</w:t>
            </w:r>
          </w:p>
        </w:tc>
      </w:tr>
    </w:tbl>
    <w:p>
      <w:pPr>
        <w:pStyle w:val="Small"/>
      </w:pPr>
    </w:p>
    <w:p>
      <w:pPr>
        <w:spacing w:after="40"/>
      </w:pPr>
      <w:r>
        <w:t xml:space="preserve">Run date (UTC): 2026-09-30 08:36:58</w:t>
      </w:r>
    </w:p>
    <w:p>
      <w:pPr>
        <w:spacing w:after="40"/>
      </w:pPr>
      <w:r>
        <w:t xml:space="preserve">Source: (localdb)\MSSQLLocalDB, database aspnet-MasterAntiqueRepair-e93a6129-7f74-4486-97e8-8d4ab1a709b4</w:t>
      </w:r>
    </w:p>
    <w:p>
      <w:pPr>
        <w:spacing w:after="40"/>
      </w:pPr>
      <w:r>
        <w:t xml:space="preserve">Source version: Microsoft SQL Server 2025 (RC1) - 17.0.925.4 (X64)</w:t>
      </w:r>
    </w:p>
    <w:p>
      <w:pPr>
        <w:spacing w:after="240"/>
      </w:pPr>
      <w:r>
        <w:t xml:space="preserve">Tooling version: git commit 7b2b1fa</w:t>
      </w:r>
    </w:p>
    <w:p>
      <w:pPr>
        <w:spacing w:after="60"/>
      </w:pPr>
      <w:r>
        <w:rPr>
          <w:b/>
          <w:color w:val="1F3864"/>
          <w:sz w:val="28"/>
          <w:szCs w:val="28"/>
        </w:rPr>
        <w:t xml:space="preserve">Contents</w:t>
      </w:r>
    </w:p>
    <w:p>
      <w:pPr>
        <w:spacing w:after="20"/>
      </w:pPr>
      <w:r>
        <w:t xml:space="preserve">1. Executive summary</w:t>
      </w:r>
    </w:p>
    <w:p>
      <w:pPr>
        <w:spacing w:after="20"/>
      </w:pPr>
      <w:r>
        <w:t xml:space="preserve">2. Scope and method</w:t>
      </w:r>
    </w:p>
    <w:p>
      <w:pPr>
        <w:spacing w:after="20"/>
      </w:pPr>
      <w:r>
        <w:t xml:space="preserve">3. Results at a glance</w:t>
      </w:r>
    </w:p>
    <w:p>
      <w:pPr>
        <w:spacing w:after="20"/>
      </w:pPr>
      <w:r>
        <w:t xml:space="preserve">4. Table inventory</w:t>
      </w:r>
    </w:p>
    <w:p>
      <w:pPr>
        <w:spacing w:after="20"/>
      </w:pPr>
      <w:r>
        <w:t xml:space="preserve">5. Schema</w:t>
      </w:r>
    </w:p>
    <w:p>
      <w:pPr>
        <w:spacing w:after="20"/>
      </w:pPr>
      <w:r>
        <w:t xml:space="preserve">6. Business-level summaries</w:t>
      </w:r>
    </w:p>
    <w:p>
      <w:pPr>
        <w:spacing w:after="20"/>
      </w:pPr>
      <w:r>
        <w:t xml:space="preserve">7. Credential sanitization</w:t>
      </w:r>
    </w:p>
    <w:p>
      <w:pPr>
        <w:spacing w:after="20"/>
      </w:pPr>
      <w:r>
        <w:t xml:space="preserve">8. Known differences and exclusions</w:t>
      </w:r>
    </w:p>
    <w:p>
      <w:pPr>
        <w:spacing w:after="20"/>
      </w:pPr>
      <w:r>
        <w:t xml:space="preserve">9. Reproducibility and hand-off</w:t>
      </w:r>
    </w:p>
    <w:p>
      <w:pPr>
        <w:spacing w:after="20"/>
      </w:pPr>
      <w:r>
        <w:t xml:space="preserve">Appendix A. Full row hashes</w:t>
      </w:r>
    </w:p>
    <w:p>
      <w:pPr>
        <w:pStyle w:val="Heading1"/>
        <w:pageBreakBefore/>
      </w:pPr>
      <w:r>
        <w:t xml:space="preserve">1. Executive summary</w:t>
      </w:r>
    </w:p>
    <w:p>
      <w:r>
        <w:t xml:space="preserve">The MasterAntiqueRepair SQL Server database was exported into Oracle-specific files: a schema file (01-schema.sql), a data file (02-data-sanitized.sql) and a metadata file (source-metadata.json) describing the source. All 156 rows across 8 tables were exported. Password hashes and security stamps were blanked before anything was written, so no credential exists in any output file.</w:t>
      </w:r>
    </w:p>
    <w:p>
      <w:r>
        <w:t xml:space="preserve">This tool only exports. It does not load or check a Oracle database; that is import-oracle, which reads these files on a Linux machine, creates a Oracle database in a Docker container, and verifies it against the metadata described here. Everything in this report was produced by a deterministic script, not by a language model.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160"/>
        <w:gridCol w:w="2600"/>
        <w:gridCol w:w="2600"/>
      </w:tblGrid>
      <w:tr>
        <w:trPr>
          <w:cantSplit/>
          <w:tblHeader/>
        </w:trPr>
        <w:tc>
          <w:tcPr>
            <w:tcW w:w="41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Tables exported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Rows exported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156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Users with credentials sanitized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Case-insensitive duplicate active usernames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none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2. Scope and method</w:t>
      </w:r>
    </w:p>
    <w:p>
      <w:pPr>
        <w:pStyle w:val="Heading2"/>
      </w:pPr>
      <w:r>
        <w:t xml:space="preserve">What was exported</w:t>
      </w:r>
    </w:p>
    <w:p>
      <w:r>
        <w:t xml:space="preserve">All application tables in the source database: Roles, Users, AuditLogs, Tickets, Comments, UserClaims, UserLogins, UserRoles. The structure (columns, primary keys, foreign keys with cascade rules, indexes including the filtered unique index that lets a deleted user's name be reused, defaults and auto-number counters) and every row were carried across. The Entity Framework bookkeeping table (__MigrationHistory) was intentionally not exported.</w:t>
      </w:r>
    </w:p>
    <w:p>
      <w:pPr>
        <w:pStyle w:val="Heading2"/>
      </w:pPr>
      <w:r>
        <w:t xml:space="preserve">How it was produced</w:t>
      </w:r>
    </w:p>
    <w:p>
      <w:pPr>
        <w:pStyle w:val="ListBullet"/>
      </w:pPr>
      <w:r>
        <w:t xml:space="preserve">The tool reads SQL Server's own description of itself (tables, columns, keys, indexes, defaults, counters) and every row, and converts each value to one agreed text form.</w:t>
      </w:r>
    </w:p>
    <w:p>
      <w:pPr>
        <w:pStyle w:val="ListBullet"/>
      </w:pPr>
      <w:r>
        <w:t xml:space="preserve">Credentials are blanked in memory before anything is rendered, so an unsanitized data file never exists, not even briefly.</w:t>
      </w:r>
    </w:p>
    <w:p>
      <w:pPr>
        <w:pStyle w:val="ListBullet"/>
      </w:pPr>
      <w:r>
        <w:t xml:space="preserve">The Oracle schema and data files are then written from that same sanitized in-memory copy. Identifiers become lowercase snake_case; data values are never lowercased.</w:t>
      </w:r>
    </w:p>
    <w:p>
      <w:pPr>
        <w:pStyle w:val="ListBullet"/>
      </w:pPr>
      <w:r>
        <w:t xml:space="preserve">The metadata file records what the source looked like at export: structure, row counts, a SHA-256 per table over the sanitized rows, the answers to ten business questions, and the SHA-256 of the two SQL files. It is computed from the in-memory rows, not from the SQL text, so it is an independent record that import-oracle can check the loaded database against.</w:t>
      </w:r>
    </w:p>
    <w:p>
      <w:pPr>
        <w:pStyle w:val="ListBullet"/>
      </w:pPr>
      <w:r>
        <w:t xml:space="preserve">A self-test proves the tooling: two exports are byte-identical, no credential value appears in any output file, the tool refuses to export unsanitized data, row counts match a live count of the source, and this report rebuilds byte-identically.</w:t>
      </w:r>
    </w:p>
    <w:p>
      <w:pPr>
        <w:pStyle w:val="Heading1"/>
        <w:pageBreakBefore/>
      </w:pPr>
      <w:r>
        <w:t xml:space="preserve">3. Results at a glance</w:t>
      </w:r>
    </w:p>
    <w:p>
      <w:pPr>
        <w:pStyle w:val="Figure"/>
        <w:jc w:val="center"/>
      </w:pPr>
      <w:r>
        <w:drawing>
          <wp:inline distT="0" distB="0" distL="0" distR="0">
            <wp:extent cx="5300000" cy="2120000"/>
            <wp:docPr id="1" name="Chart 1" descr="Bar chart of rows exported per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Bar chart of rows exported per tabl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Figure 1. Number of rows exported from each table.</w:t>
      </w:r>
    </w:p>
    <w:p>
      <w:pPr>
        <w:pStyle w:val="Heading1"/>
      </w:pPr>
      <w:r>
        <w:t xml:space="preserve">4. Table inventory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00"/>
        <w:gridCol w:w="1700"/>
        <w:gridCol w:w="1000"/>
        <w:gridCol w:w="1300"/>
        <w:gridCol w:w="3660"/>
      </w:tblGrid>
      <w:tr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Source table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Oracle table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Last identity</w:t>
            </w:r>
          </w:p>
        </w:tc>
        <w:tc>
          <w:tcPr>
            <w:tcW w:w="36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 hash (SHA-256, first 16)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c0a2efd128356144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fa415e1421e2d4a8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AuditLogs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812ce44474626ebe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c34f64ec58233df7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c954517fcb3a64cb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UserClaims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e3b0c44298fc1c14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UserLogins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e3b0c44298fc1c14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UserRoles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44553a2bae5a2d40</w:t>
            </w:r>
          </w:p>
        </w:tc>
      </w:tr>
    </w:tbl>
    <w:p>
      <w:pPr>
        <w:pStyle w:val="Small"/>
      </w:pPr>
    </w:p>
    <w:p>
      <w:pPr>
        <w:pStyle w:val="Caption"/>
      </w:pPr>
      <w:r>
        <w:rPr>
          <w:i/>
        </w:rPr>
        <w:t xml:space="preserve">The hash is computed over all rows of the table in a fixed, database-independent form (Appendix A lists the full values). import-oracle recomputes it from the Oracle database it builds. An empty table hashes the empty string (e3b0c442...).</w:t>
      </w:r>
    </w:p>
    <w:p>
      <w:pPr>
        <w:pStyle w:val="Heading1"/>
      </w:pPr>
      <w:r>
        <w:t xml:space="preserve">5. Schema</w:t>
      </w:r>
    </w:p>
    <w:p>
      <w:r>
        <w:t xml:space="preserve">Identifiers are lowercase snake_case in the SQL; Oracle stores them in upper case. Column types are the Oracle types the schema file declares. The users table also carries one column that does not exist in the source: must_reset_password (see section 7).</w:t>
      </w:r>
    </w:p>
    <w:p>
      <w:pPr>
        <w:pStyle w:val="Heading2"/>
      </w:pPr>
      <w:r>
        <w:t xml:space="preserve">Roles -&gt; roles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Name -&gt; name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VARCHAR2(256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Users -&gt; users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Name -&gt; name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VARCHAR2(256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CreatedAt -&gt; created_at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PasswordHash -&gt; password_hash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Discriminator -&gt; discriminator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VARCHAR2(128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DeletedAt -&gt; deleted_at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Email -&gt; email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VARCHAR2(256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EmailConfirmed -&gt; email_confirmed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SecurityStamp -&gt; security_stamp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PhoneNumber -&gt; phone_number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PhoneNumberConfirmed -&gt; phone_number_confirmed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TwoFactorEnabled -&gt; two_factor_enabled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LockoutEndDateUtc -&gt; lockout_end_date_utc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LockoutEnabled -&gt; lockout_enabled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AccessFailedCount -&gt; access_failed_count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MustResetPassword -&gt; must_reset_password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added by sanitization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AuditLogs -&gt; audit_logs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Timestamp -&gt; timestamp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Action -&gt; action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EntityType -&gt; entity_type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EntityId -&gt; entity_id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Tickets -&gt; tickets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State -&gt; state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Description -&gt; description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VARCHAR2(2000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User_Id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Customer_Id -&gt; customer_id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SubmittedDate -&gt; submitted_date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AssignedDate -&gt; assigned_date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CompletedDate -&gt; completed_date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Comments -&gt; comments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TicketId -&gt; ticket_id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Text -&gt; text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VARCHAR2(2000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CreatedAt -&gt; created_at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TIMESTAMP(3)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UserClaims -&gt; user_claims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ClaimType -&gt; claim_type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ClaimValue -&gt; claim_value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CLOB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UserLogins -&gt; user_logins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LoginProvider -&gt; login_provider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VARCHAR2(128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ProviderKey -&gt; provider_key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VARCHAR2(128 CHAR)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UserRoles -&gt; user_roles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Oracle)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RoleId -&gt; role_id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NUMBER(10)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Foreign keys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00"/>
        <w:gridCol w:w="3000"/>
        <w:gridCol w:w="3560"/>
        <w:gridCol w:w="1300"/>
      </w:tblGrid>
      <w:tr>
        <w:trPr>
          <w:cantSplit/>
          <w:tblHeader/>
        </w:trPr>
        <w:tc>
          <w:tcPr>
            <w:tcW w:w="15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3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Constraint</w:t>
            </w:r>
          </w:p>
        </w:tc>
        <w:tc>
          <w:tcPr>
            <w:tcW w:w="35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References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On delete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fk_audit_logs_users_user_id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fk_tickets_users_customer_id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(customer_id)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NO ACTION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fk_tickets_users_user_id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NO ACTION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fk_comments_tickets_ticket_id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(ticket_id) -&gt; tickets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fk_comments_users_user_id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fk_user_claims_users_user_id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fk_user_logins_users_user_id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fk_user_roles_roles_role_id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(role_id) -&gt; roles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fk_user_roles_users_user_id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Indexes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00"/>
        <w:gridCol w:w="2800"/>
        <w:gridCol w:w="900"/>
        <w:gridCol w:w="2100"/>
        <w:gridCol w:w="2160"/>
      </w:tblGrid>
      <w:tr>
        <w:trPr>
          <w:cantSplit/>
          <w:tblHeader/>
        </w:trPr>
        <w:tc>
          <w:tcPr>
            <w:tcW w:w="14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28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Index</w:t>
            </w:r>
          </w:p>
        </w:tc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Unique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tcW w:w="21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Filter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ix_roles_name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name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ix_users_name_active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CASE WHEN deleted_at IS NULL THEN LOWER(name) END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WHERE deleted_at IS NULL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ix_audit_logs_user_id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ix_tickets_customer_id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customer_id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ix_tickets_user_id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ix_comments_ticket_id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ticket_id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ix_comments_user_id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ix_user_claims_user_id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ix_user_logins_user_id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ix_user_roles_role_id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role_id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ix_user_roles_user_id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r>
        <w:t xml:space="preserve">ix_users_name_active is the important one: Oracle has no partial index, so it is a unique function-based index on CASE WHEN deleted_at IS NULL THEN LOWER(name) END; rows with a deleted_at value produce no key. An account that is soft-deleted keeps its row but frees its user name for reuse, and "Bob" and "bob" cannot both be active. The Filter column above shows the rule the key expression implements.</w:t>
      </w:r>
    </w:p>
    <w:p>
      <w:pPr>
        <w:pStyle w:val="Heading1"/>
        <w:pageBreakBefore/>
      </w:pPr>
      <w:r>
        <w:t xml:space="preserve">6. Business-level summaries</w:t>
      </w:r>
    </w:p>
    <w:p>
      <w:r>
        <w:t xml:space="preserve">Ten business questions were asked of the SQL Server source; the answers are recorded in the metadata so import-oracle can ask the same questions of the Oracle database and compare.</w:t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2" name="Chart 2" descr="Bar chart: users per ro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 descr="Bar chart: users per rol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3" name="Chart 3" descr="Bar chart: active versus soft-deleted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 descr="Bar chart: active versus soft-deleted users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4" name="Chart 4" descr="Bar chart: tickets by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 descr="Bar chart: tickets by stat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5" name="Chart 5" descr="Bar chart: audit events by a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 descr="Bar chart: audit events by action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00"/>
        <w:gridCol w:w="6060"/>
      </w:tblGrid>
      <w:tr>
        <w:trPr>
          <w:cantSplit/>
          <w:tblHeader/>
        </w:trPr>
        <w:tc>
          <w:tcPr>
            <w:tcW w:w="3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Summary</w:t>
            </w:r>
          </w:p>
        </w:tc>
        <w:tc>
          <w:tcPr>
            <w:tcW w:w="6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Answer recorded from the source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by type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Customer = 8; Employee = 3; Manager = 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active vs soft-deleted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active = 12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per role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Customer = 8; Employee = 3; Manager = 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Tickets by state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0 = 8; 1 = 8; 2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Tickets assigned vs unassigned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assigned = 16; unassigned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Audit events by action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0 = 11; 1 = 2; 2 = 24; 3 = 16; ...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Comments per ticket (distribution)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3 = 6; 4 = 2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Comment and commented-ticket totals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26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 date ranges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2026-09-07 08:20:34 | 2026-09-16 08:39:18 | 2026-09-07 11:26:34 | 2026-09-14 10:16:58 | 2026-09-11 00:13:34 | 2026-09-17 14:15:58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Account and audit date ranges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2026-09-10 14:41:58 | 2026-09-11 16:41:58 | 2026-09-07 08:20:34 | 2026-09-30 03:07:32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7. Credential sanitization</w:t>
      </w:r>
    </w:p>
    <w:p>
      <w:r>
        <w:t xml:space="preserve">Every users row had its password hash and security stamp set to NULL, and a new must_reset_password column set to true. This is a deliberate one-time-bootstrap policy: forcing a password reset at first login means no usable legacy credential is carried into the target at all (docs/phase1/dbmigrate/DATA_MIGRATION.md 5.2). Nothing else in the users table, or in any other table, was changed.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360"/>
        <w:gridCol w:w="4000"/>
      </w:tblGrid>
      <w:tr>
        <w:trPr>
          <w:cantSplit/>
          <w:tblHeader/>
        </w:trPr>
        <w:tc>
          <w:tcPr>
            <w:tcW w:w="53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tcW w:w="4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All users have a NULL password_hash and security_stamp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All users have must_reset_password = true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No duplicate active username, ignoring case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</w:tbl>
    <w:p>
      <w:pPr>
        <w:pStyle w:val="Small"/>
      </w:pPr>
    </w:p>
    <w:p>
      <w:r>
        <w:t xml:space="preserve">The self-test additionally scans every output file for every original credential value read from the source and finds none.</w:t>
      </w:r>
    </w:p>
    <w:p>
      <w:pPr>
        <w:pStyle w:val="Heading1"/>
      </w:pPr>
      <w:r>
        <w:t xml:space="preserve">8. Known differences and exclusions</w:t>
      </w:r>
    </w:p>
    <w:p>
      <w:pPr>
        <w:pStyle w:val="ListBullet"/>
      </w:pPr>
      <w:r>
        <w:t xml:space="preserve">The Entity Framework migration history table (__MigrationHistory) is not exported; it only describes the SQL Server schema history and has no meaning in Oracle.</w:t>
      </w:r>
    </w:p>
    <w:p>
      <w:pPr>
        <w:pStyle w:val="ListBullet"/>
      </w:pPr>
      <w:r>
        <w:t xml:space="preserve">The SQL Server "dbo" schema prefix is dropped.</w:t>
      </w:r>
    </w:p>
    <w:p>
      <w:pPr>
        <w:pStyle w:val="ListBullet"/>
      </w:pPr>
      <w:r>
        <w:t xml:space="preserve">Identifiers are lowercase snake_case in the SQL (for example CreatedAt becomes created_at; User_Id becomes user_id) and Oracle stores them in upper case; foreign key and index names are renamed too. Data values are never lowercased.</w:t>
      </w:r>
    </w:p>
    <w:p>
      <w:pPr>
        <w:pStyle w:val="ListBullet"/>
      </w:pPr>
      <w:r>
        <w:t xml:space="preserve">datetime columns become TIMESTAMP(3) without time zone and keep the source values exactly; it is not known whether the legacy application stored UTC or local times (only LockoutEndDateUtc is UTC by name), so no zone conversion is made.</w:t>
      </w:r>
    </w:p>
    <w:p>
      <w:pPr>
        <w:pStyle w:val="ListBullet"/>
      </w:pPr>
      <w:r>
        <w:t xml:space="preserve">SQL Server compared text case-insensitively; Oracle is case-sensitive. Username uniqueness is enforced case-insensitively by a function-based unique index on CASE WHEN deleted_at IS NULL THEN LOWER(name) END (Oracle has no partial index), so authentication must compare LOWER(name) = LOWER(input). Role names use a plain case-sensitive unique index.</w:t>
      </w:r>
    </w:p>
    <w:p>
      <w:pPr>
        <w:pStyle w:val="ListBullet"/>
      </w:pPr>
      <w:r>
        <w:t xml:space="preserve">bit columns become the native BOOLEAN type (Oracle 23ai and later; not available on 19c); the identity columns become GENERATED BY DEFAULT AS IDENTITY and the data supplies explicit ids (each identity is restarted after the last issued value once the data is loaded).</w:t>
      </w:r>
    </w:p>
    <w:p>
      <w:pPr>
        <w:pStyle w:val="ListBullet"/>
      </w:pPr>
      <w:r>
        <w:t xml:space="preserve">Oracle stores an empty string as NULL. The export refuses a source that contains an empty string (there is none), because loading it would silently turn it into NULL.</w:t>
      </w:r>
    </w:p>
    <w:p>
      <w:pPr>
        <w:pStyle w:val="ListBullet"/>
      </w:pPr>
      <w:r>
        <w:t xml:space="preserve">ON DELETE NO ACTION is written by leaving the clause out: Oracle rejects the words, and its default already means no action.</w:t>
      </w:r>
    </w:p>
    <w:p>
      <w:pPr>
        <w:pStyle w:val="ListBullet"/>
      </w:pPr>
      <w:r>
        <w:t xml:space="preserve">nvarchar(n) becomes VARCHAR2(n CHAR): the length is in characters, but a VARCHAR2 value is also limited to 4000 bytes unless the database has MAX_STRING_SIZE=EXTENDED, so multi-byte text near the limit can overflow.</w:t>
      </w:r>
    </w:p>
    <w:p>
      <w:pPr>
        <w:pStyle w:val="ListBullet"/>
      </w:pPr>
      <w:r>
        <w:t xml:space="preserve">The SQL files are pure ASCII: control characters are written as CHR(n) and non-ASCII characters as UNISTR('\XXXX'), so loading does not depend on the client character set.</w:t>
      </w:r>
    </w:p>
    <w:p>
      <w:pPr>
        <w:pStyle w:val="ListBullet"/>
      </w:pPr>
      <w:r>
        <w:t xml:space="preserve">Index names that were duplicated across tables in SQL Server (for example IX_UserId) were prefixed with the table name, then renamed to snake_case.</w:t>
      </w:r>
    </w:p>
    <w:p>
      <w:pPr>
        <w:pStyle w:val="ListBullet"/>
      </w:pPr>
      <w:r>
        <w:t xml:space="preserve">The single users table keeps its "discriminator" column (Customer / Employee / Manager) unchanged.</w:t>
      </w:r>
    </w:p>
    <w:p>
      <w:pPr>
        <w:pStyle w:val="Heading1"/>
      </w:pPr>
      <w:r>
        <w:t xml:space="preserve">9. Reproducibility and hand-off</w:t>
      </w:r>
    </w:p>
    <w:p>
      <w:r>
        <w:t xml:space="preserve">From a Windows command prompt in the repository root:</w:t>
      </w:r>
    </w:p>
    <w:p>
      <w:pPr>
        <w:spacing w:after="40"/>
      </w:pPr>
      <w:r>
        <w:rPr>
          <w:b/>
          <w:color w:val="1F3864"/>
        </w:rPr>
        <w:t xml:space="preserve">tools\phase1\dbmigrate\export-oracle\export-oracle.cmd all --target oracle</w:t>
      </w:r>
    </w:p>
    <w:p>
      <w:r>
        <w:t xml:space="preserve">runs export, the tooling self-test and this report. Individual steps: export, selftest, report.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0"/>
        <w:gridCol w:w="6560"/>
      </w:tblGrid>
      <w:tr>
        <w:trPr>
          <w:cantSplit/>
          <w:tblHeader/>
        </w:trPr>
        <w:tc>
          <w:tcPr>
            <w:tcW w:w="28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65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Tooling git commit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7b2b1fa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Source server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Microsoft SQL Server 2025 (RC1) - 17.0.925.4 (X64)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Run time (UTC)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2026-09-30 08:36:58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01-schema.sql SHA-256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1882e31d2963b5435dd99801193e70ed7eb408646ee8ba6ca3b899fd869e159a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02-data-sanitized.sql SHA-256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64602aebd2351b79889890b0ae4f9c429bc2018ac4c04654e2349ff1e6d62578</w:t>
            </w:r>
          </w:p>
        </w:tc>
      </w:tr>
    </w:tbl>
    <w:p>
      <w:pPr>
        <w:pStyle w:val="Small"/>
      </w:pPr>
    </w:p>
    <w:p>
      <w:r>
        <w:t xml:space="preserve">Hand-off to import-oracle: after a successful export, copy 01-schema.sql, 02-data-sanitized.sql and source-metadata.json into tools\phase1\dbmigrate\import-oracle\input\ and commit them. import-oracle (Linux, Docker) reads only that folder. See docs/phase1/dbmigrate/import-oracle/README.md.</w:t>
      </w:r>
    </w:p>
    <w:p>
      <w:pPr>
        <w:pStyle w:val="Heading1"/>
        <w:pageBreakBefore/>
      </w:pPr>
      <w:r>
        <w:t xml:space="preserve">Appendix A. Full row hashes</w:t>
      </w:r>
    </w:p>
    <w:p>
      <w:r>
        <w:t xml:space="preserve">SHA-256 over all rows of each table in the canonical form (rows sorted by their canonical text, joined by line feeds, hashed as UTF-8), computed from the sanitized rows at export.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00"/>
        <w:gridCol w:w="1000"/>
        <w:gridCol w:w="6660"/>
      </w:tblGrid>
      <w:tr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66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SHA-256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c0a2efd12835614432929f984bc5568f</w:t>
              <w:br/>
              <w:t xml:space="preserve">0bef002000c247946417e4131f582b14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fa415e1421e2d4a8ba921f6c7b488354</w:t>
              <w:br/>
              <w:t xml:space="preserve">a8d9de3c06bd754b4b74bb47cc50cf94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AuditLogs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812ce44474626ebe36093b66246f9410</w:t>
              <w:br/>
              <w:t xml:space="preserve">72c87b0dbdcf7d4d4325be32a0fc4423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c34f64ec58233df74a39c63e0b2c15c7</w:t>
              <w:br/>
              <w:t xml:space="preserve">a3cc751e747cc9a68f55a3ee6e164711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c954517fcb3a64cbb6fa5e8bc5f1619e</w:t>
              <w:br/>
              <w:t xml:space="preserve">e7a64453bc80bfcf1783d9845d4a72ea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UserClaims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e3b0c44298fc1c149afbf4c8996fb924</w:t>
              <w:br/>
              <w:t xml:space="preserve">27ae41e4649b934ca495991b7852b855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UserLogins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e3b0c44298fc1c149afbf4c8996fb924</w:t>
              <w:br/>
              <w:t xml:space="preserve">27ae41e4649b934ca495991b7852b855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44553a2bae5a2d4035a03bfd1d63a239</w:t>
              <w:br/>
              <w:t xml:space="preserve">e33929a4dd668d4687cacdfa44308007</w:t>
            </w:r>
          </w:p>
        </w:tc>
      </w:tr>
    </w:tbl>
    <w:p>
      <w:pPr>
        <w:pStyle w:val="Small"/>
      </w:pPr>
    </w:p>
    <w:sectPr>
      <w:headerReference w:type="default" r:id="rIdHdr"/>
      <w:footerReference w:type="default" r:id="rIdFtr"/>
      <w:pgSz w:w="12240" w:h="15840"/>
      <w:pgMar w:top="1300" w:right="1440" w:bottom="1200" w:left="1440" w:header="60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t xml:space="preserve">Commit 7b2b1fa | 2026-09-30 08:36:58 UTC   | 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MasterAntiqueRepair - export-oracle - Database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1200" w:after="120"/>
    </w:pPr>
    <w:rPr>
      <w:b/>
      <w:color w:val="1F3864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4B5563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80"/>
      <w:outlineLvl w:val="1"/>
    </w:pPr>
    <w:rPr>
      <w:b/>
      <w:color w:val="2563EB"/>
      <w:sz w:val="28"/>
      <w:szCs w:val="28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sz w:val="18"/>
      <w:szCs w:val="18"/>
    </w:rPr>
  </w:style>
  <w:style w:type="paragraph" w:styleId="Small">
    <w:name w:val="Small"/>
    <w:basedOn w:val="Normal"/>
    <w:pPr>
      <w:spacing w:before="0" w:after="60"/>
    </w:pPr>
    <w:rPr>
      <w:sz w:val="12"/>
      <w:szCs w:val="12"/>
    </w:rPr>
  </w:style>
  <w:style w:type="paragraph" w:styleId="Figure">
    <w:name w:val="Figure"/>
    <w:basedOn w:val="Normal"/>
    <w:pPr>
      <w:keepNext/>
      <w:spacing w:before="120" w:after="120"/>
    </w:pPr>
  </w:style>
  <w:style w:type="paragraph" w:styleId="Caption">
    <w:name w:val="caption"/>
    <w:basedOn w:val="Normal"/>
    <w:qFormat/>
    <w:pPr>
      <w:spacing w:after="200"/>
    </w:pPr>
    <w:rPr>
      <w:i/>
      <w:color w:val="6B7280"/>
      <w:sz w:val="18"/>
      <w:szCs w:val="18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</w:pPr>
  </w:style>
  <w:style w:type="paragraph" w:styleId="Code">
    <w:name w:val="Code"/>
    <w:basedOn w:val="Normal"/>
    <w:qFormat/>
    <w:pPr>
      <w:shd w:val="clear" w:color="auto" w:fill="F3F4F6"/>
      <w:spacing w:before="0" w:after="0" w:line="240" w:lineRule="auto"/>
      <w:ind w:left="200"/>
    </w:pPr>
    <w:rPr>
      <w:rFonts w:ascii="Consolas" w:hAnsi="Consolas" w:cs="Consolas"/>
      <w:sz w:val="18"/>
      <w:szCs w:val="18"/>
    </w:rPr>
  </w:style>
  <w:style w:type="paragraph" w:styleId="Header">
    <w:name w:val="header"/>
    <w:basedOn w:val="Normal"/>
    <w:pPr>
      <w:spacing w:after="0"/>
    </w:pPr>
    <w:rPr>
      <w:color w:val="6B7280"/>
      <w:sz w:val="18"/>
      <w:szCs w:val="18"/>
    </w:rPr>
  </w:style>
  <w:style w:type="paragraph" w:styleId="Footer">
    <w:name w:val="footer"/>
    <w:basedOn w:val="Normal"/>
    <w:pPr>
      <w:spacing w:after="0"/>
    </w:pPr>
    <w:rPr>
      <w:color w:val="6B728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dbmigrate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Database Export Report</dc:title>
  <dc:creator>dbmigrate</dc:creator>
  <dcterms:created xsi:type="dcterms:W3CDTF">2026-09-30T08:36:58Z</dcterms:created>
  <dcterms:modified xsi:type="dcterms:W3CDTF">2026-09-30T08:36:58Z</dcterms:modified>
</cp:coreProperties>
</file>