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Database Migration Verification Report</w:t>
      </w:r>
    </w:p>
    <w:p>
      <w:pPr>
        <w:pStyle w:val="Subtitle"/>
      </w:pPr>
      <w:r>
        <w:t xml:space="preserve">MasterAntiqueRepair: SQL Server to SQLite</w:t>
      </w:r>
    </w:p>
    <w:p>
      <w:pPr>
        <w:spacing w:after="200"/>
      </w:pPr>
      <w:r>
        <w:rPr>
          <w:b/>
          <w:color w:val="2563EB"/>
          <w:sz w:val="28"/>
          <w:szCs w:val="28"/>
        </w:rPr>
        <w:t xml:space="preserve">Iteration 1 - SQLite on Windows</w:t>
      </w:r>
    </w:p>
    <w:tbl>
      <w:tblPr>
        <w:tblW w:w="9360" w:type="dxa"/>
        <w:tblLayout w:type="fixed"/>
        <w:tblCellMar>
          <w:top w:w="160" w:type="dxa"/>
          <w:left w:w="200" w:type="dxa"/>
          <w:bottom w:w="160" w:type="dxa"/>
          <w:right w:w="200" w:type="dxa"/>
        </w:tblCellMar>
      </w:tblPr>
      <w:tblGrid>
        <w:gridCol w:w="9360"/>
      </w:tblGrid>
      <w:tr>
        <w:tc>
          <w:tcPr>
            <w:tcW w:w="9360" w:type="dxa"/>
            <w:shd w:val="clear" w:color="auto" w:fill="15803D"/>
          </w:tcPr>
          <w:p>
            <w:pPr>
              <w:spacing w:after="40"/>
              <w:jc w:val="center"/>
            </w:pPr>
            <w:r>
              <w:rPr>
                <w:b/>
                <w:color w:val="FFFFFF"/>
                <w:sz w:val="44"/>
                <w:szCs w:val="44"/>
              </w:rPr>
              <w:t xml:space="preserve">VERIFICATION PASSED</w:t>
            </w:r>
          </w:p>
          <w:p>
            <w:pPr>
              <w:spacing w:after="0"/>
              <w:jc w:val="center"/>
            </w:pPr>
            <w:r>
              <w:rPr>
                <w:color w:val="FFFFFF"/>
                <w:sz w:val="24"/>
                <w:szCs w:val="24"/>
              </w:rPr>
              <w:t xml:space="preserve">42 of 42 checks passed  |  155 of 155 rows verified identical  |  8 tables</w:t>
            </w:r>
          </w:p>
        </w:tc>
      </w:tr>
    </w:tbl>
    <w:p>
      <w:pPr>
        <w:pStyle w:val="Small"/>
      </w:pPr>
    </w:p>
    <w:p>
      <w:pPr>
        <w:spacing w:after="40"/>
      </w:pPr>
      <w:r>
        <w:t xml:space="preserve">Run date (UTC): 2026-09-24 09:36:10</w:t>
      </w:r>
    </w:p>
    <w:p>
      <w:pPr>
        <w:spacing w:after="40"/>
      </w:pPr>
      <w:r>
        <w:t xml:space="preserve">Source: (localdb)\MSSQLLocalDB, database aspnet-MasterAntiqueRepair-e93a6129-7f74-4486-97e8-8d4ab1a709b4</w:t>
      </w:r>
    </w:p>
    <w:p>
      <w:pPr>
        <w:spacing w:after="40"/>
      </w:pPr>
      <w:r>
        <w:t xml:space="preserve">Target: SQLite masterantique.sqlite, sqlite3 3.53.4</w:t>
      </w:r>
    </w:p>
    <w:p>
      <w:pPr>
        <w:spacing w:after="240"/>
      </w:pPr>
      <w:r>
        <w:t xml:space="preserve">Tooling version: git commit dde75c0</w:t>
      </w:r>
    </w:p>
    <w:p>
      <w:pPr>
        <w:spacing w:after="60"/>
      </w:pPr>
      <w:r>
        <w:rPr>
          <w:b/>
          <w:color w:val="1F3864"/>
          <w:sz w:val="28"/>
          <w:szCs w:val="28"/>
        </w:rPr>
        <w:t xml:space="preserve">Contents</w:t>
      </w:r>
    </w:p>
    <w:p>
      <w:pPr>
        <w:spacing w:after="20"/>
      </w:pPr>
      <w:r>
        <w:t xml:space="preserve">1. Executive summary</w:t>
      </w:r>
    </w:p>
    <w:p>
      <w:pPr>
        <w:spacing w:after="20"/>
      </w:pPr>
      <w:r>
        <w:t xml:space="preserve">2. Scope and method</w:t>
      </w:r>
    </w:p>
    <w:p>
      <w:pPr>
        <w:spacing w:after="20"/>
      </w:pPr>
      <w:r>
        <w:t xml:space="preserve">3. Results at a glance</w:t>
      </w:r>
    </w:p>
    <w:p>
      <w:pPr>
        <w:spacing w:after="20"/>
      </w:pPr>
      <w:r>
        <w:t xml:space="preserve">4. Data verification in detail</w:t>
      </w:r>
    </w:p>
    <w:p>
      <w:pPr>
        <w:spacing w:after="20"/>
      </w:pPr>
      <w:r>
        <w:t xml:space="preserve">5. Schema and integrity</w:t>
      </w:r>
    </w:p>
    <w:p>
      <w:pPr>
        <w:spacing w:after="20"/>
      </w:pPr>
      <w:r>
        <w:t xml:space="preserve">6. Business-level summaries</w:t>
      </w:r>
    </w:p>
    <w:p>
      <w:pPr>
        <w:spacing w:after="20"/>
      </w:pPr>
      <w:r>
        <w:t xml:space="preserve">7. Behaviour tests and tooling self-test</w:t>
      </w:r>
    </w:p>
    <w:p>
      <w:pPr>
        <w:spacing w:after="20"/>
      </w:pPr>
      <w:r>
        <w:t xml:space="preserve">8. Differences found</w:t>
      </w:r>
    </w:p>
    <w:p>
      <w:pPr>
        <w:spacing w:after="20"/>
      </w:pPr>
      <w:r>
        <w:t xml:space="preserve">9. Intentional exclusions and known differences</w:t>
      </w:r>
    </w:p>
    <w:p>
      <w:pPr>
        <w:spacing w:after="20"/>
      </w:pPr>
      <w:r>
        <w:t xml:space="preserve">10. Reproducibility</w:t>
      </w:r>
    </w:p>
    <w:p>
      <w:pPr>
        <w:spacing w:after="20"/>
      </w:pPr>
      <w:r>
        <w:t xml:space="preserve">11. Sign-off</w:t>
      </w:r>
    </w:p>
    <w:p>
      <w:pPr>
        <w:spacing w:after="20"/>
      </w:pPr>
      <w:r>
        <w:t xml:space="preserve">Appendix A. Full row hashes</w:t>
      </w:r>
    </w:p>
    <w:p>
      <w:pPr>
        <w:pStyle w:val="Heading1"/>
        <w:pageBreakBefore/>
      </w:pPr>
      <w:r>
        <w:t xml:space="preserve">1. Executive summary</w:t>
      </w:r>
    </w:p>
    <w:p>
      <w:r>
        <w:t xml:space="preserve">The MasterAntiqueRepair SQL Server database was exported and loaded into a new SQLite database. Every check passed. All 155 rows across 8 tables in the source were found in the SQLite copy with identical content, the schema objects (tables, columns, keys, foreign keys, indexes) match, and the database rules that the application depends on still work in the copy.</w:t>
      </w:r>
    </w:p>
    <w:p>
      <w:r>
        <w:t xml:space="preserve">Everything in this report was produced by a deterministic script, not by a language model: the same source database always produces the same export files, and the same verification results always produce the same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120"/>
        <w:gridCol w:w="2080"/>
        <w:gridCol w:w="2080"/>
        <w:gridCol w:w="2080"/>
      </w:tblGrid>
      <w:tr>
        <w:trPr>
          <w:cantSplit/>
          <w:tblHeader/>
        </w:trPr>
        <w:tc>
          <w:tcPr>
            <w:tcW w:w="3120" w:type="dxa"/>
            <w:shd w:val="clear" w:color="auto" w:fill="1F3864"/>
            <w:vAlign w:val="center"/>
          </w:tcPr>
          <w:p>
            <w:pPr>
              <w:pStyle w:val="TableText"/>
            </w:pPr>
            <w:r>
              <w:rPr>
                <w:b/>
                <w:color w:val="FFFFFF"/>
              </w:rPr>
              <w:t xml:space="preserve">Measure</w:t>
            </w:r>
          </w:p>
        </w:tc>
        <w:tc>
          <w:tcPr>
            <w:tcW w:w="2080" w:type="dxa"/>
            <w:shd w:val="clear" w:color="auto" w:fill="1F3864"/>
            <w:vAlign w:val="center"/>
          </w:tcPr>
          <w:p>
            <w:pPr>
              <w:pStyle w:val="TableText"/>
            </w:pPr>
            <w:r>
              <w:rPr>
                <w:b/>
                <w:color w:val="FFFFFF"/>
              </w:rPr>
              <w:t xml:space="preserve">Source (SQL Server)</w:t>
            </w:r>
          </w:p>
        </w:tc>
        <w:tc>
          <w:tcPr>
            <w:tcW w:w="2080" w:type="dxa"/>
            <w:shd w:val="clear" w:color="auto" w:fill="1F3864"/>
            <w:vAlign w:val="center"/>
          </w:tcPr>
          <w:p>
            <w:pPr>
              <w:pStyle w:val="TableText"/>
            </w:pPr>
            <w:r>
              <w:rPr>
                <w:b/>
                <w:color w:val="FFFFFF"/>
              </w:rPr>
              <w:t xml:space="preserve">Target (SQLite)</w:t>
            </w:r>
          </w:p>
        </w:tc>
        <w:tc>
          <w:tcPr>
            <w:tcW w:w="2080" w:type="dxa"/>
            <w:shd w:val="clear" w:color="auto" w:fill="1F3864"/>
            <w:vAlign w:val="center"/>
          </w:tcPr>
          <w:p>
            <w:pPr>
              <w:pStyle w:val="TableText"/>
            </w:pPr>
            <w:r>
              <w:rPr>
                <w:b/>
                <w:color w:val="FFFFFF"/>
              </w:rPr>
              <w:t xml:space="preserve">Result</w:t>
            </w:r>
          </w:p>
        </w:tc>
      </w:tr>
      <w:tr>
        <w:trPr>
          <w:cantSplit/>
        </w:trPr>
        <w:tc>
          <w:tcPr>
            <w:tcW w:w="3120" w:type="dxa"/>
            <w:vAlign w:val="center"/>
          </w:tcPr>
          <w:p>
            <w:pPr>
              <w:pStyle w:val="TableText"/>
            </w:pPr>
            <w:r>
              <w:t xml:space="preserve">Tables</w:t>
            </w:r>
          </w:p>
        </w:tc>
        <w:tc>
          <w:tcPr>
            <w:tcW w:w="2080" w:type="dxa"/>
            <w:vAlign w:val="center"/>
          </w:tcPr>
          <w:p>
            <w:pPr>
              <w:pStyle w:val="TableText"/>
            </w:pPr>
            <w:r>
              <w:t xml:space="preserve">8</w:t>
            </w:r>
          </w:p>
        </w:tc>
        <w:tc>
          <w:tcPr>
            <w:tcW w:w="2080" w:type="dxa"/>
            <w:vAlign w:val="center"/>
          </w:tcPr>
          <w:p>
            <w:pPr>
              <w:pStyle w:val="TableText"/>
            </w:pPr>
            <w:r>
              <w:t xml:space="preserve">8</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in all tables</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Rows verified identical, field by field</w:t>
            </w:r>
          </w:p>
        </w:tc>
        <w:tc>
          <w:tcPr>
            <w:tcW w:w="2080" w:type="dxa"/>
            <w:vAlign w:val="center"/>
          </w:tcPr>
          <w:p>
            <w:pPr>
              <w:pStyle w:val="TableText"/>
            </w:pPr>
            <w:r>
              <w:t xml:space="preserve">155</w:t>
            </w:r>
          </w:p>
        </w:tc>
        <w:tc>
          <w:tcPr>
            <w:tcW w:w="2080" w:type="dxa"/>
            <w:vAlign w:val="center"/>
          </w:tcPr>
          <w:p>
            <w:pPr>
              <w:pStyle w:val="TableText"/>
            </w:pPr>
            <w:r>
              <w:t xml:space="preserve">155</w:t>
            </w:r>
          </w:p>
        </w:tc>
        <w:tc>
          <w:tcPr>
            <w:tcW w:w="2080" w:type="dxa"/>
            <w:shd w:val="clear" w:color="auto" w:fill="DCFCE7"/>
            <w:vAlign w:val="center"/>
          </w:tcPr>
          <w:p>
            <w:pPr>
              <w:pStyle w:val="TableText"/>
              <w:jc w:val="center"/>
            </w:pPr>
            <w:r>
              <w:rPr>
                <w:b/>
                <w:color w:val="15803D"/>
              </w:rPr>
              <w:t xml:space="preserve">PASS</w:t>
            </w:r>
          </w:p>
        </w:tc>
      </w:tr>
      <w:tr>
        <w:trPr>
          <w:cantSplit/>
        </w:trPr>
        <w:tc>
          <w:tcPr>
            <w:tcW w:w="3120" w:type="dxa"/>
            <w:vAlign w:val="center"/>
          </w:tcPr>
          <w:p>
            <w:pPr>
              <w:pStyle w:val="TableText"/>
            </w:pPr>
            <w:r>
              <w:t xml:space="preserve">Checks passed</w:t>
            </w:r>
          </w:p>
        </w:tc>
        <w:tc>
          <w:tcPr>
            <w:tcW w:w="2080" w:type="dxa"/>
            <w:vAlign w:val="center"/>
          </w:tcPr>
          <w:p>
            <w:pPr>
              <w:pStyle w:val="TableText"/>
            </w:pPr>
            <w:r>
              <w:t xml:space="preserve">42</w:t>
            </w:r>
          </w:p>
        </w:tc>
        <w:tc>
          <w:tcPr>
            <w:tcW w:w="2080" w:type="dxa"/>
            <w:vAlign w:val="center"/>
          </w:tcPr>
          <w:p>
            <w:pPr>
              <w:pStyle w:val="TableText"/>
            </w:pPr>
            <w:r>
              <w:t xml:space="preserve">42</w:t>
            </w:r>
          </w:p>
        </w:tc>
        <w:tc>
          <w:tcPr>
            <w:tcW w:w="208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2. Scope and method</w:t>
      </w:r>
    </w:p>
    <w:p>
      <w:pPr>
        <w:pStyle w:val="Heading2"/>
      </w:pPr>
      <w:r>
        <w:t xml:space="preserve">What was migrated</w:t>
      </w:r>
    </w:p>
    <w:p>
      <w:r>
        <w:t xml:space="preserve">All application tables in the source database: Roles, Users, AuditLogs, Tickets, Comments, UserClaims, UserLogins, UserRoles. The table structure, primary keys, foreign keys (including cascade rules), indexes (including the filtered unique index that lets a deleted user's name be reused), default values, auto-increment counters and every row of data were carried across. The Entity Framework bookkeeping table (__MigrationHistory) was intentionally not migrated.</w:t>
      </w:r>
    </w:p>
    <w:p>
      <w:pPr>
        <w:pStyle w:val="Heading2"/>
      </w:pPr>
      <w:r>
        <w:t xml:space="preserve">How it was checked</w:t>
      </w:r>
    </w:p>
    <w:p>
      <w:pPr>
        <w:pStyle w:val="ListBullet"/>
      </w:pPr>
      <w:r>
        <w:t xml:space="preserve">Row counts: every table is counted in both databases and compared.</w:t>
      </w:r>
    </w:p>
    <w:p>
      <w:pPr>
        <w:pStyle w:val="ListBullet"/>
      </w:pPr>
      <w:r>
        <w:t xml:space="preserve">Row content: every value of every row is read from both databases, converted to one common text form, and compared field by field. NULL is distinguished from an empty string, and the way each value is stored (integer, text, binary) is checked too. Special characters, line breaks, quotes and emoji are covered.</w:t>
      </w:r>
    </w:p>
    <w:p>
      <w:pPr>
        <w:pStyle w:val="ListBullet"/>
      </w:pPr>
      <w:r>
        <w:t xml:space="preserve">Fingerprints: for each table a SHA-256 hash of all rows is computed on each side. Two identical hashes mean the two sets of rows are identical; any single changed character produces a different hash.</w:t>
      </w:r>
    </w:p>
    <w:p>
      <w:pPr>
        <w:pStyle w:val="ListBullet"/>
      </w:pPr>
      <w:r>
        <w:t xml:space="preserve">Schema objects: the structure of the SQLite database is read back and compared with the structure expected from the SQL Server catalog.</w:t>
      </w:r>
    </w:p>
    <w:p>
      <w:pPr>
        <w:pStyle w:val="ListBullet"/>
      </w:pPr>
      <w:r>
        <w:t xml:space="preserve">Business summaries: the same query is run on both databases (users by type, tickets by state, and so on) and the answers compared.</w:t>
      </w:r>
    </w:p>
    <w:p>
      <w:pPr>
        <w:pStyle w:val="ListBullet"/>
      </w:pPr>
      <w:r>
        <w:t xml:space="preserve">Behaviour tests: rules such as unique active usernames, foreign keys and identity counters are exercised on a throw-away copy of the new database.</w:t>
      </w:r>
    </w:p>
    <w:p>
      <w:pPr>
        <w:pStyle w:val="ListBullet"/>
      </w:pPr>
      <w:r>
        <w:t xml:space="preserve">Self-test of the tooling: a second export must be byte-identical to the first, SQLite's own tooling (sqldiff for SQLite, CHECKSUM TABLE for MySQL) must find no differences between two independently loaded copies, and a deliberately damaged copy must be caught and pinpointed.</w:t>
      </w:r>
    </w:p>
    <w:p>
      <w:pPr>
        <w:pStyle w:val="Heading1"/>
        <w:pageBreakBefore/>
      </w:pPr>
      <w:r>
        <w:t xml:space="preserve">3. Results at a glance</w:t>
      </w:r>
    </w:p>
    <w:p>
      <w:pPr>
        <w:pStyle w:val="Figure"/>
        <w:jc w:val="center"/>
      </w:pPr>
      <w:r>
        <w:drawing>
          <wp:inline distT="0" distB="0" distL="0" distR="0">
            <wp:extent cx="2300000" cy="1929032"/>
            <wp:docPr id="1" name="Chart 1" descr="Donut chart: 42 of 42 checks passed"/>
            <wp:cNvGraphicFramePr>
              <a:graphicFrameLocks noChangeAspect="1"/>
            </wp:cNvGraphicFramePr>
            <a:graphic>
              <a:graphicData uri="http://schemas.openxmlformats.org/drawingml/2006/picture">
                <pic:pic>
                  <pic:nvPicPr>
                    <pic:cNvPr id="1" name="image1.png" descr="Donut chart: 42 of 42 checks passed"/>
                    <pic:cNvPicPr/>
                  </pic:nvPicPr>
                  <pic:blipFill>
                    <a:blip r:embed="rIdImg1"/>
                    <a:stretch>
                      <a:fillRect/>
                    </a:stretch>
                  </pic:blipFill>
                  <pic:spPr>
                    <a:xfrm>
                      <a:off x="0" y="0"/>
                      <a:ext cx="2300000" cy="1929032"/>
                    </a:xfrm>
                    <a:prstGeom prst="rect">
                      <a:avLst/>
                    </a:prstGeom>
                  </pic:spPr>
                </pic:pic>
              </a:graphicData>
            </a:graphic>
          </wp:inline>
        </w:drawing>
      </w:r>
    </w:p>
    <w:p>
      <w:pPr>
        <w:pStyle w:val="Caption"/>
        <w:jc w:val="center"/>
      </w:pPr>
      <w:r>
        <w:rPr>
          <w:i/>
        </w:rPr>
        <w:t xml:space="preserve">Figure 1. Overall outcome of all 42 checks.</w:t>
      </w:r>
    </w:p>
    <w:p>
      <w:pPr>
        <w:pStyle w:val="Figure"/>
        <w:jc w:val="center"/>
      </w:pPr>
      <w:r>
        <w:drawing>
          <wp:inline distT="0" distB="0" distL="0" distR="0">
            <wp:extent cx="5300000" cy="2120000"/>
            <wp:docPr id="2" name="Chart 2" descr="Grouped bar chart of row counts per table, SQL Server versus SQLite"/>
            <wp:cNvGraphicFramePr>
              <a:graphicFrameLocks noChangeAspect="1"/>
            </wp:cNvGraphicFramePr>
            <a:graphic>
              <a:graphicData uri="http://schemas.openxmlformats.org/drawingml/2006/picture">
                <pic:pic>
                  <pic:nvPicPr>
                    <pic:cNvPr id="2" name="image2.png" descr="Grouped bar chart of row counts per table, SQL Server versus SQLite"/>
                    <pic:cNvPicPr/>
                  </pic:nvPicPr>
                  <pic:blipFill>
                    <a:blip r:embed="rIdImg2"/>
                    <a:stretch>
                      <a:fillRect/>
                    </a:stretch>
                  </pic:blipFill>
                  <pic:spPr>
                    <a:xfrm>
                      <a:off x="0" y="0"/>
                      <a:ext cx="5300000" cy="2120000"/>
                    </a:xfrm>
                    <a:prstGeom prst="rect">
                      <a:avLst/>
                    </a:prstGeom>
                  </pic:spPr>
                </pic:pic>
              </a:graphicData>
            </a:graphic>
          </wp:inline>
        </w:drawing>
      </w:r>
    </w:p>
    <w:p>
      <w:pPr>
        <w:pStyle w:val="Caption"/>
        <w:jc w:val="center"/>
      </w:pPr>
      <w:r>
        <w:rPr>
          <w:i/>
        </w:rPr>
        <w:t xml:space="preserve">Figure 2. Row count of every table in the source and in the new database.</w:t>
      </w:r>
    </w:p>
    <w:p>
      <w:pPr>
        <w:pStyle w:val="Figure"/>
        <w:jc w:val="center"/>
      </w:pPr>
      <w:r>
        <w:drawing>
          <wp:inline distT="0" distB="0" distL="0" distR="0">
            <wp:extent cx="4000000" cy="2228571"/>
            <wp:docPr id="3" name="Chart 3" descr="Status grid: pass or fail per table for row count, row content and row hash"/>
            <wp:cNvGraphicFramePr>
              <a:graphicFrameLocks noChangeAspect="1"/>
            </wp:cNvGraphicFramePr>
            <a:graphic>
              <a:graphicData uri="http://schemas.openxmlformats.org/drawingml/2006/picture">
                <pic:pic>
                  <pic:nvPicPr>
                    <pic:cNvPr id="3" name="image3.png" descr="Status grid: pass or fail per table for row count, row content and row hash"/>
                    <pic:cNvPicPr/>
                  </pic:nvPicPr>
                  <pic:blipFill>
                    <a:blip r:embed="rIdImg3"/>
                    <a:stretch>
                      <a:fillRect/>
                    </a:stretch>
                  </pic:blipFill>
                  <pic:spPr>
                    <a:xfrm>
                      <a:off x="0" y="0"/>
                      <a:ext cx="4000000" cy="2228571"/>
                    </a:xfrm>
                    <a:prstGeom prst="rect">
                      <a:avLst/>
                    </a:prstGeom>
                  </pic:spPr>
                </pic:pic>
              </a:graphicData>
            </a:graphic>
          </wp:inline>
        </w:drawing>
      </w:r>
    </w:p>
    <w:p>
      <w:pPr>
        <w:pStyle w:val="Caption"/>
        <w:jc w:val="center"/>
      </w:pPr>
      <w:r>
        <w:rPr>
          <w:i/>
        </w:rPr>
        <w:t xml:space="preserve">Figure 3. Verification status of each table.</w:t>
      </w:r>
    </w:p>
    <w:p>
      <w:pPr>
        <w:pStyle w:val="Heading1"/>
        <w:pageBreakBefore/>
      </w:pPr>
      <w:r>
        <w:t xml:space="preserve">4. Data verification in detail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950"/>
        <w:gridCol w:w="950"/>
        <w:gridCol w:w="700"/>
        <w:gridCol w:w="1100"/>
        <w:gridCol w:w="1000"/>
        <w:gridCol w:w="3160"/>
      </w:tblGrid>
      <w:tr>
        <w:trPr>
          <w:cantSplit/>
          <w:tblHeader/>
        </w:trPr>
        <w:tc>
          <w:tcPr>
            <w:tcW w:w="1500" w:type="dxa"/>
            <w:shd w:val="clear" w:color="auto" w:fill="1F3864"/>
            <w:vAlign w:val="center"/>
          </w:tcPr>
          <w:p>
            <w:pPr>
              <w:pStyle w:val="TableText"/>
            </w:pPr>
            <w:r>
              <w:rPr>
                <w:b/>
                <w:color w:val="FFFFFF"/>
              </w:rPr>
              <w:t xml:space="preserve">Table</w:t>
            </w:r>
          </w:p>
        </w:tc>
        <w:tc>
          <w:tcPr>
            <w:tcW w:w="950" w:type="dxa"/>
            <w:shd w:val="clear" w:color="auto" w:fill="1F3864"/>
            <w:vAlign w:val="center"/>
          </w:tcPr>
          <w:p>
            <w:pPr>
              <w:pStyle w:val="TableText"/>
            </w:pPr>
            <w:r>
              <w:rPr>
                <w:b/>
                <w:color w:val="FFFFFF"/>
              </w:rPr>
              <w:t xml:space="preserve">Source rows</w:t>
            </w:r>
          </w:p>
        </w:tc>
        <w:tc>
          <w:tcPr>
            <w:tcW w:w="950" w:type="dxa"/>
            <w:shd w:val="clear" w:color="auto" w:fill="1F3864"/>
            <w:vAlign w:val="center"/>
          </w:tcPr>
          <w:p>
            <w:pPr>
              <w:pStyle w:val="TableText"/>
            </w:pPr>
            <w:r>
              <w:rPr>
                <w:b/>
                <w:color w:val="FFFFFF"/>
              </w:rPr>
              <w:t xml:space="preserve">Target rows</w:t>
            </w:r>
          </w:p>
        </w:tc>
        <w:tc>
          <w:tcPr>
            <w:tcW w:w="700" w:type="dxa"/>
            <w:shd w:val="clear" w:color="auto" w:fill="1F3864"/>
            <w:vAlign w:val="center"/>
          </w:tcPr>
          <w:p>
            <w:pPr>
              <w:pStyle w:val="TableText"/>
            </w:pPr>
            <w:r>
              <w:rPr>
                <w:b/>
                <w:color w:val="FFFFFF"/>
              </w:rPr>
              <w:t xml:space="preserve">Diff</w:t>
            </w:r>
          </w:p>
        </w:tc>
        <w:tc>
          <w:tcPr>
            <w:tcW w:w="1100" w:type="dxa"/>
            <w:shd w:val="clear" w:color="auto" w:fill="1F3864"/>
            <w:vAlign w:val="center"/>
          </w:tcPr>
          <w:p>
            <w:pPr>
              <w:pStyle w:val="TableText"/>
            </w:pPr>
            <w:r>
              <w:rPr>
                <w:b/>
                <w:color w:val="FFFFFF"/>
              </w:rPr>
              <w:t xml:space="preserve">Rows identical</w:t>
            </w:r>
          </w:p>
        </w:tc>
        <w:tc>
          <w:tcPr>
            <w:tcW w:w="1000" w:type="dxa"/>
            <w:shd w:val="clear" w:color="auto" w:fill="1F3864"/>
            <w:vAlign w:val="center"/>
          </w:tcPr>
          <w:p>
            <w:pPr>
              <w:pStyle w:val="TableText"/>
            </w:pPr>
            <w:r>
              <w:rPr>
                <w:b/>
                <w:color w:val="FFFFFF"/>
              </w:rPr>
              <w:t xml:space="preserve">Result</w:t>
            </w:r>
          </w:p>
        </w:tc>
        <w:tc>
          <w:tcPr>
            <w:tcW w:w="3160" w:type="dxa"/>
            <w:shd w:val="clear" w:color="auto" w:fill="1F3864"/>
            <w:vAlign w:val="center"/>
          </w:tcPr>
          <w:p>
            <w:pPr>
              <w:pStyle w:val="TableText"/>
            </w:pPr>
            <w:r>
              <w:rPr>
                <w:b/>
                <w:color w:val="FFFFFF"/>
              </w:rPr>
              <w:t xml:space="preserve">Row hash (SHA-256, first 16)</w:t>
            </w:r>
          </w:p>
        </w:tc>
      </w:tr>
      <w:tr>
        <w:trPr>
          <w:cantSplit/>
        </w:trPr>
        <w:tc>
          <w:tcPr>
            <w:tcW w:w="1500" w:type="dxa"/>
            <w:vAlign w:val="center"/>
          </w:tcPr>
          <w:p>
            <w:pPr>
              <w:pStyle w:val="TableText"/>
            </w:pPr>
            <w:r>
              <w:t xml:space="preserve">Roles</w:t>
            </w:r>
          </w:p>
        </w:tc>
        <w:tc>
          <w:tcPr>
            <w:tcW w:w="950" w:type="dxa"/>
            <w:vAlign w:val="center"/>
          </w:tcPr>
          <w:p>
            <w:pPr>
              <w:pStyle w:val="TableText"/>
            </w:pPr>
            <w:r>
              <w:t xml:space="preserve">3</w:t>
            </w:r>
          </w:p>
        </w:tc>
        <w:tc>
          <w:tcPr>
            <w:tcW w:w="950" w:type="dxa"/>
            <w:vAlign w:val="center"/>
          </w:tcPr>
          <w:p>
            <w:pPr>
              <w:pStyle w:val="TableText"/>
            </w:pPr>
            <w:r>
              <w:t xml:space="preserve">3</w:t>
            </w:r>
          </w:p>
        </w:tc>
        <w:tc>
          <w:tcPr>
            <w:tcW w:w="700" w:type="dxa"/>
            <w:vAlign w:val="center"/>
          </w:tcPr>
          <w:p>
            <w:pPr>
              <w:pStyle w:val="TableText"/>
            </w:pPr>
            <w:r>
              <w:t xml:space="preserve">0</w:t>
            </w:r>
          </w:p>
        </w:tc>
        <w:tc>
          <w:tcPr>
            <w:tcW w:w="1100" w:type="dxa"/>
            <w:vAlign w:val="center"/>
          </w:tcPr>
          <w:p>
            <w:pPr>
              <w:pStyle w:val="TableText"/>
            </w:pPr>
            <w:r>
              <w:t xml:space="preserve">3</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083c2efe5cfe6dcb</w:t>
            </w:r>
          </w:p>
        </w:tc>
      </w:tr>
      <w:tr>
        <w:trPr>
          <w:cantSplit/>
        </w:trPr>
        <w:tc>
          <w:tcPr>
            <w:tcW w:w="1500" w:type="dxa"/>
            <w:vAlign w:val="center"/>
          </w:tcPr>
          <w:p>
            <w:pPr>
              <w:pStyle w:val="TableText"/>
            </w:pPr>
            <w:r>
              <w:t xml:space="preserve">Users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a83eada4f190cd73</w:t>
            </w:r>
          </w:p>
        </w:tc>
      </w:tr>
      <w:tr>
        <w:trPr>
          <w:cantSplit/>
        </w:trPr>
        <w:tc>
          <w:tcPr>
            <w:tcW w:w="1500" w:type="dxa"/>
            <w:vAlign w:val="center"/>
          </w:tcPr>
          <w:p>
            <w:pPr>
              <w:pStyle w:val="TableText"/>
            </w:pPr>
            <w:r>
              <w:t xml:space="preserve">AuditLogs</w:t>
            </w:r>
          </w:p>
        </w:tc>
        <w:tc>
          <w:tcPr>
            <w:tcW w:w="950" w:type="dxa"/>
            <w:vAlign w:val="center"/>
          </w:tcPr>
          <w:p>
            <w:pPr>
              <w:pStyle w:val="TableText"/>
            </w:pPr>
            <w:r>
              <w:t xml:space="preserve">78</w:t>
            </w:r>
          </w:p>
        </w:tc>
        <w:tc>
          <w:tcPr>
            <w:tcW w:w="950" w:type="dxa"/>
            <w:vAlign w:val="center"/>
          </w:tcPr>
          <w:p>
            <w:pPr>
              <w:pStyle w:val="TableText"/>
            </w:pPr>
            <w:r>
              <w:t xml:space="preserve">78</w:t>
            </w:r>
          </w:p>
        </w:tc>
        <w:tc>
          <w:tcPr>
            <w:tcW w:w="700" w:type="dxa"/>
            <w:vAlign w:val="center"/>
          </w:tcPr>
          <w:p>
            <w:pPr>
              <w:pStyle w:val="TableText"/>
            </w:pPr>
            <w:r>
              <w:t xml:space="preserve">0</w:t>
            </w:r>
          </w:p>
        </w:tc>
        <w:tc>
          <w:tcPr>
            <w:tcW w:w="1100" w:type="dxa"/>
            <w:vAlign w:val="center"/>
          </w:tcPr>
          <w:p>
            <w:pPr>
              <w:pStyle w:val="TableText"/>
            </w:pPr>
            <w:r>
              <w:t xml:space="preserve">78</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f6f5c61f2a17b80f</w:t>
            </w:r>
          </w:p>
        </w:tc>
      </w:tr>
      <w:tr>
        <w:trPr>
          <w:cantSplit/>
        </w:trPr>
        <w:tc>
          <w:tcPr>
            <w:tcW w:w="1500" w:type="dxa"/>
            <w:vAlign w:val="center"/>
          </w:tcPr>
          <w:p>
            <w:pPr>
              <w:pStyle w:val="TableText"/>
            </w:pPr>
            <w:r>
              <w:t xml:space="preserve">Tickets</w:t>
            </w:r>
          </w:p>
        </w:tc>
        <w:tc>
          <w:tcPr>
            <w:tcW w:w="950" w:type="dxa"/>
            <w:vAlign w:val="center"/>
          </w:tcPr>
          <w:p>
            <w:pPr>
              <w:pStyle w:val="TableText"/>
            </w:pPr>
            <w:r>
              <w:t xml:space="preserve">24</w:t>
            </w:r>
          </w:p>
        </w:tc>
        <w:tc>
          <w:tcPr>
            <w:tcW w:w="950" w:type="dxa"/>
            <w:vAlign w:val="center"/>
          </w:tcPr>
          <w:p>
            <w:pPr>
              <w:pStyle w:val="TableText"/>
            </w:pPr>
            <w:r>
              <w:t xml:space="preserve">24</w:t>
            </w:r>
          </w:p>
        </w:tc>
        <w:tc>
          <w:tcPr>
            <w:tcW w:w="700" w:type="dxa"/>
            <w:vAlign w:val="center"/>
          </w:tcPr>
          <w:p>
            <w:pPr>
              <w:pStyle w:val="TableText"/>
            </w:pPr>
            <w:r>
              <w:t xml:space="preserve">0</w:t>
            </w:r>
          </w:p>
        </w:tc>
        <w:tc>
          <w:tcPr>
            <w:tcW w:w="1100" w:type="dxa"/>
            <w:vAlign w:val="center"/>
          </w:tcPr>
          <w:p>
            <w:pPr>
              <w:pStyle w:val="TableText"/>
            </w:pPr>
            <w:r>
              <w:t xml:space="preserve">24</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387438d6fd501090</w:t>
            </w:r>
          </w:p>
        </w:tc>
      </w:tr>
      <w:tr>
        <w:trPr>
          <w:cantSplit/>
        </w:trPr>
        <w:tc>
          <w:tcPr>
            <w:tcW w:w="1500" w:type="dxa"/>
            <w:vAlign w:val="center"/>
          </w:tcPr>
          <w:p>
            <w:pPr>
              <w:pStyle w:val="TableText"/>
            </w:pPr>
            <w:r>
              <w:t xml:space="preserve">Comments</w:t>
            </w:r>
          </w:p>
        </w:tc>
        <w:tc>
          <w:tcPr>
            <w:tcW w:w="950" w:type="dxa"/>
            <w:vAlign w:val="center"/>
          </w:tcPr>
          <w:p>
            <w:pPr>
              <w:pStyle w:val="TableText"/>
            </w:pPr>
            <w:r>
              <w:t xml:space="preserve">26</w:t>
            </w:r>
          </w:p>
        </w:tc>
        <w:tc>
          <w:tcPr>
            <w:tcW w:w="950" w:type="dxa"/>
            <w:vAlign w:val="center"/>
          </w:tcPr>
          <w:p>
            <w:pPr>
              <w:pStyle w:val="TableText"/>
            </w:pPr>
            <w:r>
              <w:t xml:space="preserve">26</w:t>
            </w:r>
          </w:p>
        </w:tc>
        <w:tc>
          <w:tcPr>
            <w:tcW w:w="700" w:type="dxa"/>
            <w:vAlign w:val="center"/>
          </w:tcPr>
          <w:p>
            <w:pPr>
              <w:pStyle w:val="TableText"/>
            </w:pPr>
            <w:r>
              <w:t xml:space="preserve">0</w:t>
            </w:r>
          </w:p>
        </w:tc>
        <w:tc>
          <w:tcPr>
            <w:tcW w:w="1100" w:type="dxa"/>
            <w:vAlign w:val="center"/>
          </w:tcPr>
          <w:p>
            <w:pPr>
              <w:pStyle w:val="TableText"/>
            </w:pPr>
            <w:r>
              <w:t xml:space="preserve">26</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0f8d22818a8b725a</w:t>
            </w:r>
          </w:p>
        </w:tc>
      </w:tr>
      <w:tr>
        <w:trPr>
          <w:cantSplit/>
        </w:trPr>
        <w:tc>
          <w:tcPr>
            <w:tcW w:w="1500" w:type="dxa"/>
            <w:vAlign w:val="center"/>
          </w:tcPr>
          <w:p>
            <w:pPr>
              <w:pStyle w:val="TableText"/>
            </w:pPr>
            <w:r>
              <w:t xml:space="preserve">UserClaims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UserLogins</w:t>
            </w:r>
          </w:p>
        </w:tc>
        <w:tc>
          <w:tcPr>
            <w:tcW w:w="950" w:type="dxa"/>
            <w:vAlign w:val="center"/>
          </w:tcPr>
          <w:p>
            <w:pPr>
              <w:pStyle w:val="TableText"/>
            </w:pPr>
            <w:r>
              <w:t xml:space="preserve">0</w:t>
            </w:r>
          </w:p>
        </w:tc>
        <w:tc>
          <w:tcPr>
            <w:tcW w:w="950" w:type="dxa"/>
            <w:vAlign w:val="center"/>
          </w:tcPr>
          <w:p>
            <w:pPr>
              <w:pStyle w:val="TableText"/>
            </w:pPr>
            <w:r>
              <w:t xml:space="preserve">0</w:t>
            </w:r>
          </w:p>
        </w:tc>
        <w:tc>
          <w:tcPr>
            <w:tcW w:w="700" w:type="dxa"/>
            <w:vAlign w:val="center"/>
          </w:tcPr>
          <w:p>
            <w:pPr>
              <w:pStyle w:val="TableText"/>
            </w:pPr>
            <w:r>
              <w:t xml:space="preserve">0</w:t>
            </w:r>
          </w:p>
        </w:tc>
        <w:tc>
          <w:tcPr>
            <w:tcW w:w="1100" w:type="dxa"/>
            <w:vAlign w:val="center"/>
          </w:tcPr>
          <w:p>
            <w:pPr>
              <w:pStyle w:val="TableText"/>
            </w:pPr>
            <w:r>
              <w:t xml:space="preserve">0</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e3b0c44298fc1c14</w:t>
            </w:r>
          </w:p>
        </w:tc>
      </w:tr>
      <w:tr>
        <w:trPr>
          <w:cantSplit/>
        </w:trPr>
        <w:tc>
          <w:tcPr>
            <w:tcW w:w="1500" w:type="dxa"/>
            <w:vAlign w:val="center"/>
          </w:tcPr>
          <w:p>
            <w:pPr>
              <w:pStyle w:val="TableText"/>
            </w:pPr>
            <w:r>
              <w:t xml:space="preserve">UserRoles</w:t>
            </w:r>
          </w:p>
        </w:tc>
        <w:tc>
          <w:tcPr>
            <w:tcW w:w="950" w:type="dxa"/>
            <w:vAlign w:val="center"/>
          </w:tcPr>
          <w:p>
            <w:pPr>
              <w:pStyle w:val="TableText"/>
            </w:pPr>
            <w:r>
              <w:t xml:space="preserve">12</w:t>
            </w:r>
          </w:p>
        </w:tc>
        <w:tc>
          <w:tcPr>
            <w:tcW w:w="950" w:type="dxa"/>
            <w:vAlign w:val="center"/>
          </w:tcPr>
          <w:p>
            <w:pPr>
              <w:pStyle w:val="TableText"/>
            </w:pPr>
            <w:r>
              <w:t xml:space="preserve">12</w:t>
            </w:r>
          </w:p>
        </w:tc>
        <w:tc>
          <w:tcPr>
            <w:tcW w:w="700" w:type="dxa"/>
            <w:vAlign w:val="center"/>
          </w:tcPr>
          <w:p>
            <w:pPr>
              <w:pStyle w:val="TableText"/>
            </w:pPr>
            <w:r>
              <w:t xml:space="preserve">0</w:t>
            </w:r>
          </w:p>
        </w:tc>
        <w:tc>
          <w:tcPr>
            <w:tcW w:w="1100" w:type="dxa"/>
            <w:vAlign w:val="center"/>
          </w:tcPr>
          <w:p>
            <w:pPr>
              <w:pStyle w:val="TableText"/>
            </w:pPr>
            <w:r>
              <w:t xml:space="preserve">12</w:t>
            </w:r>
          </w:p>
        </w:tc>
        <w:tc>
          <w:tcPr>
            <w:tcW w:w="1000" w:type="dxa"/>
            <w:shd w:val="clear" w:color="auto" w:fill="DCFCE7"/>
            <w:vAlign w:val="center"/>
          </w:tcPr>
          <w:p>
            <w:pPr>
              <w:pStyle w:val="TableText"/>
              <w:jc w:val="center"/>
            </w:pPr>
            <w:r>
              <w:rPr>
                <w:b/>
                <w:color w:val="15803D"/>
              </w:rPr>
              <w:t xml:space="preserve">PASS</w:t>
            </w:r>
          </w:p>
        </w:tc>
        <w:tc>
          <w:tcPr>
            <w:tcW w:w="3160" w:type="dxa"/>
            <w:vAlign w:val="center"/>
          </w:tcPr>
          <w:p>
            <w:pPr>
              <w:pStyle w:val="TableText"/>
            </w:pPr>
            <w:r>
              <w:t xml:space="preserve">400a46fd1a653d2b</w:t>
            </w:r>
          </w:p>
        </w:tc>
      </w:tr>
    </w:tbl>
    <w:p>
      <w:pPr>
        <w:pStyle w:val="Small"/>
      </w:pPr>
    </w:p>
    <w:p>
      <w:pPr>
        <w:pStyle w:val="Caption"/>
      </w:pPr>
      <w:r>
        <w:rPr>
          <w:i/>
        </w:rPr>
        <w:t xml:space="preserve">The hash is computed over all rows of the table in a fixed order. Source and target hashes matched for every table marked PASS; full hashes are listed in Appendix A.</w:t>
      </w:r>
    </w:p>
    <w:p>
      <w:pPr>
        <w:pStyle w:val="Heading1"/>
      </w:pPr>
      <w:r>
        <w:t xml:space="preserve">5. Schema and integrity</w:t>
      </w:r>
    </w:p>
    <w:p>
      <w:pPr>
        <w:pStyle w:val="Figure"/>
        <w:jc w:val="center"/>
      </w:pPr>
      <w:r>
        <w:drawing>
          <wp:inline distT="0" distB="0" distL="0" distR="0">
            <wp:extent cx="5300000" cy="2038462"/>
            <wp:docPr id="4" name="Chart 4" descr="Grouped bar chart of schema object counts, expected versus found"/>
            <wp:cNvGraphicFramePr>
              <a:graphicFrameLocks noChangeAspect="1"/>
            </wp:cNvGraphicFramePr>
            <a:graphic>
              <a:graphicData uri="http://schemas.openxmlformats.org/drawingml/2006/picture">
                <pic:pic>
                  <pic:nvPicPr>
                    <pic:cNvPr id="4" name="image4.png" descr="Grouped bar chart of schema object counts, expected versus found"/>
                    <pic:cNvPicPr/>
                  </pic:nvPicPr>
                  <pic:blipFill>
                    <a:blip r:embed="rIdImg4"/>
                    <a:stretch>
                      <a:fillRect/>
                    </a:stretch>
                  </pic:blipFill>
                  <pic:spPr>
                    <a:xfrm>
                      <a:off x="0" y="0"/>
                      <a:ext cx="5300000" cy="2038462"/>
                    </a:xfrm>
                    <a:prstGeom prst="rect">
                      <a:avLst/>
                    </a:prstGeom>
                  </pic:spPr>
                </pic:pic>
              </a:graphicData>
            </a:graphic>
          </wp:inline>
        </w:drawing>
      </w:r>
    </w:p>
    <w:p>
      <w:pPr>
        <w:pStyle w:val="Caption"/>
        <w:jc w:val="center"/>
      </w:pPr>
      <w:r>
        <w:rPr>
          <w:i/>
        </w:rPr>
        <w:t xml:space="preserve">Figure 4. Number of schema objects of each kind, expected from the SQL Server catalog versus found in SQLite.</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5160"/>
        <w:gridCol w:w="1300"/>
        <w:gridCol w:w="1300"/>
        <w:gridCol w:w="1600"/>
      </w:tblGrid>
      <w:tr>
        <w:trPr>
          <w:cantSplit/>
          <w:tblHeader/>
        </w:trPr>
        <w:tc>
          <w:tcPr>
            <w:tcW w:w="5160" w:type="dxa"/>
            <w:shd w:val="clear" w:color="auto" w:fill="1F3864"/>
            <w:vAlign w:val="center"/>
          </w:tcPr>
          <w:p>
            <w:pPr>
              <w:pStyle w:val="TableText"/>
            </w:pPr>
            <w:r>
              <w:rPr>
                <w:b/>
                <w:color w:val="FFFFFF"/>
              </w:rPr>
              <w:t xml:space="preserve">Check</w:t>
            </w:r>
          </w:p>
        </w:tc>
        <w:tc>
          <w:tcPr>
            <w:tcW w:w="1300" w:type="dxa"/>
            <w:shd w:val="clear" w:color="auto" w:fill="1F3864"/>
            <w:vAlign w:val="center"/>
          </w:tcPr>
          <w:p>
            <w:pPr>
              <w:pStyle w:val="TableText"/>
            </w:pPr>
            <w:r>
              <w:rPr>
                <w:b/>
                <w:color w:val="FFFFFF"/>
              </w:rPr>
              <w:t xml:space="preserve">Expected</w:t>
            </w:r>
          </w:p>
        </w:tc>
        <w:tc>
          <w:tcPr>
            <w:tcW w:w="1300" w:type="dxa"/>
            <w:shd w:val="clear" w:color="auto" w:fill="1F3864"/>
            <w:vAlign w:val="center"/>
          </w:tcPr>
          <w:p>
            <w:pPr>
              <w:pStyle w:val="TableText"/>
            </w:pPr>
            <w:r>
              <w:rPr>
                <w:b/>
                <w:color w:val="FFFFFF"/>
              </w:rPr>
              <w:t xml:space="preserve">Found</w:t>
            </w:r>
          </w:p>
        </w:tc>
        <w:tc>
          <w:tcPr>
            <w:tcW w:w="1600" w:type="dxa"/>
            <w:shd w:val="clear" w:color="auto" w:fill="1F3864"/>
            <w:vAlign w:val="center"/>
          </w:tcPr>
          <w:p>
            <w:pPr>
              <w:pStyle w:val="TableText"/>
            </w:pPr>
            <w:r>
              <w:rPr>
                <w:b/>
                <w:color w:val="FFFFFF"/>
              </w:rPr>
              <w:t xml:space="preserve">Result</w:t>
            </w:r>
          </w:p>
        </w:tc>
      </w:tr>
      <w:tr>
        <w:trPr>
          <w:cantSplit/>
        </w:trPr>
        <w:tc>
          <w:tcPr>
            <w:tcW w:w="5160" w:type="dxa"/>
            <w:vAlign w:val="center"/>
          </w:tcPr>
          <w:p>
            <w:pPr>
              <w:pStyle w:val="TableText"/>
            </w:pPr>
            <w:r>
              <w:t xml:space="preserve">Tables</w:t>
            </w:r>
          </w:p>
        </w:tc>
        <w:tc>
          <w:tcPr>
            <w:tcW w:w="1300" w:type="dxa"/>
            <w:vAlign w:val="center"/>
          </w:tcPr>
          <w:p>
            <w:pPr>
              <w:pStyle w:val="TableText"/>
            </w:pPr>
            <w:r>
              <w:t xml:space="preserve">8</w:t>
            </w:r>
          </w:p>
        </w:tc>
        <w:tc>
          <w:tcPr>
            <w:tcW w:w="1300" w:type="dxa"/>
            <w:vAlign w:val="center"/>
          </w:tcPr>
          <w:p>
            <w:pPr>
              <w:pStyle w:val="TableText"/>
            </w:pPr>
            <w:r>
              <w:t xml:space="preserve">8</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Columns (name, order, type, NOT NULL, PK position, default)</w:t>
            </w:r>
          </w:p>
        </w:tc>
        <w:tc>
          <w:tcPr>
            <w:tcW w:w="1300" w:type="dxa"/>
            <w:vAlign w:val="center"/>
          </w:tcPr>
          <w:p>
            <w:pPr>
              <w:pStyle w:val="TableText"/>
            </w:pPr>
            <w:r>
              <w:t xml:space="preserve">46</w:t>
            </w:r>
          </w:p>
        </w:tc>
        <w:tc>
          <w:tcPr>
            <w:tcW w:w="1300" w:type="dxa"/>
            <w:vAlign w:val="center"/>
          </w:tcPr>
          <w:p>
            <w:pPr>
              <w:pStyle w:val="TableText"/>
            </w:pPr>
            <w:r>
              <w:t xml:space="preserve">46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Primary key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Foreign keys (column, target, ON DELETE action)</w:t>
            </w:r>
          </w:p>
        </w:tc>
        <w:tc>
          <w:tcPr>
            <w:tcW w:w="1300" w:type="dxa"/>
            <w:vAlign w:val="center"/>
          </w:tcPr>
          <w:p>
            <w:pPr>
              <w:pStyle w:val="TableText"/>
            </w:pPr>
            <w:r>
              <w:t xml:space="preserve">9</w:t>
            </w:r>
          </w:p>
        </w:tc>
        <w:tc>
          <w:tcPr>
            <w:tcW w:w="1300" w:type="dxa"/>
            <w:vAlign w:val="center"/>
          </w:tcPr>
          <w:p>
            <w:pPr>
              <w:pStyle w:val="TableText"/>
            </w:pPr>
            <w:r>
              <w:t xml:space="preserve">9</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Indexes (name, unique, partial)</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Index columns</w:t>
            </w:r>
          </w:p>
        </w:tc>
        <w:tc>
          <w:tcPr>
            <w:tcW w:w="1300" w:type="dxa"/>
            <w:vAlign w:val="center"/>
          </w:tcPr>
          <w:p>
            <w:pPr>
              <w:pStyle w:val="TableText"/>
            </w:pPr>
            <w:r>
              <w:t xml:space="preserve">11</w:t>
            </w:r>
          </w:p>
        </w:tc>
        <w:tc>
          <w:tcPr>
            <w:tcW w:w="1300" w:type="dxa"/>
            <w:vAlign w:val="center"/>
          </w:tcPr>
          <w:p>
            <w:pPr>
              <w:pStyle w:val="TableText"/>
            </w:pPr>
            <w:r>
              <w:t xml:space="preserve">11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Partial index filters (e.g. active-username rule)</w:t>
            </w:r>
          </w:p>
        </w:tc>
        <w:tc>
          <w:tcPr>
            <w:tcW w:w="1300" w:type="dxa"/>
            <w:vAlign w:val="center"/>
          </w:tcPr>
          <w:p>
            <w:pPr>
              <w:pStyle w:val="TableText"/>
            </w:pPr>
            <w:r>
              <w:t xml:space="preserve">1</w:t>
            </w:r>
          </w:p>
        </w:tc>
        <w:tc>
          <w:tcPr>
            <w:tcW w:w="1300" w:type="dxa"/>
            <w:vAlign w:val="center"/>
          </w:tcPr>
          <w:p>
            <w:pPr>
              <w:pStyle w:val="TableText"/>
            </w:pPr>
            <w:r>
              <w:t xml:space="preserve">1</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Auto-increment (identity) tables</w:t>
            </w:r>
          </w:p>
        </w:tc>
        <w:tc>
          <w:tcPr>
            <w:tcW w:w="1300" w:type="dxa"/>
            <w:vAlign w:val="center"/>
          </w:tcPr>
          <w:p>
            <w:pPr>
              <w:pStyle w:val="TableText"/>
            </w:pPr>
            <w:r>
              <w:t xml:space="preserve">6</w:t>
            </w:r>
          </w:p>
        </w:tc>
        <w:tc>
          <w:tcPr>
            <w:tcW w:w="1300" w:type="dxa"/>
            <w:vAlign w:val="center"/>
          </w:tcPr>
          <w:p>
            <w:pPr>
              <w:pStyle w:val="TableText"/>
            </w:pPr>
            <w:r>
              <w:t xml:space="preserve">6</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integrity_check</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r>
        <w:trPr>
          <w:cantSplit/>
        </w:trPr>
        <w:tc>
          <w:tcPr>
            <w:tcW w:w="5160" w:type="dxa"/>
            <w:vAlign w:val="center"/>
          </w:tcPr>
          <w:p>
            <w:pPr>
              <w:pStyle w:val="TableText"/>
            </w:pPr>
            <w:r>
              <w:t xml:space="preserve">SQLite foreign_key_check (orphan rows)</w:t>
            </w:r>
          </w:p>
        </w:tc>
        <w:tc>
          <w:tcPr>
            <w:tcW w:w="1300" w:type="dxa"/>
            <w:vAlign w:val="center"/>
          </w:tcPr>
          <w:p>
            <w:pPr>
              <w:pStyle w:val="TableText"/>
            </w:pPr>
            <w:r>
              <w:t xml:space="preserve">-</w:t>
            </w:r>
          </w:p>
        </w:tc>
        <w:tc>
          <w:tcPr>
            <w:tcW w:w="1300" w:type="dxa"/>
            <w:vAlign w:val="center"/>
          </w:tcPr>
          <w:p>
            <w:pPr>
              <w:pStyle w:val="TableText"/>
            </w:pPr>
            <w:r>
              <w:t xml:space="preserv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6. Business-level summaries</w:t>
      </w:r>
    </w:p>
    <w:p>
      <w:r>
        <w:t xml:space="preserve">The same question was asked of both databases; the answers must match exactly. The charts below show the answers side by side.</w:t>
      </w:r>
    </w:p>
    <w:p>
      <w:pPr>
        <w:pStyle w:val="Figure"/>
        <w:jc w:val="center"/>
      </w:pPr>
      <w:r>
        <w:drawing>
          <wp:inline distT="0" distB="0" distL="0" distR="0">
            <wp:extent cx="5943600" cy="2103120"/>
            <wp:docPr id="5" name="Chart 5" descr="Bar chart: users by type, SQL Server versus SQLite"/>
            <wp:cNvGraphicFramePr>
              <a:graphicFrameLocks noChangeAspect="1"/>
            </wp:cNvGraphicFramePr>
            <a:graphic>
              <a:graphicData uri="http://schemas.openxmlformats.org/drawingml/2006/picture">
                <pic:pic>
                  <pic:nvPicPr>
                    <pic:cNvPr id="5" name="image5.png" descr="Bar chart: users by type, SQL Server versus SQLite"/>
                    <pic:cNvPicPr/>
                  </pic:nvPicPr>
                  <pic:blipFill>
                    <a:blip r:embed="rIdImg5"/>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6" name="Chart 6" descr="Bar chart: users per role, SQL Server versus SQLite"/>
            <wp:cNvGraphicFramePr>
              <a:graphicFrameLocks noChangeAspect="1"/>
            </wp:cNvGraphicFramePr>
            <a:graphic>
              <a:graphicData uri="http://schemas.openxmlformats.org/drawingml/2006/picture">
                <pic:pic>
                  <pic:nvPicPr>
                    <pic:cNvPr id="6" name="image6.png" descr="Bar chart: users per role, SQL Server versus SQLite"/>
                    <pic:cNvPicPr/>
                  </pic:nvPicPr>
                  <pic:blipFill>
                    <a:blip r:embed="rIdImg6"/>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7" name="Chart 7" descr="Bar chart: active versus soft-deleted users"/>
            <wp:cNvGraphicFramePr>
              <a:graphicFrameLocks noChangeAspect="1"/>
            </wp:cNvGraphicFramePr>
            <a:graphic>
              <a:graphicData uri="http://schemas.openxmlformats.org/drawingml/2006/picture">
                <pic:pic>
                  <pic:nvPicPr>
                    <pic:cNvPr id="7" name="image7.png" descr="Bar chart: active versus soft-deleted users"/>
                    <pic:cNvPicPr/>
                  </pic:nvPicPr>
                  <pic:blipFill>
                    <a:blip r:embed="rIdImg7"/>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8" name="Chart 8" descr="Bar chart: tickets by state"/>
            <wp:cNvGraphicFramePr>
              <a:graphicFrameLocks noChangeAspect="1"/>
            </wp:cNvGraphicFramePr>
            <a:graphic>
              <a:graphicData uri="http://schemas.openxmlformats.org/drawingml/2006/picture">
                <pic:pic>
                  <pic:nvPicPr>
                    <pic:cNvPr id="8" name="image8.png" descr="Bar chart: tickets by state"/>
                    <pic:cNvPicPr/>
                  </pic:nvPicPr>
                  <pic:blipFill>
                    <a:blip r:embed="rIdImg8"/>
                    <a:stretch>
                      <a:fillRect/>
                    </a:stretch>
                  </pic:blipFill>
                  <pic:spPr>
                    <a:xfrm>
                      <a:off x="0" y="0"/>
                      <a:ext cx="5943600" cy="2103120"/>
                    </a:xfrm>
                    <a:prstGeom prst="rect">
                      <a:avLst/>
                    </a:prstGeom>
                  </pic:spPr>
                </pic:pic>
              </a:graphicData>
            </a:graphic>
          </wp:inline>
        </w:drawing>
      </w:r>
    </w:p>
    <w:p>
      <w:pPr>
        <w:pStyle w:val="Figure"/>
        <w:jc w:val="center"/>
      </w:pPr>
      <w:r>
        <w:drawing>
          <wp:inline distT="0" distB="0" distL="0" distR="0">
            <wp:extent cx="5943600" cy="2103120"/>
            <wp:docPr id="9" name="Chart 9" descr="Bar chart: audit events by action"/>
            <wp:cNvGraphicFramePr>
              <a:graphicFrameLocks noChangeAspect="1"/>
            </wp:cNvGraphicFramePr>
            <a:graphic>
              <a:graphicData uri="http://schemas.openxmlformats.org/drawingml/2006/picture">
                <pic:pic>
                  <pic:nvPicPr>
                    <pic:cNvPr id="9" name="image9.png" descr="Bar chart: audit events by action"/>
                    <pic:cNvPicPr/>
                  </pic:nvPicPr>
                  <pic:blipFill>
                    <a:blip r:embed="rIdImg9"/>
                    <a:stretch>
                      <a:fillRect/>
                    </a:stretch>
                  </pic:blipFill>
                  <pic:spPr>
                    <a:xfrm>
                      <a:off x="0" y="0"/>
                      <a:ext cx="5943600" cy="2103120"/>
                    </a:xfrm>
                    <a:prstGeom prst="rect">
                      <a:avLst/>
                    </a:prstGeom>
                  </pic:spPr>
                </pic:pic>
              </a:graphicData>
            </a:graphic>
          </wp:inline>
        </w:drawing>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3300"/>
        <w:gridCol w:w="4660"/>
        <w:gridCol w:w="1400"/>
      </w:tblGrid>
      <w:tr>
        <w:trPr>
          <w:cantSplit/>
          <w:tblHeader/>
        </w:trPr>
        <w:tc>
          <w:tcPr>
            <w:tcW w:w="3300" w:type="dxa"/>
            <w:shd w:val="clear" w:color="auto" w:fill="1F3864"/>
            <w:vAlign w:val="center"/>
          </w:tcPr>
          <w:p>
            <w:pPr>
              <w:pStyle w:val="TableText"/>
            </w:pPr>
            <w:r>
              <w:rPr>
                <w:b/>
                <w:color w:val="FFFFFF"/>
              </w:rPr>
              <w:t xml:space="preserve">Summary</w:t>
            </w:r>
          </w:p>
        </w:tc>
        <w:tc>
          <w:tcPr>
            <w:tcW w:w="4660" w:type="dxa"/>
            <w:shd w:val="clear" w:color="auto" w:fill="1F3864"/>
            <w:vAlign w:val="center"/>
          </w:tcPr>
          <w:p>
            <w:pPr>
              <w:pStyle w:val="TableText"/>
            </w:pPr>
            <w:r>
              <w:rPr>
                <w:b/>
                <w:color w:val="FFFFFF"/>
              </w:rPr>
              <w:t xml:space="preserve">Answer (source; identical in target when PASS)</w:t>
            </w:r>
          </w:p>
        </w:tc>
        <w:tc>
          <w:tcPr>
            <w:tcW w:w="1400" w:type="dxa"/>
            <w:shd w:val="clear" w:color="auto" w:fill="1F3864"/>
            <w:vAlign w:val="center"/>
          </w:tcPr>
          <w:p>
            <w:pPr>
              <w:pStyle w:val="TableText"/>
            </w:pPr>
            <w:r>
              <w:rPr>
                <w:b/>
                <w:color w:val="FFFFFF"/>
              </w:rPr>
              <w:t xml:space="preserve">Result</w:t>
            </w:r>
          </w:p>
        </w:tc>
      </w:tr>
      <w:tr>
        <w:trPr>
          <w:cantSplit/>
        </w:trPr>
        <w:tc>
          <w:tcPr>
            <w:tcW w:w="3300" w:type="dxa"/>
            <w:vAlign w:val="center"/>
          </w:tcPr>
          <w:p>
            <w:pPr>
              <w:pStyle w:val="TableText"/>
            </w:pPr>
            <w:r>
              <w:t xml:space="preserve">Users by type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active vs soft-deleted</w:t>
            </w:r>
          </w:p>
        </w:tc>
        <w:tc>
          <w:tcPr>
            <w:tcW w:w="4660" w:type="dxa"/>
            <w:vAlign w:val="center"/>
          </w:tcPr>
          <w:p>
            <w:pPr>
              <w:pStyle w:val="TableText"/>
            </w:pPr>
            <w:r>
              <w:t xml:space="preserve">active = 12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Users per role</w:t>
            </w:r>
          </w:p>
        </w:tc>
        <w:tc>
          <w:tcPr>
            <w:tcW w:w="4660" w:type="dxa"/>
            <w:vAlign w:val="center"/>
          </w:tcPr>
          <w:p>
            <w:pPr>
              <w:pStyle w:val="TableText"/>
            </w:pPr>
            <w:r>
              <w:t xml:space="preserve">Customer = 8; Employee = 3; Manager = 1</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by state</w:t>
            </w:r>
          </w:p>
        </w:tc>
        <w:tc>
          <w:tcPr>
            <w:tcW w:w="4660" w:type="dxa"/>
            <w:vAlign w:val="center"/>
          </w:tcPr>
          <w:p>
            <w:pPr>
              <w:pStyle w:val="TableText"/>
            </w:pPr>
            <w:r>
              <w:t xml:space="preserve">0 = 8; 1 = 8; 2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Tickets assigned vs unassigned</w:t>
            </w:r>
          </w:p>
        </w:tc>
        <w:tc>
          <w:tcPr>
            <w:tcW w:w="4660" w:type="dxa"/>
            <w:vAlign w:val="center"/>
          </w:tcPr>
          <w:p>
            <w:pPr>
              <w:pStyle w:val="TableText"/>
            </w:pPr>
            <w:r>
              <w:t xml:space="preserve">assigned = 16; unassigned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Audit events by action</w:t>
            </w:r>
          </w:p>
        </w:tc>
        <w:tc>
          <w:tcPr>
            <w:tcW w:w="4660" w:type="dxa"/>
            <w:vAlign w:val="center"/>
          </w:tcPr>
          <w:p>
            <w:pPr>
              <w:pStyle w:val="TableText"/>
            </w:pPr>
            <w:r>
              <w:t xml:space="preserve">0 = 11; 1 = 1; 2 = 24; 3 = 16; ...</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Comments per ticket (distribution)</w:t>
            </w:r>
          </w:p>
        </w:tc>
        <w:tc>
          <w:tcPr>
            <w:tcW w:w="4660" w:type="dxa"/>
            <w:vAlign w:val="center"/>
          </w:tcPr>
          <w:p>
            <w:pPr>
              <w:pStyle w:val="TableText"/>
            </w:pPr>
            <w:r>
              <w:t xml:space="preserve">3 = 6; 4 = 2</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Comment and commented-ticket totals</w:t>
            </w:r>
          </w:p>
        </w:tc>
        <w:tc>
          <w:tcPr>
            <w:tcW w:w="4660" w:type="dxa"/>
            <w:vAlign w:val="center"/>
          </w:tcPr>
          <w:p>
            <w:pPr>
              <w:pStyle w:val="TableText"/>
            </w:pPr>
            <w:r>
              <w:t xml:space="preserve">26 = 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Ticket date ranges</w:t>
            </w:r>
          </w:p>
        </w:tc>
        <w:tc>
          <w:tcPr>
            <w:tcW w:w="4660" w:type="dxa"/>
            <w:vAlign w:val="center"/>
          </w:tcPr>
          <w:p>
            <w:pPr>
              <w:pStyle w:val="TableText"/>
            </w:pPr>
            <w:r>
              <w:t xml:space="preserve">2026-09-07 08:20:34 | 2026-09-16 08:39:18 | 2026-09-07 11:26:34 | 2026-09-14 10:16:58 | 2026-09-11 00:13:34 | 2026-09-17 14:15:58</w:t>
            </w:r>
          </w:p>
        </w:tc>
        <w:tc>
          <w:tcPr>
            <w:tcW w:w="1400" w:type="dxa"/>
            <w:shd w:val="clear" w:color="auto" w:fill="DCFCE7"/>
            <w:vAlign w:val="center"/>
          </w:tcPr>
          <w:p>
            <w:pPr>
              <w:pStyle w:val="TableText"/>
              <w:jc w:val="center"/>
            </w:pPr>
            <w:r>
              <w:rPr>
                <w:b/>
                <w:color w:val="15803D"/>
              </w:rPr>
              <w:t xml:space="preserve">PASS</w:t>
            </w:r>
          </w:p>
        </w:tc>
      </w:tr>
      <w:tr>
        <w:trPr>
          <w:cantSplit/>
        </w:trPr>
        <w:tc>
          <w:tcPr>
            <w:tcW w:w="3300" w:type="dxa"/>
            <w:vAlign w:val="center"/>
          </w:tcPr>
          <w:p>
            <w:pPr>
              <w:pStyle w:val="TableText"/>
            </w:pPr>
            <w:r>
              <w:t xml:space="preserve">Account and audit date ranges</w:t>
            </w:r>
          </w:p>
        </w:tc>
        <w:tc>
          <w:tcPr>
            <w:tcW w:w="4660" w:type="dxa"/>
            <w:vAlign w:val="center"/>
          </w:tcPr>
          <w:p>
            <w:pPr>
              <w:pStyle w:val="TableText"/>
            </w:pPr>
            <w:r>
              <w:t xml:space="preserve">2026-09-10 14:41:58 | 2026-09-11 16:41:58 | 2026-09-07 08:20:34 | 2026-09-17 14:43:56</w:t>
            </w:r>
          </w:p>
        </w:tc>
        <w:tc>
          <w:tcPr>
            <w:tcW w:w="1400" w:type="dxa"/>
            <w:shd w:val="clear" w:color="auto" w:fill="DCFCE7"/>
            <w:vAlign w:val="center"/>
          </w:tcPr>
          <w:p>
            <w:pPr>
              <w:pStyle w:val="TableText"/>
              <w:jc w:val="center"/>
            </w:pPr>
            <w:r>
              <w:rPr>
                <w:b/>
                <w:color w:val="15803D"/>
              </w:rPr>
              <w:t xml:space="preserve">PASS</w:t>
            </w:r>
          </w:p>
        </w:tc>
      </w:tr>
    </w:tbl>
    <w:p>
      <w:pPr>
        <w:pStyle w:val="Small"/>
      </w:pPr>
    </w:p>
    <w:p>
      <w:pPr>
        <w:pStyle w:val="Heading1"/>
        <w:pageBreakBefore/>
      </w:pPr>
      <w:r>
        <w:t xml:space="preserve">7. Behaviour tests and tooling self-test</w:t>
      </w:r>
    </w:p>
    <w:p>
      <w:r>
        <w:t xml:space="preserve">Behaviour tests were run on a throw-away copy of the new database, so the delivered database was never modified.</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7760"/>
        <w:gridCol w:w="1600"/>
      </w:tblGrid>
      <w:tr>
        <w:trPr>
          <w:cantSplit/>
          <w:tblHeader/>
        </w:trPr>
        <w:tc>
          <w:tcPr>
            <w:tcW w:w="7760" w:type="dxa"/>
            <w:shd w:val="clear" w:color="auto" w:fill="1F3864"/>
            <w:vAlign w:val="center"/>
          </w:tcPr>
          <w:p>
            <w:pPr>
              <w:pStyle w:val="TableText"/>
            </w:pPr>
            <w:r>
              <w:rPr>
                <w:b/>
                <w:color w:val="FFFFFF"/>
              </w:rPr>
              <w:t xml:space="preserve">Behaviour</w:t>
            </w:r>
          </w:p>
        </w:tc>
        <w:tc>
          <w:tcPr>
            <w:tcW w:w="1600" w:type="dxa"/>
            <w:shd w:val="clear" w:color="auto" w:fill="1F3864"/>
            <w:vAlign w:val="center"/>
          </w:tcPr>
          <w:p>
            <w:pPr>
              <w:pStyle w:val="TableText"/>
            </w:pPr>
            <w:r>
              <w:rPr>
                <w:b/>
                <w:color w:val="FFFFFF"/>
              </w:rPr>
              <w:t xml:space="preserve">Result</w:t>
            </w:r>
          </w:p>
        </w:tc>
      </w:tr>
      <w:tr>
        <w:trPr>
          <w:cantSplit/>
        </w:trPr>
        <w:tc>
          <w:tcPr>
            <w:tcW w:w="7760" w:type="dxa"/>
            <w:vAlign w:val="center"/>
          </w:tcPr>
          <w:p>
            <w:pPr>
              <w:pStyle w:val="TableText"/>
            </w:pPr>
            <w:r>
              <w:t xml:space="preserve">Duplicate active username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Reusing a soft-deleted username is allowed (partial unique index)</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Orphan foreign key insert is rejected</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Boolean CHECK constraint rejects values other than 0/1</w:t>
            </w:r>
          </w:p>
        </w:tc>
        <w:tc>
          <w:tcPr>
            <w:tcW w:w="1600" w:type="dxa"/>
            <w:shd w:val="clear" w:color="auto" w:fill="DCFCE7"/>
            <w:vAlign w:val="center"/>
          </w:tcPr>
          <w:p>
            <w:pPr>
              <w:pStyle w:val="TableText"/>
              <w:jc w:val="center"/>
            </w:pPr>
            <w:r>
              <w:rPr>
                <w:b/>
                <w:color w:val="15803D"/>
              </w:rPr>
              <w:t xml:space="preserve">PASS</w:t>
            </w:r>
          </w:p>
        </w:tc>
      </w:tr>
      <w:tr>
        <w:trPr>
          <w:cantSplit/>
        </w:trPr>
        <w:tc>
          <w:tcPr>
            <w:tcW w:w="7760" w:type="dxa"/>
            <w:vAlign w:val="center"/>
          </w:tcPr>
          <w:p>
            <w:pPr>
              <w:pStyle w:val="TableText"/>
            </w:pPr>
            <w:r>
              <w:t xml:space="preserve">New Roles row continues the source identity sequence</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2"/>
      </w:pPr>
      <w:r>
        <w:t xml:space="preserve">Self-test of the migration tooling</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500"/>
        <w:gridCol w:w="6260"/>
        <w:gridCol w:w="1600"/>
      </w:tblGrid>
      <w:tr>
        <w:trPr>
          <w:cantSplit/>
          <w:tblHeader/>
        </w:trPr>
        <w:tc>
          <w:tcPr>
            <w:tcW w:w="1500" w:type="dxa"/>
            <w:shd w:val="clear" w:color="auto" w:fill="1F3864"/>
            <w:vAlign w:val="center"/>
          </w:tcPr>
          <w:p>
            <w:pPr>
              <w:pStyle w:val="TableText"/>
            </w:pPr>
            <w:r>
              <w:rPr>
                <w:b/>
                <w:color w:val="FFFFFF"/>
              </w:rPr>
              <w:t xml:space="preserve">Area</w:t>
            </w:r>
          </w:p>
        </w:tc>
        <w:tc>
          <w:tcPr>
            <w:tcW w:w="6260" w:type="dxa"/>
            <w:shd w:val="clear" w:color="auto" w:fill="1F3864"/>
            <w:vAlign w:val="center"/>
          </w:tcPr>
          <w:p>
            <w:pPr>
              <w:pStyle w:val="TableText"/>
            </w:pPr>
            <w:r>
              <w:rPr>
                <w:b/>
                <w:color w:val="FFFFFF"/>
              </w:rPr>
              <w:t xml:space="preserve">Test</w:t>
            </w:r>
          </w:p>
        </w:tc>
        <w:tc>
          <w:tcPr>
            <w:tcW w:w="1600" w:type="dxa"/>
            <w:shd w:val="clear" w:color="auto" w:fill="1F3864"/>
            <w:vAlign w:val="center"/>
          </w:tcPr>
          <w:p>
            <w:pPr>
              <w:pStyle w:val="TableText"/>
            </w:pPr>
            <w:r>
              <w:rPr>
                <w:b/>
                <w:color w:val="FFFFFF"/>
              </w:rPr>
              <w:t xml:space="preserve">Result</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Schema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Determinism</w:t>
            </w:r>
          </w:p>
        </w:tc>
        <w:tc>
          <w:tcPr>
            <w:tcW w:w="6260" w:type="dxa"/>
            <w:vAlign w:val="center"/>
          </w:tcPr>
          <w:p>
            <w:pPr>
              <w:pStyle w:val="TableText"/>
            </w:pPr>
            <w:r>
              <w:t xml:space="preserve">Data export is byte-identical across runs</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sqldiff</w:t>
            </w:r>
          </w:p>
        </w:tc>
        <w:tc>
          <w:tcPr>
            <w:tcW w:w="6260" w:type="dxa"/>
            <w:vAlign w:val="center"/>
          </w:tcPr>
          <w:p>
            <w:pPr>
              <w:pStyle w:val="TableText"/>
            </w:pPr>
            <w:r>
              <w:t xml:space="preserve">Imported database equals an independently imported copy (sqldiff)</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Damaged copy is reported as FAILED</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Altered comment is pinpointed (Comments, Id, Text)</w:t>
            </w:r>
          </w:p>
        </w:tc>
        <w:tc>
          <w:tcPr>
            <w:tcW w:w="1600" w:type="dxa"/>
            <w:shd w:val="clear" w:color="auto" w:fill="DCFCE7"/>
            <w:vAlign w:val="center"/>
          </w:tcPr>
          <w:p>
            <w:pPr>
              <w:pStyle w:val="TableText"/>
              <w:jc w:val="center"/>
            </w:pPr>
            <w:r>
              <w:rPr>
                <w:b/>
                <w:color w:val="15803D"/>
              </w:rPr>
              <w:t xml:space="preserve">PASS</w:t>
            </w:r>
          </w:p>
        </w:tc>
      </w:tr>
      <w:tr>
        <w:trPr>
          <w:cantSplit/>
        </w:trPr>
        <w:tc>
          <w:tcPr>
            <w:tcW w:w="1500" w:type="dxa"/>
            <w:vAlign w:val="center"/>
          </w:tcPr>
          <w:p>
            <w:pPr>
              <w:pStyle w:val="TableText"/>
            </w:pPr>
            <w:r>
              <w:t xml:space="preserve">Negative</w:t>
            </w:r>
          </w:p>
        </w:tc>
        <w:tc>
          <w:tcPr>
            <w:tcW w:w="6260" w:type="dxa"/>
            <w:vAlign w:val="center"/>
          </w:tcPr>
          <w:p>
            <w:pPr>
              <w:pStyle w:val="TableText"/>
            </w:pPr>
            <w:r>
              <w:t xml:space="preserve">Deleted ticket is pinpointed (Tickets, Id)</w:t>
            </w:r>
          </w:p>
        </w:tc>
        <w:tc>
          <w:tcPr>
            <w:tcW w:w="1600" w:type="dxa"/>
            <w:shd w:val="clear" w:color="auto" w:fill="DCFCE7"/>
            <w:vAlign w:val="center"/>
          </w:tcPr>
          <w:p>
            <w:pPr>
              <w:pStyle w:val="TableText"/>
              <w:jc w:val="center"/>
            </w:pPr>
            <w:r>
              <w:rPr>
                <w:b/>
                <w:color w:val="15803D"/>
              </w:rPr>
              <w:t xml:space="preserve">PASS</w:t>
            </w:r>
          </w:p>
        </w:tc>
      </w:tr>
    </w:tbl>
    <w:p>
      <w:pPr>
        <w:pStyle w:val="Small"/>
      </w:pPr>
    </w:p>
    <w:p>
      <w:pPr>
        <w:pStyle w:val="Heading1"/>
      </w:pPr>
      <w:r>
        <w:t xml:space="preserve">8. Differences found</w:t>
      </w:r>
    </w:p>
    <w:p>
      <w:r>
        <w:rPr>
          <w:b/>
          <w:color w:val="15803D"/>
        </w:rPr>
        <w:t xml:space="preserve">None. No differences were found between the source and the target.</w:t>
      </w:r>
    </w:p>
    <w:p>
      <w:pPr>
        <w:pStyle w:val="Heading1"/>
      </w:pPr>
      <w:r>
        <w:t xml:space="preserve">9. Intentional exclusions and known differences</w:t>
      </w:r>
    </w:p>
    <w:p>
      <w:pPr>
        <w:pStyle w:val="ListBullet"/>
      </w:pPr>
      <w:r>
        <w:t xml:space="preserve">The Entity Framework migration history table (__MigrationHistory) is not migrated; it only describes the SQL Server schema history and has no meaning in SQLite.</w:t>
      </w:r>
    </w:p>
    <w:p>
      <w:pPr>
        <w:pStyle w:val="ListBullet"/>
      </w:pPr>
      <w:r>
        <w:t xml:space="preserve">The SQL Server "dbo" schema prefix is dropped. Table and column names keep their exact spelling and case.</w:t>
      </w:r>
    </w:p>
    <w:p>
      <w:pPr>
        <w:pStyle w:val="ListBullet"/>
      </w:pPr>
      <w:r>
        <w:t xml:space="preserve">SQLite has no separate date type: dates are stored as ISO-8601 text (yyyy-MM-dd HH:mm:ss.fffffff) and compared as such. Yes/no columns are stored as integers 0/1 and protected by a CHECK constraint.</w:t>
      </w:r>
    </w:p>
    <w:p>
      <w:pPr>
        <w:pStyle w:val="ListBullet"/>
      </w:pPr>
      <w:r>
        <w:t xml:space="preserve">SQLite does not enforce VARCHAR lengths; the declared lengths are kept for documentation.</w:t>
      </w:r>
    </w:p>
    <w:p>
      <w:pPr>
        <w:pStyle w:val="ListBullet"/>
      </w:pPr>
      <w:r>
        <w:t xml:space="preserve">SQLite compares text case-sensitively, whereas the SQL Server database uses a case-insensitive collation. The migrated data already satisfies SQL Server's rules, but new rows inserted directly into SQLite are not protected against case-only duplicates (for example usernames "Bob" and "bob").</w:t>
      </w:r>
    </w:p>
    <w:p>
      <w:pPr>
        <w:pStyle w:val="ListBullet"/>
      </w:pPr>
      <w:r>
        <w:t xml:space="preserve">Index names that were duplicated across tables in SQL Server (for example IX_UserId) are prefixed with the table name, because index names are database-wide in SQLite.</w:t>
      </w:r>
    </w:p>
    <w:p>
      <w:pPr>
        <w:pStyle w:val="ListBullet"/>
      </w:pPr>
      <w:r>
        <w:t xml:space="preserve">The single user table keeps its "Discriminator" column (Customer / Employee / Manager) unchanged.</w:t>
      </w:r>
    </w:p>
    <w:p>
      <w:pPr>
        <w:pStyle w:val="ListBullet"/>
      </w:pPr>
      <w:r>
        <w:t xml:space="preserve">Every migrated Users row had its password hash and security stamp set to NULL, with a new MustResetPassword column set to 1 - a deliberate one-time-bootstrap policy: forcing a password reset on next login means no usable legacy credential needs to be carried into the target at all. Verification confirms every row is sanitized (section 7) and that every other Users column is unchanged from the source.</w:t>
      </w:r>
    </w:p>
    <w:p>
      <w:pPr>
        <w:pStyle w:val="Heading1"/>
      </w:pPr>
      <w:r>
        <w:t xml:space="preserve">10. Reproducibility</w:t>
      </w:r>
    </w:p>
    <w:p>
      <w:r>
        <w:t xml:space="preserve">From a Windows command prompt in the repository root:</w:t>
      </w:r>
    </w:p>
    <w:p>
      <w:pPr>
        <w:spacing w:after="40"/>
      </w:pPr>
      <w:r>
        <w:rPr>
          <w:b/>
          <w:color w:val="1F3864"/>
        </w:rPr>
        <w:t xml:space="preserve">tools\phase1\dbmigrate\dbmigrate.cmd all --target sqlite</w:t>
      </w:r>
    </w:p>
    <w:p>
      <w:r>
        <w:t xml:space="preserve">runs export, import, verification, the tooling self-test and this report. Individual steps: export, import, verify, selftest,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800"/>
        <w:gridCol w:w="6560"/>
      </w:tblGrid>
      <w:tr>
        <w:trPr>
          <w:cantSplit/>
          <w:tblHeader/>
        </w:trPr>
        <w:tc>
          <w:tcPr>
            <w:tcW w:w="2800" w:type="dxa"/>
            <w:shd w:val="clear" w:color="auto" w:fill="1F3864"/>
            <w:vAlign w:val="center"/>
          </w:tcPr>
          <w:p>
            <w:pPr>
              <w:pStyle w:val="TableText"/>
            </w:pPr>
            <w:r>
              <w:rPr>
                <w:b/>
                <w:color w:val="FFFFFF"/>
              </w:rPr>
              <w:t xml:space="preserve">Item</w:t>
            </w:r>
          </w:p>
        </w:tc>
        <w:tc>
          <w:tcPr>
            <w:tcW w:w="6560" w:type="dxa"/>
            <w:shd w:val="clear" w:color="auto" w:fill="1F3864"/>
            <w:vAlign w:val="center"/>
          </w:tcPr>
          <w:p>
            <w:pPr>
              <w:pStyle w:val="TableText"/>
            </w:pPr>
            <w:r>
              <w:rPr>
                <w:b/>
                <w:color w:val="FFFFFF"/>
              </w:rPr>
              <w:t xml:space="preserve">Value</w:t>
            </w:r>
          </w:p>
        </w:tc>
      </w:tr>
      <w:tr>
        <w:trPr>
          <w:cantSplit/>
        </w:trPr>
        <w:tc>
          <w:tcPr>
            <w:tcW w:w="2800" w:type="dxa"/>
            <w:vAlign w:val="center"/>
          </w:tcPr>
          <w:p>
            <w:pPr>
              <w:pStyle w:val="TableText"/>
            </w:pPr>
            <w:r>
              <w:t xml:space="preserve">Tooling git commit</w:t>
            </w:r>
          </w:p>
        </w:tc>
        <w:tc>
          <w:tcPr>
            <w:tcW w:w="6560" w:type="dxa"/>
            <w:vAlign w:val="center"/>
          </w:tcPr>
          <w:p>
            <w:pPr>
              <w:pStyle w:val="TableText"/>
            </w:pPr>
            <w:r>
              <w:t xml:space="preserve">dde75c0</w:t>
            </w:r>
          </w:p>
        </w:tc>
      </w:tr>
      <w:tr>
        <w:trPr>
          <w:cantSplit/>
        </w:trPr>
        <w:tc>
          <w:tcPr>
            <w:tcW w:w="2800" w:type="dxa"/>
            <w:vAlign w:val="center"/>
          </w:tcPr>
          <w:p>
            <w:pPr>
              <w:pStyle w:val="TableText"/>
            </w:pPr>
            <w:r>
              <w:t xml:space="preserve">Source server</w:t>
            </w:r>
          </w:p>
        </w:tc>
        <w:tc>
          <w:tcPr>
            <w:tcW w:w="6560" w:type="dxa"/>
            <w:vAlign w:val="center"/>
          </w:tcPr>
          <w:p>
            <w:pPr>
              <w:pStyle w:val="TableText"/>
            </w:pPr>
            <w:r>
              <w:t xml:space="preserve">Microsoft SQL Server 2025 (RC1) - 17.0.925.4 (X64)</w:t>
            </w:r>
          </w:p>
        </w:tc>
      </w:tr>
      <w:tr>
        <w:trPr>
          <w:cantSplit/>
        </w:trPr>
        <w:tc>
          <w:tcPr>
            <w:tcW w:w="2800" w:type="dxa"/>
            <w:vAlign w:val="center"/>
          </w:tcPr>
          <w:p>
            <w:pPr>
              <w:pStyle w:val="TableText"/>
            </w:pPr>
            <w:r>
              <w:t xml:space="preserve">Target client</w:t>
            </w:r>
          </w:p>
        </w:tc>
        <w:tc>
          <w:tcPr>
            <w:tcW w:w="6560" w:type="dxa"/>
            <w:vAlign w:val="center"/>
          </w:tcPr>
          <w:p>
            <w:pPr>
              <w:pStyle w:val="TableText"/>
            </w:pPr>
            <w:r>
              <w:t xml:space="preserve">sqlite3 3.53.4</w:t>
            </w:r>
          </w:p>
        </w:tc>
      </w:tr>
      <w:tr>
        <w:trPr>
          <w:cantSplit/>
        </w:trPr>
        <w:tc>
          <w:tcPr>
            <w:tcW w:w="2800" w:type="dxa"/>
            <w:vAlign w:val="center"/>
          </w:tcPr>
          <w:p>
            <w:pPr>
              <w:pStyle w:val="TableText"/>
            </w:pPr>
            <w:r>
              <w:t xml:space="preserve">Run time (UTC)</w:t>
            </w:r>
          </w:p>
        </w:tc>
        <w:tc>
          <w:tcPr>
            <w:tcW w:w="6560" w:type="dxa"/>
            <w:vAlign w:val="center"/>
          </w:tcPr>
          <w:p>
            <w:pPr>
              <w:pStyle w:val="TableText"/>
            </w:pPr>
            <w:r>
              <w:t xml:space="preserve">2026-09-24 09:36:10</w:t>
            </w:r>
          </w:p>
        </w:tc>
      </w:tr>
      <w:tr>
        <w:trPr>
          <w:cantSplit/>
        </w:trPr>
        <w:tc>
          <w:tcPr>
            <w:tcW w:w="2800" w:type="dxa"/>
            <w:vAlign w:val="center"/>
          </w:tcPr>
          <w:p>
            <w:pPr>
              <w:pStyle w:val="TableText"/>
            </w:pPr>
            <w:r>
              <w:t xml:space="preserve">01-schema.sql SHA-256</w:t>
            </w:r>
          </w:p>
        </w:tc>
        <w:tc>
          <w:tcPr>
            <w:tcW w:w="6560" w:type="dxa"/>
            <w:vAlign w:val="center"/>
          </w:tcPr>
          <w:p>
            <w:pPr>
              <w:pStyle w:val="TableText"/>
            </w:pPr>
            <w:r>
              <w:t xml:space="preserve">72d62510dfc78e0be541addc5c2f3d15d26fb586b0d52eb487c4b04d0f67a017</w:t>
            </w:r>
          </w:p>
        </w:tc>
      </w:tr>
      <w:tr>
        <w:trPr>
          <w:cantSplit/>
        </w:trPr>
        <w:tc>
          <w:tcPr>
            <w:tcW w:w="2800" w:type="dxa"/>
            <w:vAlign w:val="center"/>
          </w:tcPr>
          <w:p>
            <w:pPr>
              <w:pStyle w:val="TableText"/>
            </w:pPr>
            <w:r>
              <w:t xml:space="preserve">02-data-sanitized.sql SHA-256</w:t>
            </w:r>
          </w:p>
        </w:tc>
        <w:tc>
          <w:tcPr>
            <w:tcW w:w="6560" w:type="dxa"/>
            <w:vAlign w:val="center"/>
          </w:tcPr>
          <w:p>
            <w:pPr>
              <w:pStyle w:val="TableText"/>
            </w:pPr>
            <w:r>
              <w:t xml:space="preserve">4752e8c463068a5d3767f0f8441c2dd39ced67985db960a1e823894b77b17c32</w:t>
            </w:r>
          </w:p>
        </w:tc>
      </w:tr>
      <w:tr>
        <w:trPr>
          <w:cantSplit/>
        </w:trPr>
        <w:tc>
          <w:tcPr>
            <w:tcW w:w="2800" w:type="dxa"/>
            <w:vAlign w:val="center"/>
          </w:tcPr>
          <w:p>
            <w:pPr>
              <w:pStyle w:val="TableText"/>
            </w:pPr>
            <w:r>
              <w:t xml:space="preserve">SQLite target</w:t>
            </w:r>
          </w:p>
        </w:tc>
        <w:tc>
          <w:tcPr>
            <w:tcW w:w="6560" w:type="dxa"/>
            <w:vAlign w:val="center"/>
          </w:tcPr>
          <w:p>
            <w:pPr>
              <w:pStyle w:val="TableText"/>
            </w:pPr>
            <w:r>
              <w:t xml:space="preserve">masterantique.sqlite</w:t>
            </w:r>
          </w:p>
        </w:tc>
      </w:tr>
      <w:tr>
        <w:trPr>
          <w:cantSplit/>
        </w:trPr>
        <w:tc>
          <w:tcPr>
            <w:tcW w:w="2800" w:type="dxa"/>
            <w:vAlign w:val="center"/>
          </w:tcPr>
          <w:p>
            <w:pPr>
              <w:pStyle w:val="TableText"/>
            </w:pPr>
            <w:r>
              <w:t xml:space="preserve">Target fingerprint (SHA-256)</w:t>
            </w:r>
          </w:p>
        </w:tc>
        <w:tc>
          <w:tcPr>
            <w:tcW w:w="6560" w:type="dxa"/>
            <w:vAlign w:val="center"/>
          </w:tcPr>
          <w:p>
            <w:pPr>
              <w:pStyle w:val="TableText"/>
            </w:pPr>
            <w:r>
              <w:t xml:space="preserve">1694d96741ed646b1ec89a356ca8c76bd899eb306469968f327147b858213ef6</w:t>
            </w:r>
          </w:p>
        </w:tc>
      </w:tr>
    </w:tbl>
    <w:p>
      <w:pPr>
        <w:pStyle w:val="Small"/>
      </w:pPr>
    </w:p>
    <w:p>
      <w:pPr>
        <w:pStyle w:val="Heading1"/>
      </w:pPr>
      <w:r>
        <w:t xml:space="preserve">11. Sign-off</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2400"/>
        <w:gridCol w:w="2800"/>
        <w:gridCol w:w="2200"/>
        <w:gridCol w:w="1960"/>
      </w:tblGrid>
      <w:tr>
        <w:trPr>
          <w:cantSplit/>
          <w:tblHeader/>
        </w:trPr>
        <w:tc>
          <w:tcPr>
            <w:tcW w:w="2400" w:type="dxa"/>
            <w:shd w:val="clear" w:color="auto" w:fill="1F3864"/>
            <w:vAlign w:val="center"/>
          </w:tcPr>
          <w:p>
            <w:pPr>
              <w:pStyle w:val="TableText"/>
            </w:pPr>
            <w:r>
              <w:rPr>
                <w:b/>
                <w:color w:val="FFFFFF"/>
              </w:rPr>
              <w:t xml:space="preserve">Role</w:t>
            </w:r>
          </w:p>
        </w:tc>
        <w:tc>
          <w:tcPr>
            <w:tcW w:w="2800" w:type="dxa"/>
            <w:shd w:val="clear" w:color="auto" w:fill="1F3864"/>
            <w:vAlign w:val="center"/>
          </w:tcPr>
          <w:p>
            <w:pPr>
              <w:pStyle w:val="TableText"/>
            </w:pPr>
            <w:r>
              <w:rPr>
                <w:b/>
                <w:color w:val="FFFFFF"/>
              </w:rPr>
              <w:t xml:space="preserve">Name</w:t>
            </w:r>
          </w:p>
        </w:tc>
        <w:tc>
          <w:tcPr>
            <w:tcW w:w="2200" w:type="dxa"/>
            <w:shd w:val="clear" w:color="auto" w:fill="1F3864"/>
            <w:vAlign w:val="center"/>
          </w:tcPr>
          <w:p>
            <w:pPr>
              <w:pStyle w:val="TableText"/>
            </w:pPr>
            <w:r>
              <w:rPr>
                <w:b/>
                <w:color w:val="FFFFFF"/>
              </w:rPr>
              <w:t xml:space="preserve">Signature</w:t>
            </w:r>
          </w:p>
        </w:tc>
        <w:tc>
          <w:tcPr>
            <w:tcW w:w="1960" w:type="dxa"/>
            <w:shd w:val="clear" w:color="auto" w:fill="1F3864"/>
            <w:vAlign w:val="center"/>
          </w:tcPr>
          <w:p>
            <w:pPr>
              <w:pStyle w:val="TableText"/>
            </w:pPr>
            <w:r>
              <w:rPr>
                <w:b/>
                <w:color w:val="FFFFFF"/>
              </w:rPr>
              <w:t xml:space="preserve">Date</w:t>
            </w:r>
          </w:p>
        </w:tc>
      </w:tr>
      <w:tr>
        <w:trPr>
          <w:cantSplit/>
        </w:trPr>
        <w:tc>
          <w:tcPr>
            <w:tcW w:w="2400" w:type="dxa"/>
            <w:vAlign w:val="center"/>
          </w:tcPr>
          <w:p>
            <w:pPr>
              <w:pStyle w:val="TableText"/>
            </w:pPr>
            <w:r>
              <w:t xml:space="preserve">Prepared by</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Technical reviewer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r>
        <w:trPr>
          <w:cantSplit/>
        </w:trPr>
        <w:tc>
          <w:tcPr>
            <w:tcW w:w="2400" w:type="dxa"/>
            <w:vAlign w:val="center"/>
          </w:tcPr>
          <w:p>
            <w:pPr>
              <w:pStyle w:val="TableText"/>
            </w:pPr>
            <w:r>
              <w:t xml:space="preserve">Business approver</w:t>
            </w:r>
          </w:p>
        </w:tc>
        <w:tc>
          <w:tcPr>
            <w:tcW w:w="2800" w:type="dxa"/>
            <w:vAlign w:val="center"/>
          </w:tcPr>
          <w:p>
            <w:pPr>
              <w:pStyle w:val="TableText"/>
            </w:pPr>
            <w:r>
              <w:t xml:space="preserve"/>
            </w:r>
          </w:p>
        </w:tc>
        <w:tc>
          <w:tcPr>
            <w:tcW w:w="2200" w:type="dxa"/>
            <w:vAlign w:val="center"/>
          </w:tcPr>
          <w:p>
            <w:pPr>
              <w:pStyle w:val="TableText"/>
            </w:pPr>
            <w:r>
              <w:t xml:space="preserve"/>
            </w:r>
          </w:p>
        </w:tc>
        <w:tc>
          <w:tcPr>
            <w:tcW w:w="1960" w:type="dxa"/>
            <w:vAlign w:val="center"/>
          </w:tcPr>
          <w:p>
            <w:pPr>
              <w:pStyle w:val="TableText"/>
            </w:pPr>
            <w:r>
              <w:t xml:space="preserve"/>
            </w:r>
          </w:p>
        </w:tc>
      </w:tr>
    </w:tbl>
    <w:p>
      <w:pPr>
        <w:pStyle w:val="Small"/>
      </w:pPr>
    </w:p>
    <w:p>
      <w:pPr>
        <w:pStyle w:val="Heading1"/>
        <w:pageBreakBefore/>
      </w:pPr>
      <w:r>
        <w:t xml:space="preserve">Appendix A. Full row hashes</w:t>
      </w:r>
    </w:p>
    <w:p>
      <w:r>
        <w:t xml:space="preserve">SHA-256 over all rows of each table (canonical form, fixed order), computed independently on the source and on the target.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40" w:type="dxa"/>
          <w:left w:w="90" w:type="dxa"/>
          <w:bottom w:w="40" w:type="dxa"/>
          <w:right w:w="90" w:type="dxa"/>
        </w:tblCellMar>
      </w:tblPr>
      <w:tblGrid>
        <w:gridCol w:w="1000"/>
        <w:gridCol w:w="3700"/>
        <w:gridCol w:w="3700"/>
        <w:gridCol w:w="960"/>
      </w:tblGrid>
      <w:tr>
        <w:trPr>
          <w:cantSplit/>
          <w:tblHeader/>
        </w:trPr>
        <w:tc>
          <w:tcPr>
            <w:tcW w:w="1000" w:type="dxa"/>
            <w:shd w:val="clear" w:color="auto" w:fill="1F3864"/>
            <w:vAlign w:val="center"/>
          </w:tcPr>
          <w:p>
            <w:pPr>
              <w:pStyle w:val="TableText"/>
            </w:pPr>
            <w:r>
              <w:rPr>
                <w:b/>
                <w:color w:val="FFFFFF"/>
              </w:rPr>
              <w:t xml:space="preserve">Table</w:t>
            </w:r>
          </w:p>
        </w:tc>
        <w:tc>
          <w:tcPr>
            <w:tcW w:w="3700" w:type="dxa"/>
            <w:shd w:val="clear" w:color="auto" w:fill="1F3864"/>
            <w:vAlign w:val="center"/>
          </w:tcPr>
          <w:p>
            <w:pPr>
              <w:pStyle w:val="TableText"/>
            </w:pPr>
            <w:r>
              <w:rPr>
                <w:b/>
                <w:color w:val="FFFFFF"/>
              </w:rPr>
              <w:t xml:space="preserve">Source SHA-256</w:t>
            </w:r>
          </w:p>
        </w:tc>
        <w:tc>
          <w:tcPr>
            <w:tcW w:w="3700" w:type="dxa"/>
            <w:shd w:val="clear" w:color="auto" w:fill="1F3864"/>
            <w:vAlign w:val="center"/>
          </w:tcPr>
          <w:p>
            <w:pPr>
              <w:pStyle w:val="TableText"/>
            </w:pPr>
            <w:r>
              <w:rPr>
                <w:b/>
                <w:color w:val="FFFFFF"/>
              </w:rPr>
              <w:t xml:space="preserve">Target SHA-256</w:t>
            </w:r>
          </w:p>
        </w:tc>
        <w:tc>
          <w:tcPr>
            <w:tcW w:w="960" w:type="dxa"/>
            <w:shd w:val="clear" w:color="auto" w:fill="1F3864"/>
            <w:vAlign w:val="center"/>
          </w:tcPr>
          <w:p>
            <w:pPr>
              <w:pStyle w:val="TableText"/>
            </w:pPr>
            <w:r>
              <w:rPr>
                <w:b/>
                <w:color w:val="FFFFFF"/>
              </w:rPr>
              <w:t xml:space="preserve">Match</w:t>
            </w:r>
          </w:p>
        </w:tc>
      </w:tr>
      <w:tr>
        <w:trPr>
          <w:cantSplit/>
        </w:trPr>
        <w:tc>
          <w:tcPr>
            <w:tcW w:w="1000" w:type="dxa"/>
            <w:vAlign w:val="center"/>
          </w:tcPr>
          <w:p>
            <w:pPr>
              <w:pStyle w:val="TableText"/>
            </w:pPr>
            <w:r>
              <w:t xml:space="preserve">Roles</w:t>
            </w:r>
          </w:p>
        </w:tc>
        <w:tc>
          <w:tcPr>
            <w:tcW w:w="3700" w:type="dxa"/>
            <w:vAlign w:val="center"/>
          </w:tcPr>
          <w:p>
            <w:pPr>
              <w:pStyle w:val="TableText"/>
            </w:pPr>
            <w:r>
              <w:t xml:space="preserve">083c2efe5cfe6dcbbdddee017fc7cfc6</w:t>
              <w:br/>
              <w:t xml:space="preserve">b829e08bb550948356900cfb5e4e6c7e</w:t>
            </w:r>
          </w:p>
        </w:tc>
        <w:tc>
          <w:tcPr>
            <w:tcW w:w="3700" w:type="dxa"/>
            <w:vAlign w:val="center"/>
          </w:tcPr>
          <w:p>
            <w:pPr>
              <w:pStyle w:val="TableText"/>
            </w:pPr>
            <w:r>
              <w:t xml:space="preserve">083c2efe5cfe6dcbbdddee017fc7cfc6</w:t>
              <w:br/>
              <w:t xml:space="preserve">b829e08bb550948356900cfb5e4e6c7e</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Users</w:t>
            </w:r>
          </w:p>
        </w:tc>
        <w:tc>
          <w:tcPr>
            <w:tcW w:w="3700" w:type="dxa"/>
            <w:vAlign w:val="center"/>
          </w:tcPr>
          <w:p>
            <w:pPr>
              <w:pStyle w:val="TableText"/>
            </w:pPr>
            <w:r>
              <w:t xml:space="preserve">a83eada4f190cd7389d15ac7dbb85001</w:t>
              <w:br/>
              <w:t xml:space="preserve">ac1fb94653b1069726fcff2367bd3003</w:t>
            </w:r>
          </w:p>
        </w:tc>
        <w:tc>
          <w:tcPr>
            <w:tcW w:w="3700" w:type="dxa"/>
            <w:vAlign w:val="center"/>
          </w:tcPr>
          <w:p>
            <w:pPr>
              <w:pStyle w:val="TableText"/>
            </w:pPr>
            <w:r>
              <w:t xml:space="preserve">a83eada4f190cd7389d15ac7dbb85001</w:t>
              <w:br/>
              <w:t xml:space="preserve">ac1fb94653b1069726fcff2367bd3003</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AuditLogs</w:t>
            </w:r>
          </w:p>
        </w:tc>
        <w:tc>
          <w:tcPr>
            <w:tcW w:w="3700" w:type="dxa"/>
            <w:vAlign w:val="center"/>
          </w:tcPr>
          <w:p>
            <w:pPr>
              <w:pStyle w:val="TableText"/>
            </w:pPr>
            <w:r>
              <w:t xml:space="preserve">f6f5c61f2a17b80f55ca6a907676eb8e</w:t>
              <w:br/>
              <w:t xml:space="preserve">18cd233473ed136f506401ea30d7f6b8</w:t>
            </w:r>
          </w:p>
        </w:tc>
        <w:tc>
          <w:tcPr>
            <w:tcW w:w="3700" w:type="dxa"/>
            <w:vAlign w:val="center"/>
          </w:tcPr>
          <w:p>
            <w:pPr>
              <w:pStyle w:val="TableText"/>
            </w:pPr>
            <w:r>
              <w:t xml:space="preserve">f6f5c61f2a17b80f55ca6a907676eb8e</w:t>
              <w:br/>
              <w:t xml:space="preserve">18cd233473ed136f506401ea30d7f6b8</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Tickets</w:t>
            </w:r>
          </w:p>
        </w:tc>
        <w:tc>
          <w:tcPr>
            <w:tcW w:w="3700" w:type="dxa"/>
            <w:vAlign w:val="center"/>
          </w:tcPr>
          <w:p>
            <w:pPr>
              <w:pStyle w:val="TableText"/>
            </w:pPr>
            <w:r>
              <w:t xml:space="preserve">387438d6fd501090285858579f69b0ae</w:t>
              <w:br/>
              <w:t xml:space="preserve">7069f3eeda2175be4ff5afbd30fdf53d</w:t>
            </w:r>
          </w:p>
        </w:tc>
        <w:tc>
          <w:tcPr>
            <w:tcW w:w="3700" w:type="dxa"/>
            <w:vAlign w:val="center"/>
          </w:tcPr>
          <w:p>
            <w:pPr>
              <w:pStyle w:val="TableText"/>
            </w:pPr>
            <w:r>
              <w:t xml:space="preserve">387438d6fd501090285858579f69b0ae</w:t>
              <w:br/>
              <w:t xml:space="preserve">7069f3eeda2175be4ff5afbd30fdf53d</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Comments</w:t>
            </w:r>
          </w:p>
        </w:tc>
        <w:tc>
          <w:tcPr>
            <w:tcW w:w="3700" w:type="dxa"/>
            <w:vAlign w:val="center"/>
          </w:tcPr>
          <w:p>
            <w:pPr>
              <w:pStyle w:val="TableText"/>
            </w:pPr>
            <w:r>
              <w:t xml:space="preserve">0f8d22818a8b725aa317cef4d6bc9c47</w:t>
              <w:br/>
              <w:t xml:space="preserve">6459d3abbf318192f2ddf28ded27ea0b</w:t>
            </w:r>
          </w:p>
        </w:tc>
        <w:tc>
          <w:tcPr>
            <w:tcW w:w="3700" w:type="dxa"/>
            <w:vAlign w:val="center"/>
          </w:tcPr>
          <w:p>
            <w:pPr>
              <w:pStyle w:val="TableText"/>
            </w:pPr>
            <w:r>
              <w:t xml:space="preserve">0f8d22818a8b725aa317cef4d6bc9c47</w:t>
              <w:br/>
              <w:t xml:space="preserve">6459d3abbf318192f2ddf28ded27ea0b</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UserClaims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UserLogins</w:t>
            </w:r>
          </w:p>
        </w:tc>
        <w:tc>
          <w:tcPr>
            <w:tcW w:w="3700" w:type="dxa"/>
            <w:vAlign w:val="center"/>
          </w:tcPr>
          <w:p>
            <w:pPr>
              <w:pStyle w:val="TableText"/>
            </w:pPr>
            <w:r>
              <w:t xml:space="preserve">e3b0c44298fc1c149afbf4c8996fb924</w:t>
              <w:br/>
              <w:t xml:space="preserve">27ae41e4649b934ca495991b7852b855</w:t>
            </w:r>
          </w:p>
        </w:tc>
        <w:tc>
          <w:tcPr>
            <w:tcW w:w="3700" w:type="dxa"/>
            <w:vAlign w:val="center"/>
          </w:tcPr>
          <w:p>
            <w:pPr>
              <w:pStyle w:val="TableText"/>
            </w:pPr>
            <w:r>
              <w:t xml:space="preserve">e3b0c44298fc1c149afbf4c8996fb924</w:t>
              <w:br/>
              <w:t xml:space="preserve">27ae41e4649b934ca495991b7852b855</w:t>
            </w:r>
          </w:p>
        </w:tc>
        <w:tc>
          <w:tcPr>
            <w:tcW w:w="960" w:type="dxa"/>
            <w:shd w:val="clear" w:color="auto" w:fill="DCFCE7"/>
            <w:vAlign w:val="center"/>
          </w:tcPr>
          <w:p>
            <w:pPr>
              <w:pStyle w:val="TableText"/>
              <w:jc w:val="center"/>
            </w:pPr>
            <w:r>
              <w:rPr>
                <w:b/>
                <w:color w:val="15803D"/>
              </w:rPr>
              <w:t xml:space="preserve">PASS</w:t>
            </w:r>
          </w:p>
        </w:tc>
      </w:tr>
      <w:tr>
        <w:trPr>
          <w:cantSplit/>
        </w:trPr>
        <w:tc>
          <w:tcPr>
            <w:tcW w:w="1000" w:type="dxa"/>
            <w:vAlign w:val="center"/>
          </w:tcPr>
          <w:p>
            <w:pPr>
              <w:pStyle w:val="TableText"/>
            </w:pPr>
            <w:r>
              <w:t xml:space="preserve">UserRoles</w:t>
            </w:r>
          </w:p>
        </w:tc>
        <w:tc>
          <w:tcPr>
            <w:tcW w:w="3700" w:type="dxa"/>
            <w:vAlign w:val="center"/>
          </w:tcPr>
          <w:p>
            <w:pPr>
              <w:pStyle w:val="TableText"/>
            </w:pPr>
            <w:r>
              <w:t xml:space="preserve">400a46fd1a653d2b7fc05c424d6abb6d</w:t>
              <w:br/>
              <w:t xml:space="preserve">8657357019d5fd642e815c86ef8fba60</w:t>
            </w:r>
          </w:p>
        </w:tc>
        <w:tc>
          <w:tcPr>
            <w:tcW w:w="3700" w:type="dxa"/>
            <w:vAlign w:val="center"/>
          </w:tcPr>
          <w:p>
            <w:pPr>
              <w:pStyle w:val="TableText"/>
            </w:pPr>
            <w:r>
              <w:t xml:space="preserve">400a46fd1a653d2b7fc05c424d6abb6d</w:t>
              <w:br/>
              <w:t xml:space="preserve">8657357019d5fd642e815c86ef8fba60</w:t>
            </w:r>
          </w:p>
        </w:tc>
        <w:tc>
          <w:tcPr>
            <w:tcW w:w="960" w:type="dxa"/>
            <w:shd w:val="clear" w:color="auto" w:fill="DCFCE7"/>
            <w:vAlign w:val="center"/>
          </w:tcPr>
          <w:p>
            <w:pPr>
              <w:pStyle w:val="TableText"/>
              <w:jc w:val="center"/>
            </w:pPr>
            <w:r>
              <w:rPr>
                <w:b/>
                <w:color w:val="15803D"/>
              </w:rPr>
              <w:t xml:space="preserve">PASS</w:t>
            </w:r>
          </w:p>
        </w:tc>
      </w:tr>
    </w:tbl>
    <w:p>
      <w:pPr>
        <w:pStyle w:val="Small"/>
      </w:pPr>
    </w:p>
    <w:sectPr>
      <w:headerReference w:type="default" r:id="rIdHdr"/>
      <w:footerReference w:type="default" r:id="rIdFtr"/>
      <w:pgSz w:w="12240" w:h="15840"/>
      <w:pgMar w:top="1300" w:right="1440" w:bottom="1200" w:left="1440" w:header="600" w:footer="5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t xml:space="preserve">Commit dde75c0 | 2026-09-24 09:36:10 UTC   |   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right"/>
    </w:pPr>
    <w:r>
      <w:t xml:space="preserve">MasterAntiqueRepair - Iteration 1 - Database Migration Verification</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before="1200" w:after="120"/>
    </w:pPr>
    <w:rPr>
      <w:b/>
      <w:color w:val="1F3864"/>
      <w:sz w:val="64"/>
      <w:szCs w:val="64"/>
    </w:rPr>
  </w:style>
  <w:style w:type="paragraph" w:styleId="Subtitle">
    <w:name w:val="Subtitle"/>
    <w:basedOn w:val="Normal"/>
    <w:next w:val="Normal"/>
    <w:qFormat/>
    <w:pPr>
      <w:spacing w:after="360"/>
    </w:pPr>
    <w:rPr>
      <w:color w:val="4B5563"/>
      <w:sz w:val="32"/>
      <w:szCs w:val="32"/>
    </w:rPr>
  </w:style>
  <w:style w:type="paragraph" w:styleId="Heading1">
    <w:name w:val="heading 1"/>
    <w:basedOn w:val="Normal"/>
    <w:next w:val="Normal"/>
    <w:qFormat/>
    <w:pPr>
      <w:keepNext/>
      <w:keepLines/>
      <w:spacing w:before="360" w:after="120"/>
      <w:outlineLvl w:val="0"/>
    </w:pPr>
    <w:rPr>
      <w:b/>
      <w:color w:val="1F3864"/>
      <w:sz w:val="36"/>
      <w:szCs w:val="36"/>
    </w:rPr>
  </w:style>
  <w:style w:type="paragraph" w:styleId="Heading2">
    <w:name w:val="heading 2"/>
    <w:basedOn w:val="Normal"/>
    <w:next w:val="Normal"/>
    <w:qFormat/>
    <w:pPr>
      <w:keepNext/>
      <w:keepLines/>
      <w:spacing w:before="240" w:after="80"/>
      <w:outlineLvl w:val="1"/>
    </w:pPr>
    <w:rPr>
      <w:b/>
      <w:color w:val="2563EB"/>
      <w:sz w:val="28"/>
      <w:szCs w:val="28"/>
    </w:rPr>
  </w:style>
  <w:style w:type="paragraph" w:styleId="TableText">
    <w:name w:val="Table Text"/>
    <w:basedOn w:val="Normal"/>
    <w:qFormat/>
    <w:pPr>
      <w:spacing w:before="0" w:after="0" w:line="240" w:lineRule="auto"/>
    </w:pPr>
    <w:rPr>
      <w:sz w:val="18"/>
      <w:szCs w:val="18"/>
    </w:rPr>
  </w:style>
  <w:style w:type="paragraph" w:styleId="Small">
    <w:name w:val="Small"/>
    <w:basedOn w:val="Normal"/>
    <w:pPr>
      <w:spacing w:before="0" w:after="60"/>
    </w:pPr>
    <w:rPr>
      <w:sz w:val="12"/>
      <w:szCs w:val="12"/>
    </w:rPr>
  </w:style>
  <w:style w:type="paragraph" w:styleId="Figure">
    <w:name w:val="Figure"/>
    <w:basedOn w:val="Normal"/>
    <w:pPr>
      <w:keepNext/>
      <w:spacing w:before="120" w:after="120"/>
    </w:pPr>
  </w:style>
  <w:style w:type="paragraph" w:styleId="Caption">
    <w:name w:val="caption"/>
    <w:basedOn w:val="Normal"/>
    <w:qFormat/>
    <w:pPr>
      <w:spacing w:after="200"/>
    </w:pPr>
    <w:rPr>
      <w:i/>
      <w:color w:val="6B7280"/>
      <w:sz w:val="18"/>
      <w:szCs w:val="18"/>
    </w:rPr>
  </w:style>
  <w:style w:type="paragraph" w:styleId="ListBullet">
    <w:name w:val="List Bullet"/>
    <w:basedOn w:val="Normal"/>
    <w:qFormat/>
    <w:pPr>
      <w:numPr>
        <w:ilvl w:val="0"/>
        <w:numId w:val="1"/>
      </w:numPr>
      <w:spacing w:after="60"/>
    </w:pPr>
  </w:style>
  <w:style w:type="paragraph" w:styleId="Code">
    <w:name w:val="Code"/>
    <w:basedOn w:val="Normal"/>
    <w:qFormat/>
    <w:pPr>
      <w:shd w:val="clear" w:color="auto" w:fill="F3F4F6"/>
      <w:spacing w:before="0" w:after="0" w:line="240" w:lineRule="auto"/>
      <w:ind w:left="200"/>
    </w:pPr>
    <w:rPr>
      <w:rFonts w:ascii="Consolas" w:hAnsi="Consolas" w:cs="Consolas"/>
      <w:sz w:val="18"/>
      <w:szCs w:val="18"/>
    </w:rPr>
  </w:style>
  <w:style w:type="paragraph" w:styleId="Header">
    <w:name w:val="header"/>
    <w:basedOn w:val="Normal"/>
    <w:pPr>
      <w:spacing w:after="0"/>
    </w:pPr>
    <w:rPr>
      <w:color w:val="6B7280"/>
      <w:sz w:val="18"/>
      <w:szCs w:val="18"/>
    </w:rPr>
  </w:style>
  <w:style w:type="paragraph" w:styleId="Footer">
    <w:name w:val="footer"/>
    <w:basedOn w:val="Normal"/>
    <w:pPr>
      <w:spacing w:after="0"/>
    </w:pPr>
    <w:rPr>
      <w:color w:val="6B7280"/>
      <w:sz w:val="18"/>
      <w:szCs w:val="18"/>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s>
</file>

<file path=docProps/app.xml><?xml version="1.0" encoding="utf-8"?>
<Properties xmlns="http://schemas.openxmlformats.org/officeDocument/2006/extended-properties">
  <Application>dbmigrate</Application>
</Properties>
</file>

<file path=docProps/core.xml><?xml version="1.0" encoding="utf-8"?>
<cp:coreProperties xmlns:cp="http://schemas.openxmlformats.org/package/2006/metadata/core-properties" xmlns:dc="http://purl.org/dc/elements/1.1/" xmlns:dcterms="http://purl.org/dc/terms/" xmlns:xsi="http://www.w3.org/2001/XMLSchema-instance">
  <dc:title>Database Migration Verification Report</dc:title>
  <dc:creator>dbmigrate</dc:creator>
  <dcterms:created xsi:type="dcterms:W3CDTF">2026-09-24T09:36:10Z</dcterms:created>
  <dcterms:modified xsi:type="dcterms:W3CDTF">2026-09-24T09:36:10Z</dcterms:modified>
</cp:coreProperties>
</file>