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color w:val="1F3864"/>
          <w:sz w:val="64"/>
          <w:szCs w:val="64"/>
        </w:rPr>
        <w:t xml:space="preserve">MasterAntiqueRepair</w:t>
      </w:r>
    </w:p>
    <w:p>
      <w:pPr>
        <w:pStyle w:val="Subtitle"/>
      </w:pPr>
      <w:r>
        <w:t xml:space="preserve">SQLite Database Guide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6960"/>
      </w:tblGrid>
      <w:tr>
        <w:trPr>
          <w:cantSplit/>
          <w:tblHeader/>
        </w:trPr>
        <w:tc>
          <w:tcPr>
            <w:tcW w:w="2400" w:type="dxa"/>
            <w:shd w:val="clear" w:color="auto" w:fill="1F3864"/>
            <w:vAlign w:val="center"/>
          </w:tcPr>
          <w:p>
            <w:pPr>
              <w:pStyle w:val="TableText"/>
            </w:pPr>
            <w:r>
              <w:rPr>
                <w:b/>
                <w:color w:val="FFFFFF"/>
              </w:rPr>
              <w:t xml:space="preserve">Item</w:t>
            </w:r>
          </w:p>
        </w:tc>
        <w:tc>
          <w:tcPr>
            <w:tcW w:w="6960" w:type="dxa"/>
            <w:shd w:val="clear" w:color="auto" w:fill="1F3864"/>
            <w:vAlign w:val="center"/>
          </w:tcPr>
          <w:p>
            <w:pPr>
              <w:pStyle w:val="TableText"/>
            </w:pPr>
            <w:r>
              <w:rPr>
                <w:b/>
                <w:color w:val="FFFFFF"/>
              </w:rPr>
              <w:t xml:space="preserve">Value</w:t>
            </w:r>
          </w:p>
        </w:tc>
      </w:tr>
      <w:tr>
        <w:trPr>
          <w:cantSplit/>
        </w:trPr>
        <w:tc>
          <w:tcPr>
            <w:tcW w:w="2400" w:type="dxa"/>
            <w:vAlign w:val="center"/>
          </w:tcPr>
          <w:p>
            <w:pPr>
              <w:pStyle w:val="TableText"/>
            </w:pPr>
            <w:r>
              <w:t xml:space="preserve">Iteration</w:t>
            </w:r>
          </w:p>
        </w:tc>
        <w:tc>
          <w:tcPr>
            <w:tcW w:w="6960" w:type="dxa"/>
            <w:vAlign w:val="center"/>
          </w:tcPr>
          <w:p>
            <w:pPr>
              <w:pStyle w:val="TableText"/>
            </w:pPr>
            <w:r>
              <w:t xml:space="preserve">1 - SQL Server LocalDB to SQLite on Windows</w:t>
            </w:r>
          </w:p>
        </w:tc>
      </w:tr>
      <w:tr>
        <w:trPr>
          <w:cantSplit/>
        </w:trPr>
        <w:tc>
          <w:tcPr>
            <w:tcW w:w="2400" w:type="dxa"/>
            <w:vAlign w:val="center"/>
          </w:tcPr>
          <w:p>
            <w:pPr>
              <w:pStyle w:val="TableText"/>
            </w:pPr>
            <w:r>
              <w:t xml:space="preserve">File</w:t>
            </w:r>
          </w:p>
        </w:tc>
        <w:tc>
          <w:tcPr>
            <w:tcW w:w="6960" w:type="dxa"/>
            <w:vAlign w:val="center"/>
          </w:tcPr>
          <w:p>
            <w:pPr>
              <w:pStyle w:val="TableText"/>
            </w:pPr>
            <w:r>
              <w:t xml:space="preserve">tools/dbmigrate/iteration1/masterantique.sqlite</w:t>
            </w:r>
          </w:p>
        </w:tc>
      </w:tr>
      <w:tr>
        <w:trPr>
          <w:cantSplit/>
        </w:trPr>
        <w:tc>
          <w:tcPr>
            <w:tcW w:w="2400" w:type="dxa"/>
            <w:vAlign w:val="center"/>
          </w:tcPr>
          <w:p>
            <w:pPr>
              <w:pStyle w:val="TableText"/>
            </w:pPr>
            <w:r>
              <w:t xml:space="preserve">Size</w:t>
            </w:r>
          </w:p>
        </w:tc>
        <w:tc>
          <w:tcPr>
            <w:tcW w:w="6960" w:type="dxa"/>
            <w:vAlign w:val="center"/>
          </w:tcPr>
          <w:p>
            <w:pPr>
              <w:pStyle w:val="TableText"/>
            </w:pPr>
            <w:r>
              <w:t xml:space="preserve">100 KB</w:t>
            </w:r>
          </w:p>
        </w:tc>
      </w:tr>
      <w:tr>
        <w:trPr>
          <w:cantSplit/>
        </w:trPr>
        <w:tc>
          <w:tcPr>
            <w:tcW w:w="2400" w:type="dxa"/>
            <w:vAlign w:val="center"/>
          </w:tcPr>
          <w:p>
            <w:pPr>
              <w:pStyle w:val="TableText"/>
            </w:pPr>
            <w:r>
              <w:t xml:space="preserve">SQLite version</w:t>
            </w:r>
          </w:p>
        </w:tc>
        <w:tc>
          <w:tcPr>
            <w:tcW w:w="6960" w:type="dxa"/>
            <w:vAlign w:val="center"/>
          </w:tcPr>
          <w:p>
            <w:pPr>
              <w:pStyle w:val="TableText"/>
            </w:pPr>
            <w:r>
              <w:t xml:space="preserve">3.53.4 (64-bit command-line build used for the migration)</w:t>
            </w:r>
          </w:p>
        </w:tc>
      </w:tr>
      <w:tr>
        <w:trPr>
          <w:cantSplit/>
        </w:trPr>
        <w:tc>
          <w:tcPr>
            <w:tcW w:w="2400" w:type="dxa"/>
            <w:vAlign w:val="center"/>
          </w:tcPr>
          <w:p>
            <w:pPr>
              <w:pStyle w:val="TableText"/>
            </w:pPr>
            <w:r>
              <w:t xml:space="preserve">Tables</w:t>
            </w:r>
          </w:p>
        </w:tc>
        <w:tc>
          <w:tcPr>
            <w:tcW w:w="6960" w:type="dxa"/>
            <w:vAlign w:val="center"/>
          </w:tcPr>
          <w:p>
            <w:pPr>
              <w:pStyle w:val="TableText"/>
            </w:pPr>
            <w:r>
              <w:t xml:space="preserve">8 (eight application tables; the EF __MigrationHistory table was deliberately not migrated)</w:t>
            </w:r>
          </w:p>
        </w:tc>
      </w:tr>
      <w:tr>
        <w:trPr>
          <w:cantSplit/>
        </w:trPr>
        <w:tc>
          <w:tcPr>
            <w:tcW w:w="2400" w:type="dxa"/>
            <w:vAlign w:val="center"/>
          </w:tcPr>
          <w:p>
            <w:pPr>
              <w:pStyle w:val="TableText"/>
            </w:pPr>
            <w:r>
              <w:t xml:space="preserve">Created by</w:t>
            </w:r>
          </w:p>
        </w:tc>
        <w:tc>
          <w:tcPr>
            <w:tcW w:w="6960" w:type="dxa"/>
            <w:vAlign w:val="center"/>
          </w:tcPr>
          <w:p>
            <w:pPr>
              <w:pStyle w:val="TableText"/>
            </w:pPr>
            <w:r>
              <w:t xml:space="preserve">dbmigrate export/import run on 2026-09-22 17:16:35 UTC</w:t>
            </w:r>
          </w:p>
        </w:tc>
      </w:tr>
    </w:tbl>
    <w:p>
      <w:pPr>
        <w:pStyle w:val="Small"/>
      </w:pPr>
    </w:p>
    <w:p>
      <w:pPr>
        <w:pStyle w:val="Heading1"/>
      </w:pPr>
      <w:r>
        <w:t xml:space="preserve">1. What this database is</w:t>
      </w:r>
    </w:p>
    <w:p>
      <w:r>
        <w:t xml:space="preserve">This is a SQLite copy of the MasterAntiqueRepair repair-shop database. The source is the SQL Server LocalDB database of the legacy ASP.NET Web Forms application. The structure, keys, relationships, indexes, defaults and every row were exported by a deterministic script and rebuilt in SQLite. The verification report (MigrationVerificationReport1.docx, in the same folder as this guide) proves the copy is identical: every row and value matched, and the structure and business rules were checked.</w:t>
      </w:r>
    </w:p>
    <w:p>
      <w:r>
        <w:t xml:space="preserve">It is a single file with no server to run. It is the baseline data set for Phase 2 of the modernization: the reference database that the Spring Boot / Angular application is compared against.</w:t>
      </w:r>
    </w:p>
    <w:p>
      <w:pPr>
        <w:pStyle w:val="Heading1"/>
      </w:pPr>
      <w:r>
        <w:t xml:space="preserve">2. Version and file format</w:t>
      </w:r>
    </w:p>
    <w:p>
      <w:pPr>
        <w:pStyle w:val="ListBullet"/>
      </w:pPr>
      <w:r>
        <w:t xml:space="preserve">SQLite 3.53.4. The database file format is stable across SQLite 3.x and is identical on Windows and Linux, so this file opens with any modern SQLite build.</w:t>
      </w:r>
    </w:p>
    <w:p>
      <w:pPr>
        <w:pStyle w:val="ListBullet"/>
      </w:pPr>
      <w:r>
        <w:t xml:space="preserve">Java: the xerial sqlite-jdbc driver (JDBC URL jdbc:sqlite:&lt;path&gt;) reads it directly, which is the likely route for the Phase 2 Spring Boot application.</w:t>
      </w:r>
    </w:p>
    <w:p>
      <w:pPr>
        <w:pStyle w:val="ListBullet"/>
      </w:pPr>
      <w:r>
        <w:t xml:space="preserve">Iteration 2 builds the same database in a Docker Linux container with a different SQLite version. The file format is the same; only the tool version differs.</w:t>
      </w:r>
    </w:p>
    <w:p>
      <w:pPr>
        <w:pStyle w:val="Heading1"/>
      </w:pPr>
      <w:r>
        <w:t xml:space="preserve">3. Accessing the database</w:t>
      </w:r>
    </w:p>
    <w:p>
      <w:pPr>
        <w:pStyle w:val="Heading2"/>
      </w:pPr>
      <w:r>
        <w:t xml:space="preserve">Command line</w:t>
      </w:r>
    </w:p>
    <w:p>
      <w:r>
        <w:t xml:space="preserve">Open a copy of the file rather than the delivered file, so experiments cannot change it:</w:t>
      </w:r>
    </w:p>
    <w:p>
      <w:pPr>
        <w:pStyle w:val="Code"/>
      </w:pPr>
      <w:r>
        <w:t xml:space="preserve">copy tools\dbmigrate\iteration1\masterantique.sqlite work.sqlite</w:t>
      </w:r>
    </w:p>
    <w:p>
      <w:pPr>
        <w:pStyle w:val="Code"/>
      </w:pPr>
      <w:r>
        <w:t xml:space="preserve">sqlite3 work.sqlite</w:t>
      </w:r>
    </w:p>
    <w:p>
      <w:pPr>
        <w:pStyle w:val="Code"/>
      </w:pPr>
      <w:r>
        <w:t xml:space="preserve">sqlite&gt; .headers on</w:t>
      </w:r>
    </w:p>
    <w:p>
      <w:pPr>
        <w:pStyle w:val="Code"/>
      </w:pPr>
      <w:r>
        <w:t xml:space="preserve">sqlite&gt; .mode column</w:t>
      </w:r>
    </w:p>
    <w:p>
      <w:pPr>
        <w:pStyle w:val="Code"/>
      </w:pPr>
      <w:r>
        <w:t xml:space="preserve">sqlite&gt; .tables</w:t>
      </w:r>
    </w:p>
    <w:p>
      <w:pPr>
        <w:pStyle w:val="Code"/>
      </w:pPr>
      <w:r>
        <w:t xml:space="preserve">sqlite&gt; .schema Tickets</w:t>
      </w:r>
    </w:p>
    <w:p>
      <w:pPr>
        <w:pStyle w:val="Code"/>
      </w:pPr>
      <w:r>
        <w:t xml:space="preserve">sqlite&gt; PRAGMA foreign_keys = ON;</w:t>
      </w:r>
    </w:p>
    <w:p>
      <w:pPr>
        <w:pStyle w:val="Heading2"/>
      </w:pPr>
      <w:r>
        <w:t xml:space="preserve">Graphical tools</w:t>
      </w:r>
    </w:p>
    <w:p>
      <w:r>
        <w:t xml:space="preserve">Any SQLite browser (for example DB Browser for SQLite) can open the file. Open it read-only unless you are working on a copy.</w:t>
      </w:r>
    </w:p>
    <w:p>
      <w:pPr>
        <w:pStyle w:val="Heading2"/>
      </w:pPr>
      <w:r>
        <w:t xml:space="preserve">From Java (JDBC)</w:t>
      </w:r>
    </w:p>
    <w:p>
      <w:pPr>
        <w:pStyle w:val="Code"/>
      </w:pPr>
      <w:r>
        <w:t xml:space="preserve">String url = "jdbc:sqlite:C:/path/to/masterantique.sqlite";</w:t>
      </w:r>
    </w:p>
    <w:p>
      <w:pPr>
        <w:pStyle w:val="Code"/>
      </w:pPr>
      <w:r>
        <w:t xml:space="preserve">try (Connection c = DriverManager.getConnection(url);</w:t>
      </w:r>
    </w:p>
    <w:p>
      <w:pPr>
        <w:pStyle w:val="Code"/>
      </w:pPr>
      <w:r>
        <w:t xml:space="preserve">     Statement s = c.createStatement()) {</w:t>
      </w:r>
    </w:p>
    <w:p>
      <w:pPr>
        <w:pStyle w:val="Code"/>
      </w:pPr>
      <w:r>
        <w:t xml:space="preserve">    s.execute("PRAGMA foreign_keys = ON");   // per connection</w:t>
      </w:r>
    </w:p>
    <w:p>
      <w:pPr>
        <w:pStyle w:val="Code"/>
      </w:pPr>
      <w:r>
        <w:t xml:space="preserve">    ResultSet rs = s.executeQuery("SELECT COUNT(*) FROM Users");</w:t>
      </w:r>
    </w:p>
    <w:p>
      <w:pPr>
        <w:pStyle w:val="Code"/>
      </w:pPr>
      <w:r>
        <w:t xml:space="preserve">}</w:t>
      </w:r>
    </w:p>
    <w:p>
      <w:r>
        <w:t xml:space="preserve">SQLite does not enforce foreign keys unless PRAGMA foreign_keys = ON is issued on every connection. The schema declares the relationships and delete rules; the pragma makes SQLite apply them.</w:t>
      </w:r>
    </w:p>
    <w:p>
      <w:pPr>
        <w:pStyle w:val="Heading1"/>
      </w:pPr>
      <w:r>
        <w:t xml:space="preserve">4. Schema</w:t>
      </w:r>
    </w:p>
    <w:p>
      <w:r>
        <w:t xml:space="preserve">Tables and the number of rows they hold in this run: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6000"/>
        <w:gridCol w:w="3360"/>
      </w:tblGrid>
      <w:tr>
        <w:trPr>
          <w:cantSplit/>
          <w:tblHeader/>
        </w:trPr>
        <w:tc>
          <w:tcPr>
            <w:tcW w:w="6000" w:type="dxa"/>
            <w:shd w:val="clear" w:color="auto" w:fill="1F3864"/>
            <w:vAlign w:val="center"/>
          </w:tcPr>
          <w:p>
            <w:pPr>
              <w:pStyle w:val="TableText"/>
            </w:pPr>
            <w:r>
              <w:rPr>
                <w:b/>
                <w:color w:val="FFFFFF"/>
              </w:rPr>
              <w:t xml:space="preserve">Table</w:t>
            </w:r>
          </w:p>
        </w:tc>
        <w:tc>
          <w:tcPr>
            <w:tcW w:w="3360" w:type="dxa"/>
            <w:shd w:val="clear" w:color="auto" w:fill="1F3864"/>
            <w:vAlign w:val="center"/>
          </w:tcPr>
          <w:p>
            <w:pPr>
              <w:pStyle w:val="TableText"/>
            </w:pPr>
            <w:r>
              <w:rPr>
                <w:b/>
                <w:color w:val="FFFFFF"/>
              </w:rPr>
              <w:t xml:space="preserve">Rows</w:t>
            </w:r>
          </w:p>
        </w:tc>
      </w:tr>
      <w:tr>
        <w:trPr>
          <w:cantSplit/>
        </w:trPr>
        <w:tc>
          <w:tcPr>
            <w:tcW w:w="6000" w:type="dxa"/>
            <w:vAlign w:val="center"/>
          </w:tcPr>
          <w:p>
            <w:pPr>
              <w:pStyle w:val="TableText"/>
            </w:pPr>
            <w:r>
              <w:t xml:space="preserve">AuditLogs</w:t>
            </w:r>
          </w:p>
        </w:tc>
        <w:tc>
          <w:tcPr>
            <w:tcW w:w="3360" w:type="dxa"/>
            <w:vAlign w:val="center"/>
          </w:tcPr>
          <w:p>
            <w:pPr>
              <w:pStyle w:val="TableText"/>
            </w:pPr>
            <w:r>
              <w:t xml:space="preserve">78</w:t>
            </w:r>
          </w:p>
        </w:tc>
      </w:tr>
      <w:tr>
        <w:trPr>
          <w:cantSplit/>
        </w:trPr>
        <w:tc>
          <w:tcPr>
            <w:tcW w:w="6000" w:type="dxa"/>
            <w:vAlign w:val="center"/>
          </w:tcPr>
          <w:p>
            <w:pPr>
              <w:pStyle w:val="TableText"/>
            </w:pPr>
            <w:r>
              <w:t xml:space="preserve">Comments</w:t>
            </w:r>
          </w:p>
        </w:tc>
        <w:tc>
          <w:tcPr>
            <w:tcW w:w="3360" w:type="dxa"/>
            <w:vAlign w:val="center"/>
          </w:tcPr>
          <w:p>
            <w:pPr>
              <w:pStyle w:val="TableText"/>
            </w:pPr>
            <w:r>
              <w:t xml:space="preserve">26</w:t>
            </w:r>
          </w:p>
        </w:tc>
      </w:tr>
      <w:tr>
        <w:trPr>
          <w:cantSplit/>
        </w:trPr>
        <w:tc>
          <w:tcPr>
            <w:tcW w:w="6000" w:type="dxa"/>
            <w:vAlign w:val="center"/>
          </w:tcPr>
          <w:p>
            <w:pPr>
              <w:pStyle w:val="TableText"/>
            </w:pPr>
            <w:r>
              <w:t xml:space="preserve">Roles</w:t>
            </w:r>
          </w:p>
        </w:tc>
        <w:tc>
          <w:tcPr>
            <w:tcW w:w="3360" w:type="dxa"/>
            <w:vAlign w:val="center"/>
          </w:tcPr>
          <w:p>
            <w:pPr>
              <w:pStyle w:val="TableText"/>
            </w:pPr>
            <w:r>
              <w:t xml:space="preserve">3</w:t>
            </w:r>
          </w:p>
        </w:tc>
      </w:tr>
      <w:tr>
        <w:trPr>
          <w:cantSplit/>
        </w:trPr>
        <w:tc>
          <w:tcPr>
            <w:tcW w:w="6000" w:type="dxa"/>
            <w:vAlign w:val="center"/>
          </w:tcPr>
          <w:p>
            <w:pPr>
              <w:pStyle w:val="TableText"/>
            </w:pPr>
            <w:r>
              <w:t xml:space="preserve">Tickets</w:t>
            </w:r>
          </w:p>
        </w:tc>
        <w:tc>
          <w:tcPr>
            <w:tcW w:w="3360" w:type="dxa"/>
            <w:vAlign w:val="center"/>
          </w:tcPr>
          <w:p>
            <w:pPr>
              <w:pStyle w:val="TableText"/>
            </w:pPr>
            <w:r>
              <w:t xml:space="preserve">24</w:t>
            </w:r>
          </w:p>
        </w:tc>
      </w:tr>
      <w:tr>
        <w:trPr>
          <w:cantSplit/>
        </w:trPr>
        <w:tc>
          <w:tcPr>
            <w:tcW w:w="6000" w:type="dxa"/>
            <w:vAlign w:val="center"/>
          </w:tcPr>
          <w:p>
            <w:pPr>
              <w:pStyle w:val="TableText"/>
            </w:pPr>
            <w:r>
              <w:t xml:space="preserve">UserClaims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UserLogins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UserRoles</w:t>
            </w:r>
          </w:p>
        </w:tc>
        <w:tc>
          <w:tcPr>
            <w:tcW w:w="3360" w:type="dxa"/>
            <w:vAlign w:val="center"/>
          </w:tcPr>
          <w:p>
            <w:pPr>
              <w:pStyle w:val="TableText"/>
            </w:pPr>
            <w:r>
              <w:t xml:space="preserve">12</w:t>
            </w:r>
          </w:p>
        </w:tc>
      </w:tr>
      <w:tr>
        <w:trPr>
          <w:cantSplit/>
        </w:trPr>
        <w:tc>
          <w:tcPr>
            <w:tcW w:w="6000" w:type="dxa"/>
            <w:vAlign w:val="center"/>
          </w:tcPr>
          <w:p>
            <w:pPr>
              <w:pStyle w:val="TableText"/>
            </w:pPr>
            <w:r>
              <w:t xml:space="preserve">Users</w:t>
            </w:r>
          </w:p>
        </w:tc>
        <w:tc>
          <w:tcPr>
            <w:tcW w:w="3360" w:type="dxa"/>
            <w:vAlign w:val="center"/>
          </w:tcPr>
          <w:p>
            <w:pPr>
              <w:pStyle w:val="TableText"/>
            </w:pPr>
            <w:r>
              <w:t xml:space="preserve">12</w:t>
            </w:r>
          </w:p>
        </w:tc>
      </w:tr>
    </w:tbl>
    <w:p>
      <w:pPr>
        <w:pStyle w:val="Small"/>
      </w:pPr>
    </w:p>
    <w:p>
      <w:pPr>
        <w:pStyle w:val="Heading2"/>
      </w:pPr>
      <w:r>
        <w:t xml:space="preserve">AuditLogs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Timestamp</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Action</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EntityType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Comments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TicketId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Text</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Tickets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State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Description</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Customer_Id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SubmittedDate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AssignedDate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CompletedDate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UserClaims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ClaimType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ClaimValue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UserLogins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LoginProvider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ProviderKey</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RoleId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PasswordHash</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Discriminator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DeletedAt</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w:t>
            </w:r>
          </w:p>
        </w:tc>
        <w:tc>
          <w:tcPr>
            <w:tcW w:w="1500" w:type="dxa"/>
            <w:vAlign w:val="center"/>
          </w:tcPr>
          <w:p>
            <w:pPr>
              <w:pStyle w:val="TableText"/>
            </w:pPr>
            <w:r>
              <w:t xml:space="preserve">VARCHAR(256)</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SecurityStamp</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PhoneNumber</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PhoneNumberConfirmed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TwoFactorEnabled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LockoutEndDateUtc</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AccessFailedCount</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MustResetPassword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bl>
    <w:p>
      <w:pPr>
        <w:pStyle w:val="Small"/>
      </w:pPr>
    </w:p>
    <w:p>
      <w:pPr>
        <w:pStyle w:val="Heading2"/>
      </w:pPr>
      <w:r>
        <w:t xml:space="preserve">Relationships (foreign keys)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2200"/>
        <w:gridCol w:w="2800"/>
        <w:gridCol w:w="2260"/>
      </w:tblGrid>
      <w:tr>
        <w:trPr>
          <w:cantSplit/>
          <w:tblHeader/>
        </w:trPr>
        <w:tc>
          <w:tcPr>
            <w:tcW w:w="2100" w:type="dxa"/>
            <w:shd w:val="clear" w:color="auto" w:fill="1F3864"/>
            <w:vAlign w:val="center"/>
          </w:tcPr>
          <w:p>
            <w:pPr>
              <w:pStyle w:val="TableText"/>
            </w:pPr>
            <w:r>
              <w:rPr>
                <w:b/>
                <w:color w:val="FFFFFF"/>
              </w:rPr>
              <w:t xml:space="preserve">Table</w:t>
            </w:r>
          </w:p>
        </w:tc>
        <w:tc>
          <w:tcPr>
            <w:tcW w:w="2200" w:type="dxa"/>
            <w:shd w:val="clear" w:color="auto" w:fill="1F3864"/>
            <w:vAlign w:val="center"/>
          </w:tcPr>
          <w:p>
            <w:pPr>
              <w:pStyle w:val="TableText"/>
            </w:pPr>
            <w:r>
              <w:rPr>
                <w:b/>
                <w:color w:val="FFFFFF"/>
              </w:rPr>
              <w:t xml:space="preserve">Column</w:t>
            </w:r>
          </w:p>
        </w:tc>
        <w:tc>
          <w:tcPr>
            <w:tcW w:w="2800" w:type="dxa"/>
            <w:shd w:val="clear" w:color="auto" w:fill="1F3864"/>
            <w:vAlign w:val="center"/>
          </w:tcPr>
          <w:p>
            <w:pPr>
              <w:pStyle w:val="TableText"/>
            </w:pPr>
            <w:r>
              <w:rPr>
                <w:b/>
                <w:color w:val="FFFFFF"/>
              </w:rPr>
              <w:t xml:space="preserve">References</w:t>
            </w:r>
          </w:p>
        </w:tc>
        <w:tc>
          <w:tcPr>
            <w:tcW w:w="2260" w:type="dxa"/>
            <w:shd w:val="clear" w:color="auto" w:fill="1F3864"/>
            <w:vAlign w:val="center"/>
          </w:tcPr>
          <w:p>
            <w:pPr>
              <w:pStyle w:val="TableText"/>
            </w:pPr>
            <w:r>
              <w:rPr>
                <w:b/>
                <w:color w:val="FFFFFF"/>
              </w:rPr>
              <w:t xml:space="preserve">On delete</w:t>
            </w:r>
          </w:p>
        </w:tc>
      </w:tr>
      <w:tr>
        <w:trPr>
          <w:cantSplit/>
        </w:trPr>
        <w:tc>
          <w:tcPr>
            <w:tcW w:w="2100" w:type="dxa"/>
            <w:vAlign w:val="center"/>
          </w:tcPr>
          <w:p>
            <w:pPr>
              <w:pStyle w:val="TableText"/>
            </w:pPr>
            <w:r>
              <w:t xml:space="preserve">AuditLogs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TicketId</w:t>
            </w:r>
          </w:p>
        </w:tc>
        <w:tc>
          <w:tcPr>
            <w:tcW w:w="2800" w:type="dxa"/>
            <w:vAlign w:val="center"/>
          </w:tcPr>
          <w:p>
            <w:pPr>
              <w:pStyle w:val="TableText"/>
            </w:pPr>
            <w:r>
              <w:t xml:space="preserve">Tickets.Id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Customer_Id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User_Id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UserClaims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UserLogins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RoleId</w:t>
            </w:r>
          </w:p>
        </w:tc>
        <w:tc>
          <w:tcPr>
            <w:tcW w:w="2800" w:type="dxa"/>
            <w:vAlign w:val="center"/>
          </w:tcPr>
          <w:p>
            <w:pPr>
              <w:pStyle w:val="TableText"/>
            </w:pPr>
            <w:r>
              <w:t xml:space="preserve">Roles.Id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bl>
    <w:p>
      <w:pPr>
        <w:pStyle w:val="Small"/>
      </w:pPr>
    </w:p>
    <w:p>
      <w:pPr>
        <w:pStyle w:val="Heading2"/>
      </w:pPr>
      <w:r>
        <w:t xml:space="preserve">Indexes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3600"/>
        <w:gridCol w:w="1600"/>
        <w:gridCol w:w="2060"/>
      </w:tblGrid>
      <w:tr>
        <w:trPr>
          <w:cantSplit/>
          <w:tblHeader/>
        </w:trPr>
        <w:tc>
          <w:tcPr>
            <w:tcW w:w="2100" w:type="dxa"/>
            <w:shd w:val="clear" w:color="auto" w:fill="1F3864"/>
            <w:vAlign w:val="center"/>
          </w:tcPr>
          <w:p>
            <w:pPr>
              <w:pStyle w:val="TableText"/>
            </w:pPr>
            <w:r>
              <w:rPr>
                <w:b/>
                <w:color w:val="FFFFFF"/>
              </w:rPr>
              <w:t xml:space="preserve">Table</w:t>
            </w:r>
          </w:p>
        </w:tc>
        <w:tc>
          <w:tcPr>
            <w:tcW w:w="3600" w:type="dxa"/>
            <w:shd w:val="clear" w:color="auto" w:fill="1F3864"/>
            <w:vAlign w:val="center"/>
          </w:tcPr>
          <w:p>
            <w:pPr>
              <w:pStyle w:val="TableText"/>
            </w:pPr>
            <w:r>
              <w:rPr>
                <w:b/>
                <w:color w:val="FFFFFF"/>
              </w:rPr>
              <w:t xml:space="preserve">Index</w:t>
            </w:r>
          </w:p>
        </w:tc>
        <w:tc>
          <w:tcPr>
            <w:tcW w:w="1600" w:type="dxa"/>
            <w:shd w:val="clear" w:color="auto" w:fill="1F3864"/>
            <w:vAlign w:val="center"/>
          </w:tcPr>
          <w:p>
            <w:pPr>
              <w:pStyle w:val="TableText"/>
            </w:pPr>
            <w:r>
              <w:rPr>
                <w:b/>
                <w:color w:val="FFFFFF"/>
              </w:rPr>
              <w:t xml:space="preserve">Unique</w:t>
            </w:r>
          </w:p>
        </w:tc>
        <w:tc>
          <w:tcPr>
            <w:tcW w:w="2060" w:type="dxa"/>
            <w:shd w:val="clear" w:color="auto" w:fill="1F3864"/>
            <w:vAlign w:val="center"/>
          </w:tcPr>
          <w:p>
            <w:pPr>
              <w:pStyle w:val="TableText"/>
            </w:pPr>
            <w:r>
              <w:rPr>
                <w:b/>
                <w:color w:val="FFFFFF"/>
              </w:rPr>
              <w:t xml:space="preserve">Partial</w:t>
            </w:r>
          </w:p>
        </w:tc>
      </w:tr>
      <w:tr>
        <w:trPr>
          <w:cantSplit/>
        </w:trPr>
        <w:tc>
          <w:tcPr>
            <w:tcW w:w="2100" w:type="dxa"/>
            <w:vAlign w:val="center"/>
          </w:tcPr>
          <w:p>
            <w:pPr>
              <w:pStyle w:val="TableText"/>
            </w:pPr>
            <w:r>
              <w:t xml:space="preserve">AuditLogs</w:t>
            </w:r>
          </w:p>
        </w:tc>
        <w:tc>
          <w:tcPr>
            <w:tcW w:w="3600" w:type="dxa"/>
            <w:vAlign w:val="center"/>
          </w:tcPr>
          <w:p>
            <w:pPr>
              <w:pStyle w:val="TableText"/>
            </w:pPr>
            <w:r>
              <w:t xml:space="preserve">AuditLogs_IX_UserId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Comments_IX_UserId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IX_TicketId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Roles</w:t>
            </w:r>
          </w:p>
        </w:tc>
        <w:tc>
          <w:tcPr>
            <w:tcW w:w="3600" w:type="dxa"/>
            <w:vAlign w:val="center"/>
          </w:tcPr>
          <w:p>
            <w:pPr>
              <w:pStyle w:val="TableText"/>
            </w:pPr>
            <w:r>
              <w:t xml:space="preserve">RoleNameIndex</w:t>
            </w:r>
          </w:p>
        </w:tc>
        <w:tc>
          <w:tcPr>
            <w:tcW w:w="1600" w:type="dxa"/>
            <w:vAlign w:val="center"/>
          </w:tcPr>
          <w:p>
            <w:pPr>
              <w:pStyle w:val="TableText"/>
            </w:pPr>
            <w:r>
              <w:t xml:space="preserve">Unique</w:t>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IX_Customer_Id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IX_User_Id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UserClaims</w:t>
            </w:r>
          </w:p>
        </w:tc>
        <w:tc>
          <w:tcPr>
            <w:tcW w:w="3600" w:type="dxa"/>
            <w:vAlign w:val="center"/>
          </w:tcPr>
          <w:p>
            <w:pPr>
              <w:pStyle w:val="TableText"/>
            </w:pPr>
            <w:r>
              <w:t xml:space="preserve">UserClaims_IX_UserId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UserLogins</w:t>
            </w:r>
          </w:p>
        </w:tc>
        <w:tc>
          <w:tcPr>
            <w:tcW w:w="3600" w:type="dxa"/>
            <w:vAlign w:val="center"/>
          </w:tcPr>
          <w:p>
            <w:pPr>
              <w:pStyle w:val="TableText"/>
            </w:pPr>
            <w:r>
              <w:t xml:space="preserve">UserLogins_IX_UserId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IX_RoleId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UserRoles_IX_UserId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Users</w:t>
            </w:r>
          </w:p>
        </w:tc>
        <w:tc>
          <w:tcPr>
            <w:tcW w:w="3600" w:type="dxa"/>
            <w:vAlign w:val="center"/>
          </w:tcPr>
          <w:p>
            <w:pPr>
              <w:pStyle w:val="TableText"/>
            </w:pPr>
            <w:r>
              <w:t xml:space="preserve">IX_Users_Name_Active</w:t>
            </w:r>
          </w:p>
        </w:tc>
        <w:tc>
          <w:tcPr>
            <w:tcW w:w="1600" w:type="dxa"/>
            <w:vAlign w:val="center"/>
          </w:tcPr>
          <w:p>
            <w:pPr>
              <w:pStyle w:val="TableText"/>
            </w:pPr>
            <w:r>
              <w:t xml:space="preserve">Unique</w:t>
            </w:r>
          </w:p>
        </w:tc>
        <w:tc>
          <w:tcPr>
            <w:tcW w:w="2060" w:type="dxa"/>
            <w:vAlign w:val="center"/>
          </w:tcPr>
          <w:p>
            <w:pPr>
              <w:pStyle w:val="TableText"/>
            </w:pPr>
            <w:r>
              <w:t xml:space="preserve">Partial</w:t>
            </w:r>
          </w:p>
        </w:tc>
      </w:tr>
    </w:tbl>
    <w:p>
      <w:pPr>
        <w:pStyle w:val="Small"/>
      </w:pPr>
    </w:p>
    <w:p>
      <w:r>
        <w:t xml:space="preserve">IX_Users_Name_Active is the important one: it is a unique index on Users.Name that only covers rows where DeletedAt IS NULL. An account that has been soft-deleted (DeletedAt set) keeps its row but frees its user name for reuse.</w:t>
      </w:r>
    </w:p>
    <w:p>
      <w:pPr>
        <w:pStyle w:val="Heading1"/>
      </w:pPr>
      <w:r>
        <w:t xml:space="preserve">5. Using it: what the values mean</w:t>
      </w:r>
    </w:p>
    <w:p>
      <w:pPr>
        <w:pStyle w:val="ListBullet"/>
      </w:pPr>
      <w:r>
        <w:t xml:space="preserve">Users is one table for all account types (table-per-hierarchy). Discriminator holds Customer, Employee or Manager. Name is the login (the ASP.NET Identity UserName). Soft delete: DeletedAt IS NULL means the account is active.</w:t>
      </w:r>
    </w:p>
    <w:p>
      <w:pPr>
        <w:pStyle w:val="ListBullet"/>
      </w:pPr>
      <w:r>
        <w:t xml:space="preserve">Roles and UserRoles hold the role assignments (Customer = 1, Employee = 2, Manager = 3 in this database). UserClaims and UserLogins are Identity tables and are empty.</w:t>
      </w:r>
    </w:p>
    <w:p>
      <w:pPr>
        <w:pStyle w:val="ListBullet"/>
      </w:pPr>
      <w:r>
        <w:t xml:space="preserve">Tickets.Customer_Id is the submitter. Tickets.User_Id is the assigned employee and is NULL until an employee takes the ticket.</w:t>
      </w:r>
    </w:p>
    <w:p>
      <w:pPr>
        <w:pStyle w:val="ListBullet"/>
      </w:pPr>
      <w:r>
        <w:t xml:space="preserve">Comments are add-only in the application; nothing ever edits or deletes them.</w:t>
      </w:r>
    </w:p>
    <w:p>
      <w:pPr>
        <w:pStyle w:val="ListBullet"/>
      </w:pPr>
      <w:r>
        <w:t xml:space="preserve">Dates (DATETIME columns) are ISO-8601 text in the form yyyy-MM-dd HH:mm:ss.fffffff. They sort correctly as text; use SQLite date functions such as date() and strftime() to work with them.</w:t>
      </w:r>
    </w:p>
    <w:p>
      <w:pPr>
        <w:pStyle w:val="ListBullet"/>
      </w:pPr>
      <w:r>
        <w:t xml:space="preserve">Yes/no columns are INTEGER 0 or 1, protected by CHECK constraints.</w:t>
      </w:r>
    </w:p>
    <w:p>
      <w:pPr>
        <w:pStyle w:val="ListBullet"/>
      </w:pPr>
      <w:r>
        <w:t xml:space="preserve">VARCHAR(n) lengths are documentation only; SQLite does not enforce them. The application limits comment and description text to 2000 characters.</w:t>
      </w:r>
    </w:p>
    <w:p>
      <w:pPr>
        <w:pStyle w:val="ListBullet"/>
      </w:pPr>
      <w:r>
        <w:t xml:space="preserve">Text comparison is case-sensitive in SQLite but was case-insensitive in SQL Server. Rows inserted directly into SQLite are not protected against user names that differ only by case.</w:t>
      </w:r>
    </w:p>
    <w:p>
      <w:pPr>
        <w:pStyle w:val="ListBullet"/>
      </w:pPr>
      <w:r>
        <w:t xml:space="preserve">Integer-coded columns are enums in the legacy application. The tables below give the meaning of each value.</w:t>
      </w:r>
    </w:p>
    <w:p>
      <w:pPr>
        <w:pStyle w:val="Heading2"/>
      </w:pPr>
      <w:r>
        <w:t xml:space="preserve">Ticket state (Tickets.State)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SUBMITTED</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INPROGRESS</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COMPLETED</w:t>
            </w:r>
          </w:p>
        </w:tc>
      </w:tr>
    </w:tbl>
    <w:p>
      <w:pPr>
        <w:pStyle w:val="Small"/>
      </w:pPr>
    </w:p>
    <w:p>
      <w:pPr>
        <w:pStyle w:val="Heading2"/>
      </w:pPr>
      <w:r>
        <w:t xml:space="preserve">Audit action (AuditLogs.Action)</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CreateUser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Login</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CreateTicket</w:t>
            </w:r>
          </w:p>
        </w:tc>
      </w:tr>
      <w:tr>
        <w:trPr>
          <w:cantSplit/>
        </w:trPr>
        <w:tc>
          <w:tcPr>
            <w:tcW w:w="1500" w:type="dxa"/>
            <w:vAlign w:val="center"/>
          </w:tcPr>
          <w:p>
            <w:pPr>
              <w:pStyle w:val="TableText"/>
            </w:pPr>
            <w:r>
              <w:t xml:space="preserve">3</w:t>
            </w:r>
          </w:p>
        </w:tc>
        <w:tc>
          <w:tcPr>
            <w:tcW w:w="4000" w:type="dxa"/>
            <w:vAlign w:val="center"/>
          </w:tcPr>
          <w:p>
            <w:pPr>
              <w:pStyle w:val="TableText"/>
            </w:pPr>
            <w:r>
              <w:t xml:space="preserve">AssignTicket</w:t>
            </w:r>
          </w:p>
        </w:tc>
      </w:tr>
      <w:tr>
        <w:trPr>
          <w:cantSplit/>
        </w:trPr>
        <w:tc>
          <w:tcPr>
            <w:tcW w:w="1500" w:type="dxa"/>
            <w:vAlign w:val="center"/>
          </w:tcPr>
          <w:p>
            <w:pPr>
              <w:pStyle w:val="TableText"/>
            </w:pPr>
            <w:r>
              <w:t xml:space="preserve">4</w:t>
            </w:r>
          </w:p>
        </w:tc>
        <w:tc>
          <w:tcPr>
            <w:tcW w:w="4000" w:type="dxa"/>
            <w:vAlign w:val="center"/>
          </w:tcPr>
          <w:p>
            <w:pPr>
              <w:pStyle w:val="TableText"/>
            </w:pPr>
            <w:r>
              <w:t xml:space="preserve">CompleteTicket</w:t>
            </w:r>
          </w:p>
        </w:tc>
      </w:tr>
      <w:tr>
        <w:trPr>
          <w:cantSplit/>
        </w:trPr>
        <w:tc>
          <w:tcPr>
            <w:tcW w:w="1500" w:type="dxa"/>
            <w:vAlign w:val="center"/>
          </w:tcPr>
          <w:p>
            <w:pPr>
              <w:pStyle w:val="TableText"/>
            </w:pPr>
            <w:r>
              <w:t xml:space="preserve">5</w:t>
            </w:r>
          </w:p>
        </w:tc>
        <w:tc>
          <w:tcPr>
            <w:tcW w:w="4000" w:type="dxa"/>
            <w:vAlign w:val="center"/>
          </w:tcPr>
          <w:p>
            <w:pPr>
              <w:pStyle w:val="TableText"/>
            </w:pPr>
            <w:r>
              <w:t xml:space="preserve">AddComment</w:t>
            </w:r>
          </w:p>
        </w:tc>
      </w:tr>
      <w:tr>
        <w:trPr>
          <w:cantSplit/>
        </w:trPr>
        <w:tc>
          <w:tcPr>
            <w:tcW w:w="1500" w:type="dxa"/>
            <w:vAlign w:val="center"/>
          </w:tcPr>
          <w:p>
            <w:pPr>
              <w:pStyle w:val="TableText"/>
            </w:pPr>
            <w:r>
              <w:t xml:space="preserve">6</w:t>
            </w:r>
          </w:p>
        </w:tc>
        <w:tc>
          <w:tcPr>
            <w:tcW w:w="4000" w:type="dxa"/>
            <w:vAlign w:val="center"/>
          </w:tcPr>
          <w:p>
            <w:pPr>
              <w:pStyle w:val="TableText"/>
            </w:pPr>
            <w:r>
              <w:t xml:space="preserve">EditComment</w:t>
            </w:r>
          </w:p>
        </w:tc>
      </w:tr>
      <w:tr>
        <w:trPr>
          <w:cantSplit/>
        </w:trPr>
        <w:tc>
          <w:tcPr>
            <w:tcW w:w="1500" w:type="dxa"/>
            <w:vAlign w:val="center"/>
          </w:tcPr>
          <w:p>
            <w:pPr>
              <w:pStyle w:val="TableText"/>
            </w:pPr>
            <w:r>
              <w:t xml:space="preserve">7</w:t>
            </w:r>
          </w:p>
        </w:tc>
        <w:tc>
          <w:tcPr>
            <w:tcW w:w="4000" w:type="dxa"/>
            <w:vAlign w:val="center"/>
          </w:tcPr>
          <w:p>
            <w:pPr>
              <w:pStyle w:val="TableText"/>
            </w:pPr>
            <w:r>
              <w:t xml:space="preserve">DeleteComment</w:t>
            </w:r>
          </w:p>
        </w:tc>
      </w:tr>
      <w:tr>
        <w:trPr>
          <w:cantSplit/>
        </w:trPr>
        <w:tc>
          <w:tcPr>
            <w:tcW w:w="1500" w:type="dxa"/>
            <w:vAlign w:val="center"/>
          </w:tcPr>
          <w:p>
            <w:pPr>
              <w:pStyle w:val="TableText"/>
            </w:pPr>
            <w:r>
              <w:t xml:space="preserve">8</w:t>
            </w:r>
          </w:p>
        </w:tc>
        <w:tc>
          <w:tcPr>
            <w:tcW w:w="4000" w:type="dxa"/>
            <w:vAlign w:val="center"/>
          </w:tcPr>
          <w:p>
            <w:pPr>
              <w:pStyle w:val="TableText"/>
            </w:pPr>
            <w:r>
              <w:t xml:space="preserve">RequestPasswordReset</w:t>
            </w:r>
          </w:p>
        </w:tc>
      </w:tr>
      <w:tr>
        <w:trPr>
          <w:cantSplit/>
        </w:trPr>
        <w:tc>
          <w:tcPr>
            <w:tcW w:w="1500" w:type="dxa"/>
            <w:vAlign w:val="center"/>
          </w:tcPr>
          <w:p>
            <w:pPr>
              <w:pStyle w:val="TableText"/>
            </w:pPr>
            <w:r>
              <w:t xml:space="preserve">9</w:t>
            </w:r>
          </w:p>
        </w:tc>
        <w:tc>
          <w:tcPr>
            <w:tcW w:w="4000" w:type="dxa"/>
            <w:vAlign w:val="center"/>
          </w:tcPr>
          <w:p>
            <w:pPr>
              <w:pStyle w:val="TableText"/>
            </w:pPr>
            <w:r>
              <w:t xml:space="preserve">ResetPassword</w:t>
            </w:r>
          </w:p>
        </w:tc>
      </w:tr>
      <w:tr>
        <w:trPr>
          <w:cantSplit/>
        </w:trPr>
        <w:tc>
          <w:tcPr>
            <w:tcW w:w="1500" w:type="dxa"/>
            <w:vAlign w:val="center"/>
          </w:tcPr>
          <w:p>
            <w:pPr>
              <w:pStyle w:val="TableText"/>
            </w:pPr>
            <w:r>
              <w:t xml:space="preserve">10</w:t>
            </w:r>
          </w:p>
        </w:tc>
        <w:tc>
          <w:tcPr>
            <w:tcW w:w="4000" w:type="dxa"/>
            <w:vAlign w:val="center"/>
          </w:tcPr>
          <w:p>
            <w:pPr>
              <w:pStyle w:val="TableText"/>
            </w:pPr>
            <w:r>
              <w:t xml:space="preserve">EditUser</w:t>
            </w:r>
          </w:p>
        </w:tc>
      </w:tr>
      <w:tr>
        <w:trPr>
          <w:cantSplit/>
        </w:trPr>
        <w:tc>
          <w:tcPr>
            <w:tcW w:w="1500" w:type="dxa"/>
            <w:vAlign w:val="center"/>
          </w:tcPr>
          <w:p>
            <w:pPr>
              <w:pStyle w:val="TableText"/>
            </w:pPr>
            <w:r>
              <w:t xml:space="preserve">11</w:t>
            </w:r>
          </w:p>
        </w:tc>
        <w:tc>
          <w:tcPr>
            <w:tcW w:w="4000" w:type="dxa"/>
            <w:vAlign w:val="center"/>
          </w:tcPr>
          <w:p>
            <w:pPr>
              <w:pStyle w:val="TableText"/>
            </w:pPr>
            <w:r>
              <w:t xml:space="preserve">DeleteUser</w:t>
            </w:r>
          </w:p>
        </w:tc>
      </w:tr>
    </w:tbl>
    <w:p>
      <w:pPr>
        <w:pStyle w:val="Small"/>
      </w:pPr>
    </w:p>
    <w:p>
      <w:r>
        <w:t xml:space="preserve">EditComment and DeleteComment remain defined so that historical audit rows still make sense; the application no longer writes them.</w:t>
      </w:r>
    </w:p>
    <w:p>
      <w:pPr>
        <w:pStyle w:val="Heading2"/>
      </w:pPr>
      <w:r>
        <w:t xml:space="preserve">Audit entity type (AuditLogs.EntityType)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Ticket</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Comment</w:t>
            </w:r>
          </w:p>
        </w:tc>
      </w:tr>
    </w:tbl>
    <w:p>
      <w:pPr>
        <w:pStyle w:val="Small"/>
      </w:pPr>
    </w:p>
    <w:p>
      <w:r>
        <w:t xml:space="preserve">The audit log stores ids and timestamps only, never comment text or ticket descriptions. AuditLogs.EntityId is the id of the row in the table named by EntityType. This log format is what Phase 2 must preserve or improve on.</w:t>
      </w:r>
    </w:p>
    <w:p>
      <w:pPr>
        <w:pStyle w:val="Heading1"/>
      </w:pPr>
      <w:r>
        <w:t xml:space="preserve">6. Example queries</w:t>
      </w:r>
    </w:p>
    <w:p>
      <w:r>
        <w:t xml:space="preserve">Each query below was run against this database when the guide was generated; the results shown are the actual output.</w:t>
      </w:r>
    </w:p>
    <w:p>
      <w:pPr>
        <w:pStyle w:val="Heading2"/>
      </w:pPr>
      <w:r>
        <w:t xml:space="preserve">Tickets by state</w:t>
      </w:r>
    </w:p>
    <w:p>
      <w:pPr>
        <w:pStyle w:val="Code"/>
      </w:pPr>
      <w:r>
        <w:t xml:space="preserve">SELECT CASE State WHEN 0 THEN 'SUBMITTED' WHEN 1 THEN 'INPROGRESS' WHEN 2 THEN 'COMPLETED' END, COUNT(*)</w:t>
      </w:r>
    </w:p>
    <w:p>
      <w:pPr>
        <w:pStyle w:val="Code"/>
      </w:pPr>
      <w:r>
        <w:t xml:space="preserve">FROM Tickets GROUP BY State ORDER BY State;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State</w:t>
            </w:r>
          </w:p>
        </w:tc>
        <w:tc>
          <w:tcPr>
            <w:tcW w:w="4680" w:type="dxa"/>
            <w:shd w:val="clear" w:color="auto" w:fill="1F3864"/>
            <w:vAlign w:val="center"/>
          </w:tcPr>
          <w:p>
            <w:pPr>
              <w:pStyle w:val="TableText"/>
            </w:pPr>
            <w:r>
              <w:rPr>
                <w:b/>
                <w:color w:val="FFFFFF"/>
              </w:rPr>
              <w:t xml:space="preserve">Tickets</w:t>
            </w:r>
          </w:p>
        </w:tc>
      </w:tr>
      <w:tr>
        <w:trPr>
          <w:cantSplit/>
        </w:trPr>
        <w:tc>
          <w:tcPr>
            <w:tcW w:w="4680" w:type="dxa"/>
            <w:vAlign w:val="center"/>
          </w:tcPr>
          <w:p>
            <w:pPr>
              <w:pStyle w:val="TableText"/>
            </w:pPr>
            <w:r>
              <w:t xml:space="preserve">SUBMITTED</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INPROGRESS</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COMPLETED</w:t>
            </w:r>
          </w:p>
        </w:tc>
        <w:tc>
          <w:tcPr>
            <w:tcW w:w="4680" w:type="dxa"/>
            <w:vAlign w:val="center"/>
          </w:tcPr>
          <w:p>
            <w:pPr>
              <w:pStyle w:val="TableText"/>
            </w:pPr>
            <w:r>
              <w:t xml:space="preserve">8</w:t>
            </w:r>
          </w:p>
        </w:tc>
      </w:tr>
    </w:tbl>
    <w:p>
      <w:pPr>
        <w:pStyle w:val="Small"/>
      </w:pPr>
    </w:p>
    <w:p>
      <w:pPr>
        <w:pStyle w:val="Heading2"/>
      </w:pPr>
      <w:r>
        <w:t xml:space="preserve">Active versus soft-deleted accounts by type</w:t>
      </w:r>
    </w:p>
    <w:p>
      <w:pPr>
        <w:pStyle w:val="Code"/>
      </w:pPr>
      <w:r>
        <w:t xml:space="preserve">SELECT Discriminator, COUNT(*), SUM(DeletedAt IS NULL), SUM(DeletedAt IS NOT NULL)</w:t>
      </w:r>
    </w:p>
    <w:p>
      <w:pPr>
        <w:pStyle w:val="Code"/>
      </w:pPr>
      <w:r>
        <w:t xml:space="preserve">FROM Users GROUP BY Discriminator ORDER BY Discriminator;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60"/>
        <w:gridCol w:w="2000"/>
        <w:gridCol w:w="2000"/>
        <w:gridCol w:w="2000"/>
      </w:tblGrid>
      <w:tr>
        <w:trPr>
          <w:cantSplit/>
          <w:tblHeader/>
        </w:trPr>
        <w:tc>
          <w:tcPr>
            <w:tcW w:w="3360" w:type="dxa"/>
            <w:shd w:val="clear" w:color="auto" w:fill="1F3864"/>
            <w:vAlign w:val="center"/>
          </w:tcPr>
          <w:p>
            <w:pPr>
              <w:pStyle w:val="TableText"/>
            </w:pPr>
            <w:r>
              <w:rPr>
                <w:b/>
                <w:color w:val="FFFFFF"/>
              </w:rPr>
              <w:t xml:space="preserve">Type</w:t>
            </w:r>
          </w:p>
        </w:tc>
        <w:tc>
          <w:tcPr>
            <w:tcW w:w="2000" w:type="dxa"/>
            <w:shd w:val="clear" w:color="auto" w:fill="1F3864"/>
            <w:vAlign w:val="center"/>
          </w:tcPr>
          <w:p>
            <w:pPr>
              <w:pStyle w:val="TableText"/>
            </w:pPr>
            <w:r>
              <w:rPr>
                <w:b/>
                <w:color w:val="FFFFFF"/>
              </w:rPr>
              <w:t xml:space="preserve">Accounts</w:t>
            </w:r>
          </w:p>
        </w:tc>
        <w:tc>
          <w:tcPr>
            <w:tcW w:w="2000" w:type="dxa"/>
            <w:shd w:val="clear" w:color="auto" w:fill="1F3864"/>
            <w:vAlign w:val="center"/>
          </w:tcPr>
          <w:p>
            <w:pPr>
              <w:pStyle w:val="TableText"/>
            </w:pPr>
            <w:r>
              <w:rPr>
                <w:b/>
                <w:color w:val="FFFFFF"/>
              </w:rPr>
              <w:t xml:space="preserve">Active</w:t>
            </w:r>
          </w:p>
        </w:tc>
        <w:tc>
          <w:tcPr>
            <w:tcW w:w="2000" w:type="dxa"/>
            <w:shd w:val="clear" w:color="auto" w:fill="1F3864"/>
            <w:vAlign w:val="center"/>
          </w:tcPr>
          <w:p>
            <w:pPr>
              <w:pStyle w:val="TableText"/>
            </w:pPr>
            <w:r>
              <w:rPr>
                <w:b/>
                <w:color w:val="FFFFFF"/>
              </w:rPr>
              <w:t xml:space="preserve">Soft-deleted</w:t>
            </w:r>
          </w:p>
        </w:tc>
      </w:tr>
      <w:tr>
        <w:trPr>
          <w:cantSplit/>
        </w:trPr>
        <w:tc>
          <w:tcPr>
            <w:tcW w:w="3360" w:type="dxa"/>
            <w:vAlign w:val="center"/>
          </w:tcPr>
          <w:p>
            <w:pPr>
              <w:pStyle w:val="TableText"/>
            </w:pPr>
            <w:r>
              <w:t xml:space="preserve">Customer</w:t>
            </w:r>
          </w:p>
        </w:tc>
        <w:tc>
          <w:tcPr>
            <w:tcW w:w="2000" w:type="dxa"/>
            <w:vAlign w:val="center"/>
          </w:tcPr>
          <w:p>
            <w:pPr>
              <w:pStyle w:val="TableText"/>
            </w:pPr>
            <w:r>
              <w:t xml:space="preserve">8</w:t>
            </w:r>
          </w:p>
        </w:tc>
        <w:tc>
          <w:tcPr>
            <w:tcW w:w="2000" w:type="dxa"/>
            <w:vAlign w:val="center"/>
          </w:tcPr>
          <w:p>
            <w:pPr>
              <w:pStyle w:val="TableText"/>
            </w:pPr>
            <w:r>
              <w:t xml:space="preserve">8</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Employee</w:t>
            </w:r>
          </w:p>
        </w:tc>
        <w:tc>
          <w:tcPr>
            <w:tcW w:w="2000" w:type="dxa"/>
            <w:vAlign w:val="center"/>
          </w:tcPr>
          <w:p>
            <w:pPr>
              <w:pStyle w:val="TableText"/>
            </w:pPr>
            <w:r>
              <w:t xml:space="preserve">3</w:t>
            </w:r>
          </w:p>
        </w:tc>
        <w:tc>
          <w:tcPr>
            <w:tcW w:w="2000" w:type="dxa"/>
            <w:vAlign w:val="center"/>
          </w:tcPr>
          <w:p>
            <w:pPr>
              <w:pStyle w:val="TableText"/>
            </w:pPr>
            <w:r>
              <w:t xml:space="preserve">3</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Manager</w:t>
            </w:r>
          </w:p>
        </w:tc>
        <w:tc>
          <w:tcPr>
            <w:tcW w:w="2000" w:type="dxa"/>
            <w:vAlign w:val="center"/>
          </w:tcPr>
          <w:p>
            <w:pPr>
              <w:pStyle w:val="TableText"/>
            </w:pPr>
            <w:r>
              <w:t xml:space="preserve">1</w:t>
            </w:r>
          </w:p>
        </w:tc>
        <w:tc>
          <w:tcPr>
            <w:tcW w:w="2000" w:type="dxa"/>
            <w:vAlign w:val="center"/>
          </w:tcPr>
          <w:p>
            <w:pPr>
              <w:pStyle w:val="TableText"/>
            </w:pPr>
            <w:r>
              <w:t xml:space="preserve">1</w:t>
            </w:r>
          </w:p>
        </w:tc>
        <w:tc>
          <w:tcPr>
            <w:tcW w:w="2000" w:type="dxa"/>
            <w:vAlign w:val="center"/>
          </w:tcPr>
          <w:p>
            <w:pPr>
              <w:pStyle w:val="TableText"/>
            </w:pPr>
            <w:r>
              <w:t xml:space="preserve">0</w:t>
            </w:r>
          </w:p>
        </w:tc>
      </w:tr>
    </w:tbl>
    <w:p>
      <w:pPr>
        <w:pStyle w:val="Small"/>
      </w:pPr>
    </w:p>
    <w:p>
      <w:pPr>
        <w:pStyle w:val="Heading2"/>
      </w:pPr>
      <w:r>
        <w:t xml:space="preserve">First five tickets with submitter and assignee</w:t>
      </w:r>
    </w:p>
    <w:p>
      <w:pPr>
        <w:pStyle w:val="Code"/>
      </w:pPr>
      <w:r>
        <w:t xml:space="preserve">SELECT t.Id, c.Name, COALESCE(e.Name, '(unassigned)')</w:t>
      </w:r>
    </w:p>
    <w:p>
      <w:pPr>
        <w:pStyle w:val="Code"/>
      </w:pPr>
      <w:r>
        <w:t xml:space="preserve">FROM Tickets t</w:t>
      </w:r>
    </w:p>
    <w:p>
      <w:pPr>
        <w:pStyle w:val="Code"/>
      </w:pPr>
      <w:r>
        <w:t xml:space="preserve">JOIN Users c ON c.Id = t.Customer_Id</w:t>
      </w:r>
    </w:p>
    <w:p>
      <w:pPr>
        <w:pStyle w:val="Code"/>
      </w:pPr>
      <w:r>
        <w:t xml:space="preserve">LEFT JOIN Users e ON e.Id = t.User_Id</w:t>
      </w:r>
    </w:p>
    <w:p>
      <w:pPr>
        <w:pStyle w:val="Code"/>
      </w:pPr>
      <w:r>
        <w:t xml:space="preserve">ORDER BY t.Id LIMIT 5;</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3930"/>
        <w:gridCol w:w="3930"/>
      </w:tblGrid>
      <w:tr>
        <w:trPr>
          <w:cantSplit/>
          <w:tblHeader/>
        </w:trPr>
        <w:tc>
          <w:tcPr>
            <w:tcW w:w="1500" w:type="dxa"/>
            <w:shd w:val="clear" w:color="auto" w:fill="1F3864"/>
            <w:vAlign w:val="center"/>
          </w:tcPr>
          <w:p>
            <w:pPr>
              <w:pStyle w:val="TableText"/>
            </w:pPr>
            <w:r>
              <w:rPr>
                <w:b/>
                <w:color w:val="FFFFFF"/>
              </w:rPr>
              <w:t xml:space="preserve">Ticket</w:t>
            </w:r>
          </w:p>
        </w:tc>
        <w:tc>
          <w:tcPr>
            <w:tcW w:w="3930" w:type="dxa"/>
            <w:shd w:val="clear" w:color="auto" w:fill="1F3864"/>
            <w:vAlign w:val="center"/>
          </w:tcPr>
          <w:p>
            <w:pPr>
              <w:pStyle w:val="TableText"/>
            </w:pPr>
            <w:r>
              <w:rPr>
                <w:b/>
                <w:color w:val="FFFFFF"/>
              </w:rPr>
              <w:t xml:space="preserve">Customer</w:t>
            </w:r>
          </w:p>
        </w:tc>
        <w:tc>
          <w:tcPr>
            <w:tcW w:w="3930" w:type="dxa"/>
            <w:shd w:val="clear" w:color="auto" w:fill="1F3864"/>
            <w:vAlign w:val="center"/>
          </w:tcPr>
          <w:p>
            <w:pPr>
              <w:pStyle w:val="TableText"/>
            </w:pPr>
            <w:r>
              <w:rPr>
                <w:b/>
                <w:color w:val="FFFFFF"/>
              </w:rPr>
              <w:t xml:space="preserve">Assigned to</w:t>
            </w:r>
          </w:p>
        </w:tc>
      </w:tr>
      <w:tr>
        <w:trPr>
          <w:cantSplit/>
        </w:trPr>
        <w:tc>
          <w:tcPr>
            <w:tcW w:w="1500" w:type="dxa"/>
            <w:vAlign w:val="center"/>
          </w:tcPr>
          <w:p>
            <w:pPr>
              <w:pStyle w:val="TableText"/>
            </w:pPr>
            <w:r>
              <w:t xml:space="preserve">1</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2</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3</w:t>
            </w:r>
          </w:p>
        </w:tc>
        <w:tc>
          <w:tcPr>
            <w:tcW w:w="3930" w:type="dxa"/>
            <w:vAlign w:val="center"/>
          </w:tcPr>
          <w:p>
            <w:pPr>
              <w:pStyle w:val="TableText"/>
            </w:pPr>
            <w:r>
              <w:t xml:space="preserve">customer1</w:t>
            </w:r>
          </w:p>
        </w:tc>
        <w:tc>
          <w:tcPr>
            <w:tcW w:w="3930" w:type="dxa"/>
            <w:vAlign w:val="center"/>
          </w:tcPr>
          <w:p>
            <w:pPr>
              <w:pStyle w:val="TableText"/>
            </w:pPr>
            <w:r>
              <w:t xml:space="preserve">(unassigned)</w:t>
            </w:r>
          </w:p>
        </w:tc>
      </w:tr>
      <w:tr>
        <w:trPr>
          <w:cantSplit/>
        </w:trPr>
        <w:tc>
          <w:tcPr>
            <w:tcW w:w="1500" w:type="dxa"/>
            <w:vAlign w:val="center"/>
          </w:tcPr>
          <w:p>
            <w:pPr>
              <w:pStyle w:val="TableText"/>
            </w:pPr>
            <w:r>
              <w:t xml:space="preserve">4</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r>
        <w:trPr>
          <w:cantSplit/>
        </w:trPr>
        <w:tc>
          <w:tcPr>
            <w:tcW w:w="1500" w:type="dxa"/>
            <w:vAlign w:val="center"/>
          </w:tcPr>
          <w:p>
            <w:pPr>
              <w:pStyle w:val="TableText"/>
            </w:pPr>
            <w:r>
              <w:t xml:space="preserve">5</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bl>
    <w:p>
      <w:pPr>
        <w:pStyle w:val="Small"/>
      </w:pPr>
    </w:p>
    <w:p>
      <w:pPr>
        <w:pStyle w:val="Heading2"/>
      </w:pPr>
      <w:r>
        <w:t xml:space="preserve">Audit events by action</w:t>
      </w:r>
    </w:p>
    <w:p>
      <w:pPr>
        <w:pStyle w:val="Code"/>
      </w:pPr>
      <w:r>
        <w:t xml:space="preserve">SELECT CASE Action WHEN 0 THEN 'CreateUser' WHEN 1 THEN 'Login' WHEN 2 THEN 'CreateTicket' WHEN 3 THEN 'AssignTicket' WHEN 4 THEN 'CompleteTicket' WHEN 5 THEN 'AddComment' ELSE 'Other' END, COUNT(*)</w:t>
      </w:r>
    </w:p>
    <w:p>
      <w:pPr>
        <w:pStyle w:val="Code"/>
      </w:pPr>
      <w:r>
        <w:t xml:space="preserve">FROM AuditLogs GROUP BY Action ORDER BY Action;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Action</w:t>
            </w:r>
          </w:p>
        </w:tc>
        <w:tc>
          <w:tcPr>
            <w:tcW w:w="4680" w:type="dxa"/>
            <w:shd w:val="clear" w:color="auto" w:fill="1F3864"/>
            <w:vAlign w:val="center"/>
          </w:tcPr>
          <w:p>
            <w:pPr>
              <w:pStyle w:val="TableText"/>
            </w:pPr>
            <w:r>
              <w:rPr>
                <w:b/>
                <w:color w:val="FFFFFF"/>
              </w:rPr>
              <w:t xml:space="preserve">Events</w:t>
            </w:r>
          </w:p>
        </w:tc>
      </w:tr>
      <w:tr>
        <w:trPr>
          <w:cantSplit/>
        </w:trPr>
        <w:tc>
          <w:tcPr>
            <w:tcW w:w="4680" w:type="dxa"/>
            <w:vAlign w:val="center"/>
          </w:tcPr>
          <w:p>
            <w:pPr>
              <w:pStyle w:val="TableText"/>
            </w:pPr>
            <w:r>
              <w:t xml:space="preserve">CreateUser</w:t>
            </w:r>
          </w:p>
        </w:tc>
        <w:tc>
          <w:tcPr>
            <w:tcW w:w="4680" w:type="dxa"/>
            <w:vAlign w:val="center"/>
          </w:tcPr>
          <w:p>
            <w:pPr>
              <w:pStyle w:val="TableText"/>
            </w:pPr>
            <w:r>
              <w:t xml:space="preserve">11</w:t>
            </w:r>
          </w:p>
        </w:tc>
      </w:tr>
      <w:tr>
        <w:trPr>
          <w:cantSplit/>
        </w:trPr>
        <w:tc>
          <w:tcPr>
            <w:tcW w:w="4680" w:type="dxa"/>
            <w:vAlign w:val="center"/>
          </w:tcPr>
          <w:p>
            <w:pPr>
              <w:pStyle w:val="TableText"/>
            </w:pPr>
            <w:r>
              <w:t xml:space="preserve">Login</w:t>
            </w:r>
          </w:p>
        </w:tc>
        <w:tc>
          <w:tcPr>
            <w:tcW w:w="4680" w:type="dxa"/>
            <w:vAlign w:val="center"/>
          </w:tcPr>
          <w:p>
            <w:pPr>
              <w:pStyle w:val="TableText"/>
            </w:pPr>
            <w:r>
              <w:t xml:space="preserve">1</w:t>
            </w:r>
          </w:p>
        </w:tc>
      </w:tr>
      <w:tr>
        <w:trPr>
          <w:cantSplit/>
        </w:trPr>
        <w:tc>
          <w:tcPr>
            <w:tcW w:w="4680" w:type="dxa"/>
            <w:vAlign w:val="center"/>
          </w:tcPr>
          <w:p>
            <w:pPr>
              <w:pStyle w:val="TableText"/>
            </w:pPr>
            <w:r>
              <w:t xml:space="preserve">CreateTicket</w:t>
            </w:r>
          </w:p>
        </w:tc>
        <w:tc>
          <w:tcPr>
            <w:tcW w:w="4680" w:type="dxa"/>
            <w:vAlign w:val="center"/>
          </w:tcPr>
          <w:p>
            <w:pPr>
              <w:pStyle w:val="TableText"/>
            </w:pPr>
            <w:r>
              <w:t xml:space="preserve">24</w:t>
            </w:r>
          </w:p>
        </w:tc>
      </w:tr>
      <w:tr>
        <w:trPr>
          <w:cantSplit/>
        </w:trPr>
        <w:tc>
          <w:tcPr>
            <w:tcW w:w="4680" w:type="dxa"/>
            <w:vAlign w:val="center"/>
          </w:tcPr>
          <w:p>
            <w:pPr>
              <w:pStyle w:val="TableText"/>
            </w:pPr>
            <w:r>
              <w:t xml:space="preserve">AssignTicket</w:t>
            </w:r>
          </w:p>
        </w:tc>
        <w:tc>
          <w:tcPr>
            <w:tcW w:w="4680" w:type="dxa"/>
            <w:vAlign w:val="center"/>
          </w:tcPr>
          <w:p>
            <w:pPr>
              <w:pStyle w:val="TableText"/>
            </w:pPr>
            <w:r>
              <w:t xml:space="preserve">16</w:t>
            </w:r>
          </w:p>
        </w:tc>
      </w:tr>
      <w:tr>
        <w:trPr>
          <w:cantSplit/>
        </w:trPr>
        <w:tc>
          <w:tcPr>
            <w:tcW w:w="4680" w:type="dxa"/>
            <w:vAlign w:val="center"/>
          </w:tcPr>
          <w:p>
            <w:pPr>
              <w:pStyle w:val="TableText"/>
            </w:pPr>
            <w:r>
              <w:t xml:space="preserve">CompleteTicket</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AddComment</w:t>
            </w:r>
          </w:p>
        </w:tc>
        <w:tc>
          <w:tcPr>
            <w:tcW w:w="4680" w:type="dxa"/>
            <w:vAlign w:val="center"/>
          </w:tcPr>
          <w:p>
            <w:pPr>
              <w:pStyle w:val="TableText"/>
            </w:pPr>
            <w:r>
              <w:t xml:space="preserve">18</w:t>
            </w:r>
          </w:p>
        </w:tc>
      </w:tr>
    </w:tbl>
    <w:p>
      <w:pPr>
        <w:pStyle w:val="Small"/>
      </w:pPr>
    </w:p>
    <w:p>
      <w:pPr>
        <w:pStyle w:val="Heading1"/>
      </w:pPr>
      <w:r>
        <w:t xml:space="preserve">7. Credentials</w:t>
      </w:r>
    </w:p>
    <w:p>
      <w:r>
        <w:t xml:space="preserve">The Users table contains the Identity credential columns PasswordHash and SecurityStamp. As part of this migration's one-time-bootstrap policy, every row has these set to NULL, and a new MustResetPassword column set to 1: no usable legacy credential was carried into this database, and every migrated account must reset its password on first login. This guide does not show credential values and none of its queries read them.</w:t>
      </w:r>
    </w:p>
    <w:p>
      <w:pPr>
        <w:pStyle w:val="Heading1"/>
      </w:pPr>
      <w:r>
        <w:t xml:space="preserve">8. Regenerating the database and this guide</w:t>
      </w:r>
    </w:p>
    <w:p>
      <w:pPr>
        <w:pStyle w:val="Code"/>
      </w:pPr>
      <w:r>
        <w:t xml:space="preserve">tools\dbmigrate\dbmigrate.cmd all --target sqlite</w:t>
      </w:r>
    </w:p>
    <w:p>
      <w:r>
        <w:t xml:space="preserve">This exports from the SQL Server LocalDB source (the instance must be available), rebuilds the SQLite file, verifies it, runs the tooling self-test and writes the verification report. To rebuild only this guide from the existing database file:</w:t>
      </w:r>
    </w:p>
    <w:p>
      <w:pPr>
        <w:pStyle w:val="Code"/>
      </w:pPr>
      <w:r>
        <w:t xml:space="preserve">tools\dbmigrate\dbmigrate.cmd guide --target sqlite</w:t>
      </w:r>
    </w:p>
    <w:p>
      <w:r>
        <w:t xml:space="preserve">Exit codes: 0 success, 1 verification differences, 2 configuration or tool error, 3 refused because the target already exists.</w:t>
      </w: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Iteration 1 - SQLite on Windows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SQLite Database Guide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SQLite Database Guide</dc:title>
  <dc:creator>dbmigrate</dc:creator>
  <dcterms:created xsi:type="dcterms:W3CDTF">2026-09-22T17:16:35Z</dcterms:created>
  <dcterms:modified xsi:type="dcterms:W3CDTF">2026-09-22T17:16:35Z</dcterms:modified>
</cp:coreProperties>
</file>