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0B7F8E"/>
          <w:spacing w:val="20"/>
          <w:sz w:val="22"/>
          <w:szCs w:val="22"/>
        </w:rPr>
        <w:t xml:space="preserve">TURNER PAGE</w:t>
      </w:r>
    </w:p>
    <w:p>
      <w:pPr>
        <w:spacing w:after="60"/>
      </w:pPr>
      <w:r>
        <w:rPr>
          <w:b/>
          <w:bCs/>
          <w:color w:val="005F6C"/>
          <w:sz w:val="44"/>
          <w:szCs w:val="44"/>
        </w:rPr>
        <w:t xml:space="preserve">How Core, DMC and DML Fit Together</w:t>
      </w:r>
    </w:p>
    <w:p>
      <w:pPr>
        <w:spacing w:after="300"/>
      </w:pPr>
      <w:r>
        <w:rPr>
          <w:i/>
          <w:iCs/>
          <w:color w:val="5B6B72"/>
          <w:sz w:val="24"/>
          <w:szCs w:val="24"/>
        </w:rPr>
        <w:t xml:space="preserve">The data migration lifecycle, the curriculum map, and the Turner Page methodology</w:t>
      </w:r>
    </w:p>
    <w:p>
      <w:pPr>
        <w:pStyle w:val="Heading1"/>
        <w:spacing w:after="160" w:before="360"/>
      </w:pPr>
      <w:r>
        <w:t xml:space="preserve">Purpose of this document</w:t>
      </w:r>
    </w:p>
    <w:p>
      <w:pPr>
        <w:spacing w:after="160" w:line="300"/>
      </w:pPr>
      <w:r>
        <w:rPr>
          <w:b w:val="false"/>
          <w:bCs w:val="false"/>
          <w:i w:val="false"/>
          <w:iCs w:val="false"/>
          <w:color w:val="102F36"/>
          <w:sz w:val="21"/>
          <w:szCs w:val="21"/>
        </w:rPr>
        <w:t xml:space="preserve">Turner Page trains Data Migration Leads and Data Migration Consultants. Both roles complete the same 7 Core modules; Leads then take 5 DML modules and Consultants take 5 DMC modules. All three curricula are built around the same underlying thing: a real data migration project, from Day 1 discovery through to hypercare. This document sets out how Core, DMC and DML relate to that project lifecycle and to each other, and the recurring set of principles that appear to run underneath all three — referred to here as the Turner Page methodology.</w:t>
      </w:r>
    </w:p>
    <w:p>
      <w:pPr>
        <w:spacing w:after="160" w:line="300"/>
      </w:pPr>
      <w:r>
        <w:rPr>
          <w:b w:val="false"/>
          <w:bCs w:val="false"/>
          <w:i w:val="false"/>
          <w:iCs w:val="false"/>
          <w:color w:val="102F36"/>
          <w:sz w:val="21"/>
          <w:szCs w:val="21"/>
        </w:rPr>
        <w:t xml:space="preserve">It's written for whoever is building or reviewing course content next, so that new lessons are built at a consistent altitude, in the right place in the lifecycle, and consistent with the judgement already established in Core.</w:t>
      </w:r>
    </w:p>
    <w:p>
      <w:pPr>
        <w:shd w:fill="FBF6E3" w:val="clear"/>
        <w:spacing w:after="200" w:before="100" w:line="280"/>
        <w:ind w:left="100" w:right="100"/>
      </w:pPr>
      <w:r>
        <w:rPr>
          <w:b/>
          <w:bCs/>
          <w:color w:val="005F6C"/>
          <w:sz w:val="20"/>
          <w:szCs w:val="20"/>
        </w:rPr>
        <w:t xml:space="preserve">Note: </w:t>
      </w:r>
      <w:r>
        <w:rPr>
          <w:i/>
          <w:iCs/>
          <w:color w:val="102F36"/>
          <w:sz w:val="20"/>
          <w:szCs w:val="20"/>
        </w:rPr>
        <w:t xml:space="preserve">This document covers Core Modules 1–7, DMC Modules 1–5 and DML Modules 1–5 as currently built or scoped. Core Module 1's lesson-by-lesson detail wasn't fully to hand, so it's described at module level only. DML1 is fully built (all 8 lessons) and its content is reflected accurately below, including that it's currently under revision against decisions settled after it was originally built — see “Notes for building the remaining DML lessons”. Everything else reflects the actual lesson content reviewed or authored directly. The “Turner Page methodology” section is deduced from the recurring principles embedded throughout the existing lessons (Core 1, 3, 4 and 7, and DMC1), not copied from a separate methodology document — if one already exists, it's worth reconciling the two; if it doesn't, this may be a useful first draft of one.</w:t>
      </w:r>
    </w:p>
    <w:p>
      <w:pPr>
        <w:pStyle w:val="Heading1"/>
        <w:spacing w:after="160" w:before="360"/>
      </w:pPr>
      <w:r>
        <w:t xml:space="preserve">Where things stand (read this first if picking this up fresh)</w:t>
      </w:r>
    </w:p>
    <w:p>
      <w:pPr>
        <w:spacing w:after="160" w:line="300"/>
      </w:pPr>
      <w:r>
        <w:rPr>
          <w:b w:val="false"/>
          <w:bCs w:val="false"/>
          <w:i w:val="false"/>
          <w:iCs w:val="false"/>
          <w:color w:val="102F36"/>
          <w:sz w:val="21"/>
          <w:szCs w:val="21"/>
        </w:rPr>
        <w:t xml:space="preserve">This section is a running status, not a permanent reference — update or trim it as work completes, unlike the rest of this document.</w:t>
      </w:r>
    </w:p>
    <w:p>
      <w:pPr>
        <w:pStyle w:val="Heading2"/>
        <w:spacing w:after="120" w:before="280"/>
      </w:pPr>
      <w:r>
        <w:t xml:space="preserve">Decided and not up for re-litigation</w:t>
      </w:r>
    </w:p>
    <w:p>
      <w:pPr>
        <w:pStyle w:val="ListParagraph"/>
        <w:numPr>
          <w:ilvl w:val="0"/>
          <w:numId w:val="2"/>
        </w:numPr>
        <w:spacing w:after="80" w:line="290"/>
      </w:pPr>
      <w:r>
        <w:rPr>
          <w:color w:val="102F36"/>
          <w:sz w:val="21"/>
          <w:szCs w:val="21"/>
        </w:rPr>
        <w:t xml:space="preserve">The DML Control Triangle is Scope / Evidence / Delivery, confirmed against the DML1 Lesson 2 v3 manuscript. The shipped HTML still has the old Scope/Time/Quality version and needs rebuilding, custom SVG included.</w:t>
      </w:r>
    </w:p>
    <w:p>
      <w:pPr>
        <w:pStyle w:val="ListParagraph"/>
        <w:numPr>
          <w:ilvl w:val="0"/>
          <w:numId w:val="2"/>
        </w:numPr>
        <w:spacing w:after="80" w:line="290"/>
      </w:pPr>
      <w:r>
        <w:rPr>
          <w:color w:val="102F36"/>
          <w:sz w:val="21"/>
          <w:szCs w:val="21"/>
        </w:rPr>
        <w:t xml:space="preserve">DML’s From the Field roster is Zoe, Isabel, Darren plus one further name, Raj (Food &amp; Beverage ERP, added 12 September 2026). DML1 Lesson 1 is the deliberate exception that introduces all three original voices at once; every other DML lesson gets exactly one. Never reuse Priya, Marcus, Sam, Farah, Owen, Nadia or Elena for a DML story — they’re the established Consultant cast, used across Core and DMC. This split is now mechanically enforced: persona-cast.json (previously undocumented, never actually in the repo) tags each name’s reserved group, and lint-lesson.js’s collision check now flags a cross-group reuse directly, not just a project mismatch.</w:t>
      </w:r>
    </w:p>
    <w:p>
      <w:pPr>
        <w:pStyle w:val="ListParagraph"/>
        <w:numPr>
          <w:ilvl w:val="0"/>
          <w:numId w:val="2"/>
        </w:numPr>
        <w:spacing w:after="80" w:line="290"/>
      </w:pPr>
      <w:r>
        <w:rPr>
          <w:color w:val="102F36"/>
          <w:sz w:val="21"/>
          <w:szCs w:val="21"/>
        </w:rPr>
        <w:t xml:space="preserve">Brand wording is “The Turner Page Mission” (confirmed verbatim from shared/footer-config.js), not “The Turner Page Promise”.</w:t>
      </w:r>
    </w:p>
    <w:p>
      <w:pPr>
        <w:pStyle w:val="ListParagraph"/>
        <w:numPr>
          <w:ilvl w:val="0"/>
          <w:numId w:val="2"/>
        </w:numPr>
        <w:spacing w:after="80" w:line="290"/>
      </w:pPr>
      <w:r>
        <w:rPr>
          <w:color w:val="102F36"/>
          <w:sz w:val="21"/>
          <w:szCs w:val="21"/>
        </w:rPr>
        <w:t xml:space="preserve">The reflection/valuable scoring floor (Math.max(4, ...) in turner-page-kit.js) was agreed to be removed — confirmed as a real problem (a null-content answer like “blah blah blah blah” still scored 4/10 with a fabricated “you engaged with the question” message), not the intentional design tp-html-build-guide.md §8 previously documented it as. Now implemented; see Done below.</w:t>
      </w:r>
    </w:p>
    <w:p>
      <w:pPr>
        <w:pStyle w:val="ListParagraph"/>
        <w:numPr>
          <w:ilvl w:val="0"/>
          <w:numId w:val="2"/>
        </w:numPr>
        <w:spacing w:after="80" w:line="290"/>
      </w:pPr>
      <w:r>
        <w:rPr>
          <w:color w:val="102F36"/>
          <w:sz w:val="21"/>
          <w:szCs w:val="21"/>
        </w:rPr>
        <w:t xml:space="preserve">The classroom test (see its own section above) is a standing quality bar for every lesson in all three curricula, not a DML1-specific note.</w:t>
      </w:r>
    </w:p>
    <w:p>
      <w:pPr>
        <w:pStyle w:val="ListParagraph"/>
        <w:numPr>
          <w:ilvl w:val="0"/>
          <w:numId w:val="2"/>
        </w:numPr>
        <w:spacing w:after="80" w:line="290"/>
      </w:pPr>
      <w:r>
        <w:rPr>
          <w:color w:val="102F36"/>
          <w:sz w:val="21"/>
          <w:szCs w:val="21"/>
        </w:rPr>
        <w:t xml:space="preserve">Technically correct is not the bar. Whatever a block’s framing text tells the learner they’re about to do — build, decide, work something out — the block’s actual mechanism must genuinely require that, not just describe it while the learner clicks through pre-written content. DML1 Lesson 1’s original block 5 (“build the Bramwell readiness picture”, built as a guidedSteps click-through reveal with nothing asked of the learner) is the concrete case that established this. Now a standing principle in tp-html-build-guide.md (its own opening note, and a new §11 QA item) and tp-lesson-playbook.md (block 5’s guidance), not a one-off fix.</w:t>
      </w:r>
    </w:p>
    <w:p>
      <w:pPr>
        <w:pStyle w:val="ListParagraph"/>
        <w:numPr>
          <w:ilvl w:val="0"/>
          <w:numId w:val="2"/>
        </w:numPr>
        <w:spacing w:after="80" w:line="290"/>
      </w:pPr>
      <w:r>
        <w:rPr>
          <w:color w:val="102F36"/>
          <w:sz w:val="21"/>
          <w:szCs w:val="21"/>
        </w:rPr>
        <w:t xml:space="preserve">DMC3’s module title is “Diagnosing &amp; Fixing Defects”, confirmed against this document (both the module-by-module section and the appendix listing say so identically). Every DMC3 manuscript’s own header instead says “Module 3 — Troubleshooting Data Migration Issues” — this was missed at the start of the DMC3 build and used verbatim across all six lessons before being caught during the module-boundary review at the end, then corrected in all six lesson files plus the module-final lesson-complete.html. Worth an explicit title cross-check against this document before the first lesson of any remaining module, not just a memory-based assumption that the manuscript header is safe to trust.</w:t>
      </w:r>
    </w:p>
    <w:p>
      <w:pPr>
        <w:pStyle w:val="Heading2"/>
        <w:spacing w:after="120" w:before="280"/>
      </w:pPr>
      <w:r>
        <w:t xml:space="preserve">Done</w:t>
      </w:r>
    </w:p>
    <w:p>
      <w:pPr>
        <w:pStyle w:val="ListParagraph"/>
        <w:numPr>
          <w:ilvl w:val="0"/>
          <w:numId w:val="2"/>
        </w:numPr>
        <w:spacing w:after="80" w:line="290"/>
      </w:pPr>
      <w:r>
        <w:rPr>
          <w:color w:val="102F36"/>
          <w:sz w:val="21"/>
          <w:szCs w:val="21"/>
        </w:rPr>
        <w:t xml:space="preserve">This alignment document — covers Core, DMC and DML, kept current as of this section.</w:t>
      </w:r>
    </w:p>
    <w:p>
      <w:pPr>
        <w:pStyle w:val="ListParagraph"/>
        <w:numPr>
          <w:ilvl w:val="0"/>
          <w:numId w:val="2"/>
        </w:numPr>
        <w:spacing w:after="80" w:line="290"/>
      </w:pPr>
      <w:r>
        <w:rPr>
          <w:color w:val="102F36"/>
          <w:sz w:val="21"/>
          <w:szCs w:val="21"/>
        </w:rPr>
        <w:t xml:space="preserve">tp-lesson-playbook.md — corrected: reflection field wording, the persona role-split rule, the “dated” requirement loosened to “time-positioned”, the stale DML1 Lessons 5–8 content-plan removed, MCQ option-length parity and the classroom test added, guidedSteps-is-not-construction warning added and then strengthened (the block-5 heading itself previously said “(guidedSteps)”, which was part of the problem; now corrected and cross-referenced to the build guide’s standing construction-check rule, with DML1 Lesson 1’s actual rebuild cited as the example).</w:t>
      </w:r>
    </w:p>
    <w:p>
      <w:pPr>
        <w:pStyle w:val="ListParagraph"/>
        <w:numPr>
          <w:ilvl w:val="0"/>
          <w:numId w:val="2"/>
        </w:numPr>
        <w:spacing w:after="80" w:line="290"/>
      </w:pPr>
      <w:r>
        <w:rPr>
          <w:color w:val="102F36"/>
          <w:sz w:val="21"/>
          <w:szCs w:val="21"/>
        </w:rPr>
        <w:t xml:space="preserve">tp-html-build-guide.md — the persona registry section rewritten around the real two-sub-cast split (persona-cast.json and lint-lesson.js, it turned out, had never actually existed in the repo before this session — both now created); the “.to-record is automatic” claim corrected; the file-structure section and its other three echoes corrected for the real /core/core1/-style nesting; §8 rewritten to match the scoring-floor fix below; a new opening principle and §11 QA item added for the construction-check rule above.</w:t>
      </w:r>
    </w:p>
    <w:p>
      <w:pPr>
        <w:pStyle w:val="ListParagraph"/>
        <w:numPr>
          <w:ilvl w:val="0"/>
          <w:numId w:val="2"/>
        </w:numPr>
        <w:spacing w:after="80" w:line="290"/>
      </w:pPr>
      <w:r>
        <w:rPr>
          <w:color w:val="102F36"/>
          <w:sz w:val="21"/>
          <w:szCs w:val="21"/>
        </w:rPr>
        <w:t xml:space="preserve">turner-page-kit.js — the Math.max(4, ...) scoring floor removed and the fabricated “you engaged with the question” fallback replaced with an honest one; verified by simulating the reachable score set (0 is now genuinely reachable) rather than just reading the diff.</w:t>
      </w:r>
    </w:p>
    <w:p>
      <w:pPr>
        <w:pStyle w:val="ListParagraph"/>
        <w:numPr>
          <w:ilvl w:val="0"/>
          <w:numId w:val="2"/>
        </w:numPr>
        <w:spacing w:after="80" w:line="290"/>
      </w:pPr>
      <w:r>
        <w:rPr>
          <w:color w:val="102F36"/>
          <w:sz w:val="21"/>
          <w:szCs w:val="21"/>
        </w:rPr>
        <w:t xml:space="preserve">The story bible — Section 17 appended in its established per-module style: Core 7 Lesson 1’s genericisation confirmed directly from the file (supplier S20418/Nordvik Components AS replaces the old customer-based scenario; a new “73 conflicting suppliers” figure logged), the DML1 persona roster and Raj’s addition, the Control Triangle correction, and DML1 Lesson 2’s persona collision (Priya, Marcus and Sam, all relabelled “Data Migration Lead”) confirmed live in the current build, not just a historical risk.</w:t>
      </w:r>
    </w:p>
    <w:p>
      <w:pPr>
        <w:pStyle w:val="ListParagraph"/>
        <w:numPr>
          <w:ilvl w:val="0"/>
          <w:numId w:val="2"/>
        </w:numPr>
        <w:spacing w:after="80" w:line="290"/>
      </w:pPr>
      <w:r>
        <w:rPr>
          <w:color w:val="102F36"/>
          <w:sz w:val="21"/>
          <w:szCs w:val="21"/>
        </w:rPr>
        <w:t xml:space="preserve">All 8 lesson-complete.html files — the hardcoded “Turner Page Promise” footer replaced with the correct “Turner Page Mission” wording; confirmed identical across all 8 before the fix and re-verified for tag balance after it.</w:t>
      </w:r>
    </w:p>
    <w:p>
      <w:pPr>
        <w:pStyle w:val="ListParagraph"/>
        <w:numPr>
          <w:ilvl w:val="0"/>
          <w:numId w:val="2"/>
        </w:numPr>
        <w:spacing w:after="80" w:line="290"/>
      </w:pPr>
      <w:r>
        <w:rPr>
          <w:color w:val="102F36"/>
          <w:sz w:val="21"/>
          <w:szCs w:val="21"/>
        </w:rPr>
        <w:t xml:space="preserve">DML1 Lesson 1 — fully rebuilt against its v2 manuscript (real Bramwell figures throughout, two new blocks, module title and Mission wording fixed), then given a second, more thorough review pass beyond the first: homeUrl/logoSrc were confirmed missing from LESSON_CONFIG and fixed; the linter caught a genuine answer-position skew across the graded situations questions, fixed by varying each item’s option order rather than its content; and block 5 (“build the Bramwell readiness picture”) was found to be a guidedSteps click-through reveal despite its own framing telling the learner to build the picture themselves, and was rebuilt into a situations block of five genuine judgement calls, one per readiness area, re-verified end to end (linter, div balance, JS syntax) after the rebuild. Two review passes now, not one, and the second found real problems the first one missed.</w:t>
      </w:r>
    </w:p>
    <w:p>
      <w:pPr>
        <w:pStyle w:val="ListParagraph"/>
        <w:numPr>
          <w:ilvl w:val="0"/>
          <w:numId w:val="2"/>
        </w:numPr>
        <w:spacing w:after="80" w:line="290"/>
      </w:pPr>
      <w:r>
        <w:rPr>
          <w:color w:val="102F36"/>
          <w:sz w:val="21"/>
          <w:szCs w:val="21"/>
        </w:rPr>
        <w:t xml:space="preserve">DML1 Lessons 2 through 8, and assessment.html — all fully rebuilt and QA-verified (linter, tag balance, JS syntax), not just mechanically patched. Recurring defects found and fixed across nearly every one of Lessons 3–8: a broken, incomplete “promise-card” fragment copied into block 1; an undocumented bespoke greeting script not present in Lessons 1–2 (removed); missing homeUrl/logoSrc; a persona collision (Consultant-cast names used as Data Migration Lead — fixed in Lessons 2, 5, 6, 7 and 8); and, in every situations block across all 8 lessons, the correct answer landing on the same option position 3–4 times in a row (fixed by reordering options, never by changing content). Each lesson’s “build it yourself” block (guidedSteps, framed as construction but only a click-through reveal) was rebuilt into genuine reflection or situations construction; several needed a fresh scenario variant rather than the original, since an earlier block in the same lesson had already fully revealed the model answer.</w:t>
      </w:r>
    </w:p>
    <w:p>
      <w:pPr>
        <w:pStyle w:val="ListParagraph"/>
        <w:numPr>
          <w:ilvl w:val="0"/>
          <w:numId w:val="2"/>
        </w:numPr>
        <w:spacing w:after="80" w:line="290"/>
      </w:pPr>
      <w:r>
        <w:rPr>
          <w:color w:val="102F36"/>
          <w:sz w:val="21"/>
          <w:szCs w:val="21"/>
        </w:rPr>
        <w:t xml:space="preserve">A site-wide em dash encoding gap, caught via a third-party AI review and independently verified: Lessons 1–2 had zero learner-facing literal em dash characters (all in code comments, correctly using the \u2014 escaped form per tp-html-build-guide.md §11), but Lessons 3–8 had 86 between them, sitting directly in quiz feedback and takeaway text. Fixed by converting every learner-facing literal em dash to \u2014 — this changes source encoding only, not what a learner actually reads. Worth building an em dash grep into whatever step happens right before a lesson goes live, given DMC/DML Modules 2–5 are still to come.</w:t>
      </w:r>
    </w:p>
    <w:p>
      <w:pPr>
        <w:pStyle w:val="ListParagraph"/>
        <w:numPr>
          <w:ilvl w:val="0"/>
          <w:numId w:val="2"/>
        </w:numPr>
        <w:spacing w:after="80" w:line="290"/>
      </w:pPr>
      <w:r>
        <w:rPr>
          <w:color w:val="102F36"/>
          <w:sz w:val="21"/>
          <w:szCs w:val="21"/>
        </w:rPr>
        <w:t xml:space="preserve">assessment.html — a real, verified bug in the ordering question (“Running a meeting that actually holds”): its items were listed in their correct order with no shuffle, and the ordering type’s answered-check always returned true regardless of interaction, so the question scored correct with zero interaction. Fixed with a shuffledStart field so the initial display order is a genuine derangement of the correct order. Also added the previously-missing Scope/Evidence/Delivery diagnostic question (placed between the Lesson 1/2-themed questions and the Lesson 3 scope question), and updated the question count to 11 throughout (assessment.html and lesson8-complete.html both now say “11 questions, about 15 minutes”, previously mismatched as “10” flat vs “~10” with a time estimate the assessment page itself lacked).</w:t>
      </w:r>
    </w:p>
    <w:p>
      <w:pPr>
        <w:pStyle w:val="ListParagraph"/>
        <w:numPr>
          <w:ilvl w:val="0"/>
          <w:numId w:val="2"/>
        </w:numPr>
        <w:spacing w:after="80" w:line="290"/>
      </w:pPr>
      <w:r>
        <w:rPr>
          <w:color w:val="102F36"/>
          <w:sz w:val="21"/>
          <w:szCs w:val="21"/>
        </w:rPr>
        <w:t xml:space="preserve">lesson2-complete.html and lesson8-complete.html corrected. Lesson 2’s completion page was inaccurate independent of this session’s rebuild — it described “the Migration Decision Triangle” (the old name) and attributed Lesson 1’s own “Five Daily Questions” framework to Lesson 2. Now describes Scope/Evidence/Delivery accurately. The other six lesson-complete pages were checked against their lessons’ actual content and confirmed accurate — no changes needed there.</w:t>
      </w:r>
    </w:p>
    <w:p>
      <w:pPr>
        <w:pStyle w:val="ListParagraph"/>
        <w:numPr>
          <w:ilvl w:val="0"/>
          <w:numId w:val="2"/>
        </w:numPr>
        <w:spacing w:after="80" w:line="290"/>
      </w:pPr>
      <w:r>
        <w:rPr>
          <w:color w:val="102F36"/>
          <w:sz w:val="21"/>
          <w:szCs w:val="21"/>
        </w:rPr>
        <w:t xml:space="preserve">A third-party AI review (from Chetan’s Claude) was triaged claim by claim rather than trusted or dismissed wholesale: the ordering-question bug and the em dash gap were both confirmed and fixed as above; the claim that “Lessons 3 through 8 build their own quiz logic inline” is false — every DML1 lesson, 1 through 8, uses the identical shared TPKit.mount() engine, so that reviewer’s browser-testing coverage claims for 3–8 rest on a wrong model of the architecture; and the earlier note that the assessment’s final question was “DML5-flavoured” turned out to be stale — the actual file’s final question is already well integrated with Lesson 8’s own capstone content.</w:t>
      </w:r>
    </w:p>
    <w:p>
      <w:pPr>
        <w:pStyle w:val="ListParagraph"/>
        <w:numPr>
          <w:ilvl w:val="0"/>
          <w:numId w:val="2"/>
        </w:numPr>
        <w:spacing w:after="80" w:line="290"/>
      </w:pPr>
      <w:r>
        <w:rPr>
          <w:color w:val="102F36"/>
          <w:sz w:val="21"/>
          <w:szCs w:val="21"/>
        </w:rPr>
        <w:t xml:space="preserve">DMC1, DMC2 and DMC3 — all 18 lessons plus 18 lesson-complete.html pages (including the two module-final variants for DMC2 and DMC3, each linking to its module’s assessment.html) built and QA-verified: linter clean, tag balance, JS syntax, learner-facing em dash sweep, and a register-leak grep for authorial provenance language (“Bramwell canon”, “training data”, “Story Bible” and similar) leaking into learner-facing text — fifteen instances of that leak were found and fixed across the DMC1/DMC2 build alone. DMC3’s module title was corrected from the manuscripts’ own “Troubleshooting Data Migration Issues” to this document’s “Diagnosing &amp; Fixing Defects” across all six lessons; see the Decided note above. Hands-on exercises deliberately span Supplier, Product, Fixed Assets and Sales Orders rather than defaulting to Customer every time (two real gaps — DMC1 Lesson 2 and DMC2 Lesson 4 — were found customer-only after the fact and rebuilt against Fixed Assets and a genuine Bramwell supplier-classification conflict respectively). DMC3 in particular carries real cross-lesson continuity: Lesson 1’s DELIVERY_SECONDARY address defect reappears as the worked dependency failure in Lesson 4, gets its formal root-cause analysis in Lesson 5, and is the worked recovery case in Lesson 6’s capstone. assessment.html is not yet built for DMC1, DMC2 or DMC3 — each currently has no module assessment; all three lesson6-complete.html pages already link to one.</w:t>
      </w:r>
    </w:p>
    <w:p>
      <w:pPr>
        <w:pStyle w:val="Heading2"/>
        <w:spacing w:after="120" w:before="280"/>
      </w:pPr>
      <w:r>
        <w:t xml:space="preserve">Not started</w:t>
      </w:r>
    </w:p>
    <w:p>
      <w:pPr>
        <w:pStyle w:val="ListParagraph"/>
        <w:numPr>
          <w:ilvl w:val="0"/>
          <w:numId w:val="2"/>
        </w:numPr>
        <w:spacing w:after="80" w:line="290"/>
      </w:pPr>
      <w:r>
        <w:rPr>
          <w:color w:val="102F36"/>
          <w:sz w:val="21"/>
          <w:szCs w:val="21"/>
        </w:rPr>
        <w:t xml:space="preserve">DMC Modules 4–5, and DML Modules 2–5 — not yet built; manuscripts exist for all of them. DMC follows a different lesson shape from Core/DML (Teach → Worked example → Build the artefact → Work through → Do, per tp-lesson-playbook.md’s own scope note), not the ten-block shape — building a DMC lesson against the ten-block shape would be the category error the playbook already warns against.</w:t>
      </w:r>
    </w:p>
    <w:p>
      <w:pPr>
        <w:pStyle w:val="ListParagraph"/>
        <w:numPr>
          <w:ilvl w:val="0"/>
          <w:numId w:val="2"/>
        </w:numPr>
        <w:spacing w:after="80" w:line="290"/>
      </w:pPr>
      <w:r>
        <w:rPr>
          <w:color w:val="102F36"/>
          <w:sz w:val="21"/>
          <w:szCs w:val="21"/>
        </w:rPr>
        <w:t xml:space="preserve">The playbook’s 9a “optional knowledge check” block (ungraded, never blocks Continue) cannot actually be built yet: the kit’s own gating logic (ready = b.type === "content") means every non-content block type gates Continue on completion, with no non-gating quiz mode. Needs a kit engineering change before any lesson can include one — confirmed by reading turner-page-kit.js directly, not assumed.</w:t>
      </w:r>
    </w:p>
    <w:p>
      <w:pPr>
        <w:pStyle w:val="Heading1"/>
        <w:spacing w:after="160" w:before="360"/>
      </w:pPr>
      <w:r>
        <w:t xml:space="preserve">The data migration lifecycle</w:t>
      </w:r>
    </w:p>
    <w:p>
      <w:pPr>
        <w:spacing w:after="160" w:line="300"/>
      </w:pPr>
      <w:r>
        <w:rPr>
          <w:b w:val="false"/>
          <w:bCs w:val="false"/>
          <w:i w:val="false"/>
          <w:iCs w:val="false"/>
          <w:color w:val="102F36"/>
          <w:sz w:val="21"/>
          <w:szCs w:val="21"/>
        </w:rPr>
        <w:t xml:space="preserve">All three curricula are organised around the same eight-stage shape of a real migration project, plus two threads that run through all of them rather than belonging to any single stage: governance and decision authority, and (DML only) team and partner leadership.</w:t>
      </w:r>
    </w:p>
    <w:p>
      <w:pPr>
        <w:spacing w:after="160" w:line="300"/>
      </w:pPr>
      <w:r>
        <w:rPr>
          <w:b/>
          <w:bCs/>
          <w:color w:val="005F6C"/>
          <w:sz w:val="21"/>
          <w:szCs w:val="21"/>
        </w:rPr>
        <w:t xml:space="preserve">1. Discovery &amp; Scoping. </w:t>
      </w:r>
      <w:r>
        <w:rPr>
          <w:color w:val="102F36"/>
          <w:sz w:val="21"/>
          <w:szCs w:val="21"/>
        </w:rPr>
        <w:t xml:space="preserve">Landscape, legal entities, objects in scope, initial timeline, team stood up.</w:t>
      </w:r>
    </w:p>
    <w:p>
      <w:pPr>
        <w:spacing w:after="160" w:line="300"/>
      </w:pPr>
      <w:r>
        <w:rPr>
          <w:b/>
          <w:bCs/>
          <w:color w:val="005F6C"/>
          <w:sz w:val="21"/>
          <w:szCs w:val="21"/>
        </w:rPr>
        <w:t xml:space="preserve">2. Data Landscape &amp; Profiling. </w:t>
      </w:r>
      <w:r>
        <w:rPr>
          <w:color w:val="102F36"/>
          <w:sz w:val="21"/>
          <w:szCs w:val="21"/>
        </w:rPr>
        <w:t xml:space="preserve">What's actually in the source systems — quality, volume, structure — before design starts.</w:t>
      </w:r>
    </w:p>
    <w:p>
      <w:pPr>
        <w:spacing w:after="160" w:line="300"/>
      </w:pPr>
      <w:r>
        <w:rPr>
          <w:b/>
          <w:bCs/>
          <w:color w:val="005F6C"/>
          <w:sz w:val="21"/>
          <w:szCs w:val="21"/>
        </w:rPr>
        <w:t xml:space="preserve">3. Design: Mapping &amp; Business Rules. </w:t>
      </w:r>
      <w:r>
        <w:rPr>
          <w:color w:val="102F36"/>
          <w:sz w:val="21"/>
          <w:szCs w:val="21"/>
        </w:rPr>
        <w:t xml:space="preserve">Source-to-target mapping, transformation and default rules, governance sign-off.</w:t>
      </w:r>
    </w:p>
    <w:p>
      <w:pPr>
        <w:spacing w:after="160" w:line="300"/>
      </w:pPr>
      <w:r>
        <w:rPr>
          <w:b/>
          <w:bCs/>
          <w:color w:val="005F6C"/>
          <w:sz w:val="21"/>
          <w:szCs w:val="21"/>
        </w:rPr>
        <w:t xml:space="preserve">4. Build. </w:t>
      </w:r>
      <w:r>
        <w:rPr>
          <w:color w:val="102F36"/>
          <w:sz w:val="21"/>
          <w:szCs w:val="21"/>
        </w:rPr>
        <w:t xml:space="preserve">Approved mapping turned into deterministic, testable migration logic: SQL, staging, ETL, transformations, error handling, restartability.</w:t>
      </w:r>
    </w:p>
    <w:p>
      <w:pPr>
        <w:spacing w:after="160" w:line="300"/>
      </w:pPr>
      <w:r>
        <w:rPr>
          <w:b/>
          <w:bCs/>
          <w:color w:val="005F6C"/>
          <w:sz w:val="21"/>
          <w:szCs w:val="21"/>
        </w:rPr>
        <w:t xml:space="preserve">5. Test &amp; Validate. </w:t>
      </w:r>
      <w:r>
        <w:rPr>
          <w:color w:val="102F36"/>
          <w:sz w:val="21"/>
          <w:szCs w:val="21"/>
        </w:rPr>
        <w:t xml:space="preserve">Mock/rehearsal cycles, reconciliation, defect management, regression as scope changes.</w:t>
      </w:r>
    </w:p>
    <w:p>
      <w:pPr>
        <w:spacing w:after="160" w:line="300"/>
      </w:pPr>
      <w:r>
        <w:rPr>
          <w:b/>
          <w:bCs/>
          <w:color w:val="005F6C"/>
          <w:sz w:val="21"/>
          <w:szCs w:val="21"/>
        </w:rPr>
        <w:t xml:space="preserve">6. Cutover Planning. </w:t>
      </w:r>
      <w:r>
        <w:rPr>
          <w:color w:val="102F36"/>
          <w:sz w:val="21"/>
          <w:szCs w:val="21"/>
        </w:rPr>
        <w:t xml:space="preserve">Runbook design, sequencing, dependencies, rollback planning, rehearsal.</w:t>
      </w:r>
    </w:p>
    <w:p>
      <w:pPr>
        <w:spacing w:after="160" w:line="300"/>
      </w:pPr>
      <w:r>
        <w:rPr>
          <w:b/>
          <w:bCs/>
          <w:color w:val="005F6C"/>
          <w:sz w:val="21"/>
          <w:szCs w:val="21"/>
        </w:rPr>
        <w:t xml:space="preserve">7. Cutover Execution. </w:t>
      </w:r>
      <w:r>
        <w:rPr>
          <w:color w:val="102F36"/>
          <w:sz w:val="21"/>
          <w:szCs w:val="21"/>
        </w:rPr>
        <w:t xml:space="preserve">Real-time execution against the runbook, decisions under time pressure.</w:t>
      </w:r>
    </w:p>
    <w:p>
      <w:pPr>
        <w:spacing w:after="160" w:line="300"/>
      </w:pPr>
      <w:r>
        <w:rPr>
          <w:b/>
          <w:bCs/>
          <w:color w:val="005F6C"/>
          <w:sz w:val="21"/>
          <w:szCs w:val="21"/>
        </w:rPr>
        <w:t xml:space="preserve">8. Hypercare &amp; Stabilisation. </w:t>
      </w:r>
      <w:r>
        <w:rPr>
          <w:color w:val="102F36"/>
          <w:sz w:val="21"/>
          <w:szCs w:val="21"/>
        </w:rPr>
        <w:t xml:space="preserve">Post go-live monitoring, defect triage, corrections, legacy decommission, close-out.</w:t>
      </w:r>
    </w:p>
    <w:p>
      <w:pPr>
        <w:spacing w:after="160" w:line="300"/>
      </w:pPr>
      <w:r>
        <w:rPr>
          <w:color w:val="102F36"/>
          <w:sz w:val="21"/>
          <w:szCs w:val="21"/>
        </w:rPr>
        <w:t xml:space="preserve">Running through all eight, not a stage itself: </w:t>
      </w:r>
      <w:r>
        <w:rPr>
          <w:b/>
          <w:bCs/>
          <w:color w:val="005F6C"/>
          <w:sz w:val="21"/>
          <w:szCs w:val="21"/>
        </w:rPr>
        <w:t xml:space="preserve">governance and decision authority</w:t>
      </w:r>
      <w:r>
        <w:rPr>
          <w:color w:val="102F36"/>
          <w:sz w:val="21"/>
          <w:szCs w:val="21"/>
        </w:rPr>
        <w:t xml:space="preserve"> — who owns what, evidence discipline, escalation — plus, for the Lead track specifically, </w:t>
      </w:r>
      <w:r>
        <w:rPr>
          <w:b/>
          <w:bCs/>
          <w:color w:val="005F6C"/>
          <w:sz w:val="21"/>
          <w:szCs w:val="21"/>
        </w:rPr>
        <w:t xml:space="preserve">team and partner leadership</w:t>
      </w:r>
      <w:r>
        <w:rPr>
          <w:color w:val="102F36"/>
          <w:sz w:val="21"/>
          <w:szCs w:val="21"/>
        </w:rPr>
        <w:t xml:space="preserve">.</w:t>
      </w:r>
    </w:p>
    <w:p>
      <w:pPr>
        <w:pStyle w:val="Heading1"/>
        <w:spacing w:after="160" w:before="360"/>
      </w:pPr>
      <w:r>
        <w:t xml:space="preserve">Three altitudes: judgement, craft and leadership</w:t>
      </w:r>
    </w:p>
    <w:p>
      <w:pPr>
        <w:spacing w:after="160" w:line="300"/>
      </w:pPr>
      <w:r>
        <w:rPr>
          <w:b w:val="false"/>
          <w:bCs w:val="false"/>
          <w:i w:val="false"/>
          <w:iCs w:val="false"/>
          <w:color w:val="102F36"/>
          <w:sz w:val="21"/>
          <w:szCs w:val="21"/>
        </w:rPr>
        <w:t xml:space="preserve">Core is the shared foundation for both roles — it teaches judgement, not a Lead-specific skill set. Both a future Lead and a future Consultant complete the same 7 Core modules before specialising. Each track then adds its own layer on top, and the two layers are not quite parallel: DMC adds craft (the Consultant's hands-on execution), while DML adds leadership (the Lead's orchestration, executive-facing and people-management altitude) — and DML explicitly builds on top of DMC's ceiling as well as Core's, not just Core's. DML3's own manuscript says so directly: it “deliberately begins where Core Module 6 and DMC5 stop,” adding “the leadership layer: readiness architecture, cross-workstream orchestration, governance authority.”</w:t>
      </w:r>
    </w:p>
    <w:p>
      <w:pPr>
        <w:spacing w:after="160" w:line="300"/>
      </w:pPr>
      <w:r>
        <w:rPr>
          <w:b/>
          <w:bCs/>
          <w:color w:val="102F36"/>
          <w:sz w:val="21"/>
          <w:szCs w:val="21"/>
        </w:rPr>
        <w:t xml:space="preserve">Core teaches judgement: </w:t>
      </w:r>
      <w:r>
        <w:rPr>
          <w:color w:val="102F36"/>
          <w:sz w:val="21"/>
          <w:szCs w:val="21"/>
        </w:rPr>
        <w:t xml:space="preserve">what decision needs making, who has authority to make it, what evidence is required, what “done” actually looks like. A Core learner reasons about a scenario and picks the right response; they are not usually asked to write the SQL.</w:t>
      </w:r>
    </w:p>
    <w:p>
      <w:pPr>
        <w:spacing w:after="160" w:line="300"/>
      </w:pPr>
      <w:r>
        <w:rPr>
          <w:b/>
          <w:bCs/>
          <w:color w:val="102F36"/>
          <w:sz w:val="21"/>
          <w:szCs w:val="21"/>
        </w:rPr>
        <w:t xml:space="preserve">DMC teaches the Consultant's craft: </w:t>
      </w:r>
      <w:r>
        <w:rPr>
          <w:color w:val="102F36"/>
          <w:sz w:val="21"/>
          <w:szCs w:val="21"/>
        </w:rPr>
        <w:t xml:space="preserve">how to actually do the work — write the query, structure the staging table, design the test case, diagnose the rejected record, run the workshop. A DMC learner is expected to produce a real artefact.</w:t>
      </w:r>
    </w:p>
    <w:p>
      <w:pPr>
        <w:spacing w:after="160" w:line="300"/>
      </w:pPr>
      <w:r>
        <w:rPr>
          <w:b/>
          <w:bCs/>
          <w:color w:val="102F36"/>
          <w:sz w:val="21"/>
          <w:szCs w:val="21"/>
        </w:rPr>
        <w:t xml:space="preserve">DML teaches the Lead's leadership: </w:t>
      </w:r>
      <w:r>
        <w:rPr>
          <w:color w:val="102F36"/>
          <w:sz w:val="21"/>
          <w:szCs w:val="21"/>
        </w:rPr>
        <w:t xml:space="preserve">orchestrating across workstreams, communicating at executive/sponsor level, owning governance and audit authority, and leading the team and partners doing the Core-and-DMC-level work. A DML learner is expected to make and own a call that other people, and often other workstreams, have to live with.</w:t>
      </w:r>
    </w:p>
    <w:p>
      <w:pPr>
        <w:spacing w:after="160" w:line="300"/>
      </w:pPr>
      <w:r>
        <w:rPr>
          <w:b w:val="false"/>
          <w:bCs w:val="false"/>
          <w:i w:val="false"/>
          <w:iCs w:val="false"/>
          <w:color w:val="102F36"/>
          <w:sz w:val="21"/>
          <w:szCs w:val="21"/>
        </w:rPr>
        <w:t xml:space="preserve">One consequence worth naming: DML doesn't map onto the lifecycle stage-for-stage the way DMC does. DML1 is a general orientation to the Lead's job, not tied to one stage. DML2 and DML4 both elevate Core 7's governance thread, but along two different axes — DML2 is the executive-communication and escalation angle, DML4 is the audit, decision-rights and data-governance angle. DML3 maps cleanly onto Cutover Planning and Execution, matching its own stated scope. DML5, on team and partner leadership, doesn't shadow any Core or DMC module at all — it's genuinely new territory, since neither Core nor DMC covers managing people or vendors. The full map below reflects that asymmetry rather than forcing a false parallel.</w:t>
      </w:r>
    </w:p>
    <w:p>
      <w:pPr>
        <w:spacing w:after="160" w:line="300"/>
      </w:pPr>
      <w:r>
        <w:rPr>
          <w:b w:val="false"/>
          <w:bCs w:val="false"/>
          <w:i w:val="false"/>
          <w:iCs w:val="false"/>
          <w:color w:val="102F36"/>
          <w:sz w:val="21"/>
          <w:szCs w:val="21"/>
        </w:rPr>
        <w:t xml:space="preserve">The practical consequence for content built against this framework: every DMC or DML module should assume the judgement taught in its Core counterpart (and, for DML, the craft taught in the relevant DMC module) is already in place, and spend its own depth entirely on its own altitude. A DMC lesson that re-explains “why this needs an authorised decision” is re-teaching Core; a DML lesson that re-explains how to write the SQL is re-teaching DMC. Each should take the layer below as given and show exactly what its own altitude adds — with light, occasional callbacks rather than a restatement.</w:t>
      </w:r>
    </w:p>
    <w:p>
      <w:pPr>
        <w:pStyle w:val="Heading1"/>
        <w:spacing w:after="160" w:before="360"/>
      </w:pPr>
      <w:r>
        <w:t xml:space="preserve">The full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400"/>
      </w:tblGrid>
      <w:tr>
        <w:trPr>
          <w:tblHeader/>
        </w:trPr>
        <w:tc>
          <w:tcPr>
            <w:tcW w:type="dxa" w:w="2000"/>
            <w:shd w:fill="0B7F8E" w:val="clear"/>
            <w:tcMar>
              <w:top w:type="dxa" w:w="100"/>
              <w:left w:type="dxa" w:w="120"/>
              <w:bottom w:type="dxa" w:w="100"/>
              <w:right w:type="dxa" w:w="120"/>
            </w:tcMar>
          </w:tcPr>
          <w:p>
            <w:r>
              <w:rPr>
                <w:b/>
                <w:bCs/>
                <w:color w:val="FFFFFF"/>
                <w:sz w:val="19"/>
                <w:szCs w:val="19"/>
              </w:rPr>
              <w:t xml:space="preserve">Lifecycle stage</w:t>
            </w:r>
          </w:p>
        </w:tc>
        <w:tc>
          <w:tcPr>
            <w:tcW w:type="dxa" w:w="2500"/>
            <w:shd w:fill="0B7F8E" w:val="clear"/>
            <w:tcMar>
              <w:top w:type="dxa" w:w="100"/>
              <w:left w:type="dxa" w:w="120"/>
              <w:bottom w:type="dxa" w:w="100"/>
              <w:right w:type="dxa" w:w="120"/>
            </w:tcMar>
          </w:tcPr>
          <w:p>
            <w:r>
              <w:rPr>
                <w:b/>
                <w:bCs/>
                <w:color w:val="FFFFFF"/>
                <w:sz w:val="19"/>
                <w:szCs w:val="19"/>
              </w:rPr>
              <w:t xml:space="preserve">Core — judgement (both roles)</w:t>
            </w:r>
          </w:p>
        </w:tc>
        <w:tc>
          <w:tcPr>
            <w:tcW w:type="dxa" w:w="2500"/>
            <w:shd w:fill="0B7F8E" w:val="clear"/>
            <w:tcMar>
              <w:top w:type="dxa" w:w="100"/>
              <w:left w:type="dxa" w:w="120"/>
              <w:bottom w:type="dxa" w:w="100"/>
              <w:right w:type="dxa" w:w="120"/>
            </w:tcMar>
          </w:tcPr>
          <w:p>
            <w:r>
              <w:rPr>
                <w:b/>
                <w:bCs/>
                <w:color w:val="FFFFFF"/>
                <w:sz w:val="19"/>
                <w:szCs w:val="19"/>
              </w:rPr>
              <w:t xml:space="preserve">DMC — Consultant craft</w:t>
            </w:r>
          </w:p>
        </w:tc>
        <w:tc>
          <w:tcPr>
            <w:tcW w:type="dxa" w:w="2400"/>
            <w:shd w:fill="0B7F8E" w:val="clear"/>
            <w:tcMar>
              <w:top w:type="dxa" w:w="100"/>
              <w:left w:type="dxa" w:w="120"/>
              <w:bottom w:type="dxa" w:w="100"/>
              <w:right w:type="dxa" w:w="120"/>
            </w:tcMar>
          </w:tcPr>
          <w:p>
            <w:r>
              <w:rPr>
                <w:b/>
                <w:bCs/>
                <w:color w:val="FFFFFF"/>
                <w:sz w:val="19"/>
                <w:szCs w:val="19"/>
              </w:rPr>
              <w:t xml:space="preserve">DML — Lead leadership</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1. Discovery &amp; Scoping</w:t>
            </w:r>
          </w:p>
        </w:tc>
        <w:tc>
          <w:tcPr>
            <w:tcW w:type="dxa" w:w="2500"/>
            <w:tcMar>
              <w:top w:type="dxa" w:w="100"/>
              <w:left w:type="dxa" w:w="120"/>
              <w:bottom w:type="dxa" w:w="100"/>
              <w:right w:type="dxa" w:w="120"/>
            </w:tcMar>
          </w:tcPr>
          <w:p>
            <w:r>
              <w:rPr>
                <w:b w:val="false"/>
                <w:bCs w:val="false"/>
                <w:color w:val="102F36"/>
                <w:sz w:val="19"/>
                <w:szCs w:val="19"/>
              </w:rPr>
              <w:t xml:space="preserve">Core 1 — Migration Fundamentals</w:t>
            </w:r>
          </w:p>
        </w:tc>
        <w:tc>
          <w:tcPr>
            <w:tcW w:type="dxa" w:w="2500"/>
            <w:tcMar>
              <w:top w:type="dxa" w:w="100"/>
              <w:left w:type="dxa" w:w="120"/>
              <w:bottom w:type="dxa" w:w="100"/>
              <w:right w:type="dxa" w:w="120"/>
            </w:tcMar>
          </w:tcPr>
          <w:p>
            <w:r>
              <w:rPr>
                <w:b w:val="false"/>
                <w:bCs w:val="false"/>
                <w:color w:val="102F36"/>
                <w:sz w:val="19"/>
                <w:szCs w:val="19"/>
              </w:rPr>
              <w:t xml:space="preserve">—</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2. Data Landscape &amp; Profiling</w:t>
            </w:r>
          </w:p>
        </w:tc>
        <w:tc>
          <w:tcPr>
            <w:tcW w:type="dxa" w:w="2500"/>
            <w:tcMar>
              <w:top w:type="dxa" w:w="100"/>
              <w:left w:type="dxa" w:w="120"/>
              <w:bottom w:type="dxa" w:w="100"/>
              <w:right w:type="dxa" w:w="120"/>
            </w:tcMar>
          </w:tcPr>
          <w:p>
            <w:r>
              <w:rPr>
                <w:b w:val="false"/>
                <w:bCs w:val="false"/>
                <w:color w:val="102F36"/>
                <w:sz w:val="19"/>
                <w:szCs w:val="19"/>
              </w:rPr>
              <w:t xml:space="preserve">Core 2 — Data Profiling &amp; Data Quality</w:t>
            </w:r>
          </w:p>
        </w:tc>
        <w:tc>
          <w:tcPr>
            <w:tcW w:type="dxa" w:w="2500"/>
            <w:tcMar>
              <w:top w:type="dxa" w:w="100"/>
              <w:left w:type="dxa" w:w="120"/>
              <w:bottom w:type="dxa" w:w="100"/>
              <w:right w:type="dxa" w:w="120"/>
            </w:tcMar>
          </w:tcPr>
          <w:p>
            <w:r>
              <w:rPr>
                <w:b w:val="false"/>
                <w:bCs w:val="false"/>
                <w:color w:val="102F36"/>
                <w:sz w:val="19"/>
                <w:szCs w:val="19"/>
              </w:rPr>
              <w:t xml:space="preserve">DMC2 — Profiling, Cleansing &amp; Reference Data</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3. Design: Mapping &amp; Business Rules</w:t>
            </w:r>
          </w:p>
        </w:tc>
        <w:tc>
          <w:tcPr>
            <w:tcW w:type="dxa" w:w="2500"/>
            <w:tcMar>
              <w:top w:type="dxa" w:w="100"/>
              <w:left w:type="dxa" w:w="120"/>
              <w:bottom w:type="dxa" w:w="100"/>
              <w:right w:type="dxa" w:w="120"/>
            </w:tcMar>
          </w:tcPr>
          <w:p>
            <w:r>
              <w:rPr>
                <w:b w:val="false"/>
                <w:bCs w:val="false"/>
                <w:color w:val="102F36"/>
                <w:sz w:val="19"/>
                <w:szCs w:val="19"/>
              </w:rPr>
              <w:t xml:space="preserve">Core 3 — Transformations &amp; Business Rules</w:t>
            </w:r>
          </w:p>
        </w:tc>
        <w:tc>
          <w:tcPr>
            <w:tcW w:type="dxa" w:w="2500"/>
            <w:tcMar>
              <w:top w:type="dxa" w:w="100"/>
              <w:left w:type="dxa" w:w="120"/>
              <w:bottom w:type="dxa" w:w="100"/>
              <w:right w:type="dxa" w:w="120"/>
            </w:tcMar>
          </w:tcPr>
          <w:p>
            <w:r>
              <w:rPr>
                <w:b w:val="false"/>
                <w:bCs w:val="false"/>
                <w:color w:val="102F36"/>
                <w:sz w:val="19"/>
                <w:szCs w:val="19"/>
              </w:rPr>
              <w:t xml:space="preserve">(shared with DMC1, see below)</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4. Build</w:t>
            </w:r>
          </w:p>
        </w:tc>
        <w:tc>
          <w:tcPr>
            <w:tcW w:type="dxa" w:w="2500"/>
            <w:tcMar>
              <w:top w:type="dxa" w:w="100"/>
              <w:left w:type="dxa" w:w="120"/>
              <w:bottom w:type="dxa" w:w="100"/>
              <w:right w:type="dxa" w:w="120"/>
            </w:tcMar>
          </w:tcPr>
          <w:p>
            <w:r>
              <w:rPr>
                <w:b w:val="false"/>
                <w:bCs w:val="false"/>
                <w:color w:val="102F36"/>
                <w:sz w:val="19"/>
                <w:szCs w:val="19"/>
              </w:rPr>
              <w:t xml:space="preserve">Core 4 — Pipelines, Staging &amp; Loading</w:t>
            </w:r>
          </w:p>
        </w:tc>
        <w:tc>
          <w:tcPr>
            <w:tcW w:type="dxa" w:w="2500"/>
            <w:tcMar>
              <w:top w:type="dxa" w:w="100"/>
              <w:left w:type="dxa" w:w="120"/>
              <w:bottom w:type="dxa" w:w="100"/>
              <w:right w:type="dxa" w:w="120"/>
            </w:tcMar>
          </w:tcPr>
          <w:p>
            <w:r>
              <w:rPr>
                <w:b w:val="false"/>
                <w:bCs w:val="false"/>
                <w:color w:val="102F36"/>
                <w:sz w:val="19"/>
                <w:szCs w:val="19"/>
              </w:rPr>
              <w:t xml:space="preserve">DMC1 — Building Migration Solutions</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5. Test &amp; Validate</w:t>
            </w:r>
          </w:p>
        </w:tc>
        <w:tc>
          <w:tcPr>
            <w:tcW w:type="dxa" w:w="2500"/>
            <w:tcMar>
              <w:top w:type="dxa" w:w="100"/>
              <w:left w:type="dxa" w:w="120"/>
              <w:bottom w:type="dxa" w:w="100"/>
              <w:right w:type="dxa" w:w="120"/>
            </w:tcMar>
          </w:tcPr>
          <w:p>
            <w:r>
              <w:rPr>
                <w:b w:val="false"/>
                <w:bCs w:val="false"/>
                <w:color w:val="102F36"/>
                <w:sz w:val="19"/>
                <w:szCs w:val="19"/>
              </w:rPr>
              <w:t xml:space="preserve">Core 5 — Validation &amp; Reconciliation</w:t>
            </w:r>
          </w:p>
        </w:tc>
        <w:tc>
          <w:tcPr>
            <w:tcW w:type="dxa" w:w="2500"/>
            <w:tcMar>
              <w:top w:type="dxa" w:w="100"/>
              <w:left w:type="dxa" w:w="120"/>
              <w:bottom w:type="dxa" w:w="100"/>
              <w:right w:type="dxa" w:w="120"/>
            </w:tcMar>
          </w:tcPr>
          <w:p>
            <w:r>
              <w:rPr>
                <w:b w:val="false"/>
                <w:bCs w:val="false"/>
                <w:color w:val="102F36"/>
                <w:sz w:val="19"/>
                <w:szCs w:val="19"/>
              </w:rPr>
              <w:t xml:space="preserve">DMC3 — Diagnosing &amp; Fixing Defects</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6. Cutover Planning</w:t>
            </w:r>
          </w:p>
        </w:tc>
        <w:tc>
          <w:tcPr>
            <w:tcW w:type="dxa" w:w="2500"/>
            <w:tcMar>
              <w:top w:type="dxa" w:w="100"/>
              <w:left w:type="dxa" w:w="120"/>
              <w:bottom w:type="dxa" w:w="100"/>
              <w:right w:type="dxa" w:w="120"/>
            </w:tcMar>
          </w:tcPr>
          <w:p>
            <w:r>
              <w:rPr>
                <w:b w:val="false"/>
                <w:bCs w:val="false"/>
                <w:color w:val="102F36"/>
                <w:sz w:val="19"/>
                <w:szCs w:val="19"/>
              </w:rPr>
              <w:t xml:space="preserve">Core 6 (L1–4) — Cycles &amp; Cutover</w:t>
            </w:r>
          </w:p>
        </w:tc>
        <w:tc>
          <w:tcPr>
            <w:tcW w:type="dxa" w:w="2500"/>
            <w:tcMar>
              <w:top w:type="dxa" w:w="100"/>
              <w:left w:type="dxa" w:w="120"/>
              <w:bottom w:type="dxa" w:w="100"/>
              <w:right w:type="dxa" w:w="120"/>
            </w:tcMar>
          </w:tcPr>
          <w:p>
            <w:r>
              <w:rPr>
                <w:b w:val="false"/>
                <w:bCs w:val="false"/>
                <w:color w:val="102F36"/>
                <w:sz w:val="19"/>
                <w:szCs w:val="19"/>
              </w:rPr>
              <w:t xml:space="preserve">DMC5 (L1–2) — Preparing &amp; Executing a Cycle</w:t>
            </w:r>
          </w:p>
        </w:tc>
        <w:tc>
          <w:tcPr>
            <w:tcW w:type="dxa" w:w="2400"/>
            <w:tcMar>
              <w:top w:type="dxa" w:w="100"/>
              <w:left w:type="dxa" w:w="120"/>
              <w:bottom w:type="dxa" w:w="100"/>
              <w:right w:type="dxa" w:w="120"/>
            </w:tcMar>
          </w:tcPr>
          <w:p>
            <w:r>
              <w:rPr>
                <w:b w:val="false"/>
                <w:bCs w:val="false"/>
                <w:color w:val="102F36"/>
                <w:sz w:val="19"/>
                <w:szCs w:val="19"/>
              </w:rPr>
              <w:t xml:space="preserve">DML3 — Cutover Strategy &amp; Go-Live Governance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7. Cutover Execution</w:t>
            </w:r>
          </w:p>
        </w:tc>
        <w:tc>
          <w:tcPr>
            <w:tcW w:type="dxa" w:w="2500"/>
            <w:tcMar>
              <w:top w:type="dxa" w:w="100"/>
              <w:left w:type="dxa" w:w="120"/>
              <w:bottom w:type="dxa" w:w="100"/>
              <w:right w:type="dxa" w:w="120"/>
            </w:tcMar>
          </w:tcPr>
          <w:p>
            <w:r>
              <w:rPr>
                <w:b w:val="false"/>
                <w:bCs w:val="false"/>
                <w:color w:val="102F36"/>
                <w:sz w:val="19"/>
                <w:szCs w:val="19"/>
              </w:rPr>
              <w:t xml:space="preserve">Core 6 (L5)</w:t>
            </w:r>
          </w:p>
        </w:tc>
        <w:tc>
          <w:tcPr>
            <w:tcW w:type="dxa" w:w="2500"/>
            <w:tcMar>
              <w:top w:type="dxa" w:w="100"/>
              <w:left w:type="dxa" w:w="120"/>
              <w:bottom w:type="dxa" w:w="100"/>
              <w:right w:type="dxa" w:w="120"/>
            </w:tcMar>
          </w:tcPr>
          <w:p>
            <w:r>
              <w:rPr>
                <w:b w:val="false"/>
                <w:bCs w:val="false"/>
                <w:color w:val="102F36"/>
                <w:sz w:val="19"/>
                <w:szCs w:val="19"/>
              </w:rPr>
              <w:t xml:space="preserve">DMC5 (L5–6) — Cutover &amp; Stabilisation</w:t>
            </w:r>
          </w:p>
        </w:tc>
        <w:tc>
          <w:tcPr>
            <w:tcW w:type="dxa" w:w="2400"/>
            <w:tcMar>
              <w:top w:type="dxa" w:w="100"/>
              <w:left w:type="dxa" w:w="120"/>
              <w:bottom w:type="dxa" w:w="100"/>
              <w:right w:type="dxa" w:w="120"/>
            </w:tcMar>
          </w:tcPr>
          <w:p>
            <w:r>
              <w:rPr>
                <w:b w:val="false"/>
                <w:bCs w:val="false"/>
                <w:color w:val="102F36"/>
                <w:sz w:val="19"/>
                <w:szCs w:val="19"/>
              </w:rPr>
              <w:t xml:space="preserve">DML3 (continued)</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8. Hypercare &amp; Stabilisation</w:t>
            </w:r>
          </w:p>
        </w:tc>
        <w:tc>
          <w:tcPr>
            <w:tcW w:type="dxa" w:w="2500"/>
            <w:tcMar>
              <w:top w:type="dxa" w:w="100"/>
              <w:left w:type="dxa" w:w="120"/>
              <w:bottom w:type="dxa" w:w="100"/>
              <w:right w:type="dxa" w:w="120"/>
            </w:tcMar>
          </w:tcPr>
          <w:p>
            <w:r>
              <w:rPr>
                <w:b w:val="false"/>
                <w:bCs w:val="false"/>
                <w:color w:val="102F36"/>
                <w:sz w:val="19"/>
                <w:szCs w:val="19"/>
              </w:rPr>
              <w:t xml:space="preserve">Core 6 (L5, tail)</w:t>
            </w:r>
          </w:p>
        </w:tc>
        <w:tc>
          <w:tcPr>
            <w:tcW w:type="dxa" w:w="2500"/>
            <w:tcMar>
              <w:top w:type="dxa" w:w="100"/>
              <w:left w:type="dxa" w:w="120"/>
              <w:bottom w:type="dxa" w:w="100"/>
              <w:right w:type="dxa" w:w="120"/>
            </w:tcMar>
          </w:tcPr>
          <w:p>
            <w:r>
              <w:rPr>
                <w:b w:val="false"/>
                <w:bCs w:val="false"/>
                <w:color w:val="102F36"/>
                <w:sz w:val="19"/>
                <w:szCs w:val="19"/>
              </w:rPr>
              <w:t xml:space="preserve">DMC5 (L6)</w:t>
            </w:r>
          </w:p>
        </w:tc>
        <w:tc>
          <w:tcPr>
            <w:tcW w:type="dxa" w:w="2400"/>
            <w:tcMar>
              <w:top w:type="dxa" w:w="100"/>
              <w:left w:type="dxa" w:w="120"/>
              <w:bottom w:type="dxa" w:w="100"/>
              <w:right w:type="dxa" w:w="120"/>
            </w:tcMar>
          </w:tcPr>
          <w:p>
            <w:r>
              <w:rPr>
                <w:b w:val="false"/>
                <w:bCs w:val="false"/>
                <w:color w:val="102F36"/>
                <w:sz w:val="19"/>
                <w:szCs w:val="19"/>
              </w:rPr>
              <w:t xml:space="preserv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Cross-cutting: Governance &amp; Decision Authority</w:t>
            </w:r>
          </w:p>
        </w:tc>
        <w:tc>
          <w:tcPr>
            <w:tcW w:type="dxa" w:w="2500"/>
            <w:tcMar>
              <w:top w:type="dxa" w:w="100"/>
              <w:left w:type="dxa" w:w="120"/>
              <w:bottom w:type="dxa" w:w="100"/>
              <w:right w:type="dxa" w:w="120"/>
            </w:tcMar>
          </w:tcPr>
          <w:p>
            <w:r>
              <w:rPr>
                <w:b w:val="false"/>
                <w:bCs w:val="false"/>
                <w:color w:val="102F36"/>
                <w:sz w:val="19"/>
                <w:szCs w:val="19"/>
              </w:rPr>
              <w:t xml:space="preserve">Core 7 — Governance &amp; Stakeholder Management</w:t>
            </w:r>
          </w:p>
        </w:tc>
        <w:tc>
          <w:tcPr>
            <w:tcW w:type="dxa" w:w="2500"/>
            <w:tcMar>
              <w:top w:type="dxa" w:w="100"/>
              <w:left w:type="dxa" w:w="120"/>
              <w:bottom w:type="dxa" w:w="100"/>
              <w:right w:type="dxa" w:w="120"/>
            </w:tcMar>
          </w:tcPr>
          <w:p>
            <w:r>
              <w:rPr>
                <w:b w:val="false"/>
                <w:bCs w:val="false"/>
                <w:color w:val="102F36"/>
                <w:sz w:val="19"/>
                <w:szCs w:val="19"/>
              </w:rPr>
              <w:t xml:space="preserve">DMC4 — Communication &amp; Professional Practice</w:t>
            </w:r>
          </w:p>
        </w:tc>
        <w:tc>
          <w:tcPr>
            <w:tcW w:type="dxa" w:w="2400"/>
            <w:tcMar>
              <w:top w:type="dxa" w:w="100"/>
              <w:left w:type="dxa" w:w="120"/>
              <w:bottom w:type="dxa" w:w="100"/>
              <w:right w:type="dxa" w:w="120"/>
            </w:tcMar>
          </w:tcPr>
          <w:p>
            <w:r>
              <w:rPr>
                <w:b w:val="false"/>
                <w:bCs w:val="false"/>
                <w:color w:val="102F36"/>
                <w:sz w:val="19"/>
                <w:szCs w:val="19"/>
              </w:rPr>
              <w:t xml:space="preserve">DML2 — Executive Communication &amp; Risk Escalation; DML4 — Audit, Compliance &amp; Data Governance</w:t>
            </w:r>
          </w:p>
        </w:tc>
      </w:tr>
      <w:tr>
        <w:tc>
          <w:tcPr>
            <w:tcW w:type="dxa" w:w="2000"/>
            <w:shd w:fill="F3F9F9" w:val="clear"/>
            <w:tcMar>
              <w:top w:type="dxa" w:w="100"/>
              <w:left w:type="dxa" w:w="120"/>
              <w:bottom w:type="dxa" w:w="100"/>
              <w:right w:type="dxa" w:w="120"/>
            </w:tcMar>
          </w:tcPr>
          <w:p>
            <w:r>
              <w:rPr>
                <w:b w:val="false"/>
                <w:bCs w:val="false"/>
                <w:color w:val="102F36"/>
                <w:sz w:val="19"/>
                <w:szCs w:val="19"/>
              </w:rPr>
              <w:t xml:space="preserve">Cross-cutting: Team &amp; Partner Leadership</w:t>
            </w:r>
          </w:p>
        </w:tc>
        <w:tc>
          <w:tcPr>
            <w:tcW w:type="dxa" w:w="2500"/>
            <w:tcMar>
              <w:top w:type="dxa" w:w="100"/>
              <w:left w:type="dxa" w:w="120"/>
              <w:bottom w:type="dxa" w:w="100"/>
              <w:right w:type="dxa" w:w="120"/>
            </w:tcMar>
          </w:tcPr>
          <w:p>
            <w:r>
              <w:rPr>
                <w:b w:val="false"/>
                <w:bCs w:val="false"/>
                <w:color w:val="102F36"/>
                <w:sz w:val="19"/>
                <w:szCs w:val="19"/>
              </w:rPr>
              <w:t xml:space="preserve">—</w:t>
            </w:r>
          </w:p>
        </w:tc>
        <w:tc>
          <w:tcPr>
            <w:tcW w:type="dxa" w:w="2500"/>
            <w:tcMar>
              <w:top w:type="dxa" w:w="100"/>
              <w:left w:type="dxa" w:w="120"/>
              <w:bottom w:type="dxa" w:w="100"/>
              <w:right w:type="dxa" w:w="120"/>
            </w:tcMar>
          </w:tcPr>
          <w:p>
            <w:r>
              <w:rPr>
                <w:b w:val="false"/>
                <w:bCs w:val="false"/>
                <w:color w:val="102F36"/>
                <w:sz w:val="19"/>
                <w:szCs w:val="19"/>
              </w:rPr>
              <w:t xml:space="preserve">—</w:t>
            </w:r>
          </w:p>
        </w:tc>
        <w:tc>
          <w:tcPr>
            <w:tcW w:type="dxa" w:w="2400"/>
            <w:tcMar>
              <w:top w:type="dxa" w:w="100"/>
              <w:left w:type="dxa" w:w="120"/>
              <w:bottom w:type="dxa" w:w="100"/>
              <w:right w:type="dxa" w:w="120"/>
            </w:tcMar>
          </w:tcPr>
          <w:p>
            <w:r>
              <w:rPr>
                <w:b w:val="false"/>
                <w:bCs w:val="false"/>
                <w:color w:val="102F36"/>
                <w:sz w:val="19"/>
                <w:szCs w:val="19"/>
              </w:rPr>
              <w:t xml:space="preserve">DML5 — Team Leadership &amp; Partner Coordination</w:t>
            </w:r>
          </w:p>
        </w:tc>
      </w:tr>
    </w:tbl>
    <w:p>
      <w:pPr>
        <w:spacing w:before="200"/>
      </w:pPr>
    </w:p>
    <w:p>
      <w:pPr>
        <w:spacing w:after="160" w:line="300"/>
      </w:pPr>
      <w:r>
        <w:rPr>
          <w:b w:val="false"/>
          <w:bCs w:val="false"/>
          <w:i w:val="false"/>
          <w:iCs w:val="false"/>
          <w:color w:val="102F36"/>
          <w:sz w:val="21"/>
          <w:szCs w:val="21"/>
        </w:rPr>
        <w:t xml:space="preserve">Read down the DMC column and a pattern falls out: DMC2, DMC3 and DMC5 each shadow one specific Core module (2, 5 and 6 respectively) stage for stage. DMC1 is the exception worth naming explicitly: it sits across Core 3 and Core 4, because its actual subject — turning an approved mapping into build-ready logic — is the seam between those two Core modules, not a shadow of either one alone.</w:t>
      </w:r>
    </w:p>
    <w:p>
      <w:pPr>
        <w:spacing w:after="160" w:line="300"/>
      </w:pPr>
      <w:r>
        <w:rPr>
          <w:b w:val="false"/>
          <w:bCs w:val="false"/>
          <w:i w:val="false"/>
          <w:iCs w:val="false"/>
          <w:color w:val="102F36"/>
          <w:sz w:val="21"/>
          <w:szCs w:val="21"/>
        </w:rPr>
        <w:t xml:space="preserve">The DML column tells a different story. DML3 shadows Core 6 and DMC5 together, cleanly, at cutover. DML2 and DML4 both elevate Core 7's governance thread, but split it into two angles (executive communication vs. audit/decision-rights) rather than shadowing it as one block the way DMC4 does. DML1 sits outside the stage table entirely, as general orientation. And DML5 has no Core or DMC counterpart at all — team and partner leadership is unique to the Lead's job, not a leadership-altitude version of something Core or DMC already teaches.</w:t>
      </w:r>
    </w:p>
    <w:p>
      <w:pPr>
        <w:pStyle w:val="Heading1"/>
        <w:spacing w:after="160" w:before="360"/>
      </w:pPr>
      <w:r>
        <w:t xml:space="preserve">Module by module</w:t>
      </w:r>
    </w:p>
    <w:p>
      <w:pPr>
        <w:pStyle w:val="Heading2"/>
        <w:spacing w:after="120" w:before="280"/>
      </w:pPr>
      <w:r>
        <w:t xml:space="preserve">Core (shared foundation, both roles)</w:t>
      </w:r>
    </w:p>
    <w:p>
      <w:pPr>
        <w:pStyle w:val="Heading3"/>
        <w:spacing w:after="80" w:before="200"/>
      </w:pPr>
      <w:r>
        <w:t xml:space="preserve">Core 1 — Migration Fundamentals</w:t>
      </w:r>
    </w:p>
    <w:p>
      <w:pPr>
        <w:spacing w:after="160" w:line="300"/>
      </w:pPr>
      <w:r>
        <w:rPr>
          <w:b w:val="false"/>
          <w:bCs w:val="false"/>
          <w:i w:val="false"/>
          <w:iCs w:val="false"/>
          <w:color w:val="102F36"/>
          <w:sz w:val="21"/>
          <w:szCs w:val="21"/>
        </w:rPr>
        <w:t xml:space="preserve">Establishes what data migration is and how source systems, target systems and data models relate to each other — the foundation the rest of Core and all of DMC builds on. Includes the lesson “Source systems, target systems and data models.”</w:t>
      </w:r>
    </w:p>
    <w:p>
      <w:pPr>
        <w:shd w:fill="FBF6E3" w:val="clear"/>
        <w:spacing w:after="200" w:before="100" w:line="280"/>
        <w:ind w:left="100" w:right="100"/>
      </w:pPr>
      <w:r>
        <w:rPr>
          <w:b/>
          <w:bCs/>
          <w:color w:val="005F6C"/>
          <w:sz w:val="20"/>
          <w:szCs w:val="20"/>
        </w:rPr>
        <w:t xml:space="preserve">Note: </w:t>
      </w:r>
      <w:r>
        <w:rPr>
          <w:i/>
          <w:iCs/>
          <w:color w:val="102F36"/>
          <w:sz w:val="20"/>
          <w:szCs w:val="20"/>
        </w:rPr>
        <w:t xml:space="preserve">Full lesson-by-lesson detail for this module wasn't directly available when this document was written — described here at module level. Worth folding in the precise lesson list once to hand.</w:t>
      </w:r>
    </w:p>
    <w:p>
      <w:pPr>
        <w:pStyle w:val="Heading3"/>
        <w:spacing w:after="80" w:before="200"/>
      </w:pPr>
      <w:r>
        <w:t xml:space="preserve">Core 2 — Data Profiling &amp; Data Quality</w:t>
      </w:r>
    </w:p>
    <w:p>
      <w:pPr>
        <w:spacing w:after="160" w:line="300"/>
      </w:pPr>
      <w:r>
        <w:rPr>
          <w:b w:val="false"/>
          <w:bCs w:val="false"/>
          <w:i w:val="false"/>
          <w:iCs w:val="false"/>
          <w:color w:val="102F36"/>
          <w:sz w:val="21"/>
          <w:szCs w:val="21"/>
        </w:rPr>
        <w:t xml:space="preserve">Discovering the real data landscape (not just the system list), building a data inventory, profiling to find what's actually there, turning findings into a cleansing plan, and driving quality improvement with evidence rather than status-report optimism.</w:t>
      </w:r>
    </w:p>
    <w:p>
      <w:pPr>
        <w:pStyle w:val="ListParagraph"/>
        <w:numPr>
          <w:ilvl w:val="0"/>
          <w:numId w:val="2"/>
        </w:numPr>
        <w:spacing w:after="80" w:line="290"/>
      </w:pPr>
      <w:r>
        <w:rPr>
          <w:color w:val="102F36"/>
          <w:sz w:val="21"/>
          <w:szCs w:val="21"/>
        </w:rPr>
        <w:t xml:space="preserve">Discovering the data landscape</w:t>
      </w:r>
    </w:p>
    <w:p>
      <w:pPr>
        <w:pStyle w:val="ListParagraph"/>
        <w:numPr>
          <w:ilvl w:val="0"/>
          <w:numId w:val="2"/>
        </w:numPr>
        <w:spacing w:after="80" w:line="290"/>
      </w:pPr>
      <w:r>
        <w:rPr>
          <w:color w:val="102F36"/>
          <w:sz w:val="21"/>
          <w:szCs w:val="21"/>
        </w:rPr>
        <w:t xml:space="preserve">Building the data inventory</w:t>
      </w:r>
    </w:p>
    <w:p>
      <w:pPr>
        <w:pStyle w:val="ListParagraph"/>
        <w:numPr>
          <w:ilvl w:val="0"/>
          <w:numId w:val="2"/>
        </w:numPr>
        <w:spacing w:after="80" w:line="290"/>
      </w:pPr>
      <w:r>
        <w:rPr>
          <w:color w:val="102F36"/>
          <w:sz w:val="21"/>
          <w:szCs w:val="21"/>
        </w:rPr>
        <w:t xml:space="preserve">Profiling data and finding what is really there</w:t>
      </w:r>
    </w:p>
    <w:p>
      <w:pPr>
        <w:pStyle w:val="ListParagraph"/>
        <w:numPr>
          <w:ilvl w:val="0"/>
          <w:numId w:val="2"/>
        </w:numPr>
        <w:spacing w:after="80" w:line="290"/>
      </w:pPr>
      <w:r>
        <w:rPr>
          <w:color w:val="102F36"/>
          <w:sz w:val="21"/>
          <w:szCs w:val="21"/>
        </w:rPr>
        <w:t xml:space="preserve">Turning data problems into a cleansing plan</w:t>
      </w:r>
    </w:p>
    <w:p>
      <w:pPr>
        <w:pStyle w:val="ListParagraph"/>
        <w:numPr>
          <w:ilvl w:val="0"/>
          <w:numId w:val="2"/>
        </w:numPr>
        <w:spacing w:after="80" w:line="290"/>
      </w:pPr>
      <w:r>
        <w:rPr>
          <w:color w:val="102F36"/>
          <w:sz w:val="21"/>
          <w:szCs w:val="21"/>
        </w:rPr>
        <w:t xml:space="preserve">Driving data quality improvement</w:t>
      </w:r>
    </w:p>
    <w:p>
      <w:pPr>
        <w:pStyle w:val="Heading3"/>
        <w:spacing w:after="80" w:before="200"/>
      </w:pPr>
      <w:r>
        <w:t xml:space="preserve">Core 3 — Transformations &amp; Business Rules</w:t>
      </w:r>
    </w:p>
    <w:p>
      <w:pPr>
        <w:spacing w:after="160" w:line="300"/>
      </w:pPr>
      <w:r>
        <w:rPr>
          <w:b w:val="false"/>
          <w:bCs w:val="false"/>
          <w:i w:val="false"/>
          <w:iCs w:val="false"/>
          <w:color w:val="102F36"/>
          <w:sz w:val="21"/>
          <w:szCs w:val="21"/>
        </w:rPr>
        <w:t xml:space="preserve">Source and target analysis, field-level mapping, the distinction between a technical transformation and a business decision, defaults as business rules requiring justification, reference data and dependencies, and mapping control and traceability (five lessons, per its own assessment's description of its scope — exact per-lesson titles beyond Lesson 3 weren't directly to hand).</w:t>
      </w:r>
    </w:p>
    <w:p>
      <w:pPr>
        <w:pStyle w:val="Heading3"/>
        <w:spacing w:after="80" w:before="200"/>
      </w:pPr>
      <w:r>
        <w:t xml:space="preserve">Core 4 — Pipelines, Staging &amp; Loading</w:t>
      </w:r>
    </w:p>
    <w:p>
      <w:pPr>
        <w:spacing w:after="160" w:line="300"/>
      </w:pPr>
      <w:r>
        <w:rPr>
          <w:b w:val="false"/>
          <w:bCs w:val="false"/>
          <w:i w:val="false"/>
          <w:iCs w:val="false"/>
          <w:color w:val="102F36"/>
          <w:sz w:val="21"/>
          <w:szCs w:val="21"/>
        </w:rPr>
        <w:t xml:space="preserve">Designing a controlled migration pipeline: extract, stage, transform, validate, load, reconcile. Evidence at each stage boundary, identity surviving the journey, cycle/batch metadata, repeatability, and choosing people, tools and technical layers deliberately.</w:t>
      </w:r>
    </w:p>
    <w:p>
      <w:pPr>
        <w:pStyle w:val="Heading3"/>
        <w:spacing w:after="80" w:before="200"/>
      </w:pPr>
      <w:r>
        <w:t xml:space="preserve">Core 5 — Validation &amp; Reconciliation</w:t>
      </w:r>
    </w:p>
    <w:p>
      <w:pPr>
        <w:spacing w:after="160" w:line="300"/>
      </w:pPr>
      <w:r>
        <w:rPr>
          <w:b w:val="false"/>
          <w:bCs w:val="false"/>
          <w:i w:val="false"/>
          <w:iCs w:val="false"/>
          <w:color w:val="102F36"/>
          <w:sz w:val="21"/>
          <w:szCs w:val="21"/>
        </w:rPr>
        <w:t xml:space="preserve">Proving completeness and accuracy (a matching count is not proof of correctness), reconciling values and monetary totals, proving relationships and business usability, investigating and correcting defects without creating an uncontrolled second version of the migration, and building evidence strong enough for sign-off.</w:t>
      </w:r>
    </w:p>
    <w:p>
      <w:pPr>
        <w:pStyle w:val="ListParagraph"/>
        <w:numPr>
          <w:ilvl w:val="0"/>
          <w:numId w:val="2"/>
        </w:numPr>
        <w:spacing w:after="80" w:line="290"/>
      </w:pPr>
      <w:r>
        <w:rPr>
          <w:color w:val="102F36"/>
          <w:sz w:val="21"/>
          <w:szCs w:val="21"/>
        </w:rPr>
        <w:t xml:space="preserve">Proving completeness and accuracy</w:t>
      </w:r>
    </w:p>
    <w:p>
      <w:pPr>
        <w:pStyle w:val="ListParagraph"/>
        <w:numPr>
          <w:ilvl w:val="0"/>
          <w:numId w:val="2"/>
        </w:numPr>
        <w:spacing w:after="80" w:line="290"/>
      </w:pPr>
      <w:r>
        <w:rPr>
          <w:color w:val="102F36"/>
          <w:sz w:val="21"/>
          <w:szCs w:val="21"/>
        </w:rPr>
        <w:t xml:space="preserve">Reconciliation and explaining variances</w:t>
      </w:r>
    </w:p>
    <w:p>
      <w:pPr>
        <w:pStyle w:val="ListParagraph"/>
        <w:numPr>
          <w:ilvl w:val="0"/>
          <w:numId w:val="2"/>
        </w:numPr>
        <w:spacing w:after="80" w:line="290"/>
      </w:pPr>
      <w:r>
        <w:rPr>
          <w:color w:val="102F36"/>
          <w:sz w:val="21"/>
          <w:szCs w:val="21"/>
        </w:rPr>
        <w:t xml:space="preserve">Proving relationships and business usability</w:t>
      </w:r>
    </w:p>
    <w:p>
      <w:pPr>
        <w:pStyle w:val="ListParagraph"/>
        <w:numPr>
          <w:ilvl w:val="0"/>
          <w:numId w:val="2"/>
        </w:numPr>
        <w:spacing w:after="80" w:line="290"/>
      </w:pPr>
      <w:r>
        <w:rPr>
          <w:color w:val="102F36"/>
          <w:sz w:val="21"/>
          <w:szCs w:val="21"/>
        </w:rPr>
        <w:t xml:space="preserve">Investigating, correcting and retesting data</w:t>
      </w:r>
    </w:p>
    <w:p>
      <w:pPr>
        <w:pStyle w:val="ListParagraph"/>
        <w:numPr>
          <w:ilvl w:val="0"/>
          <w:numId w:val="2"/>
        </w:numPr>
        <w:spacing w:after="80" w:line="290"/>
      </w:pPr>
      <w:r>
        <w:rPr>
          <w:color w:val="102F36"/>
          <w:sz w:val="21"/>
          <w:szCs w:val="21"/>
        </w:rPr>
        <w:t xml:space="preserve">Evidence, acceptance and sign-off</w:t>
      </w:r>
    </w:p>
    <w:p>
      <w:pPr>
        <w:pStyle w:val="Heading3"/>
        <w:spacing w:after="80" w:before="200"/>
      </w:pPr>
      <w:r>
        <w:t xml:space="preserve">Core 6 — Data Migration Cycles &amp; Cutover</w:t>
      </w:r>
    </w:p>
    <w:p>
      <w:pPr>
        <w:spacing w:after="160" w:line="300"/>
      </w:pPr>
      <w:r>
        <w:rPr>
          <w:b w:val="false"/>
          <w:bCs w:val="false"/>
          <w:i w:val="false"/>
          <w:iCs w:val="false"/>
          <w:color w:val="102F36"/>
          <w:sz w:val="21"/>
          <w:szCs w:val="21"/>
        </w:rPr>
        <w:t xml:space="preserve">Why migration happens in deliberate rehearsal cycles rather than once, planning and executing a cycle, learning and improving between cycles, preparing for production cutover, and executing cutover and stabilising afterwards under real time pressure.</w:t>
      </w:r>
    </w:p>
    <w:p>
      <w:pPr>
        <w:pStyle w:val="ListParagraph"/>
        <w:numPr>
          <w:ilvl w:val="0"/>
          <w:numId w:val="2"/>
        </w:numPr>
        <w:spacing w:after="80" w:line="290"/>
      </w:pPr>
      <w:r>
        <w:rPr>
          <w:color w:val="102F36"/>
          <w:sz w:val="21"/>
          <w:szCs w:val="21"/>
        </w:rPr>
        <w:t xml:space="preserve">Why migration happens in cycles</w:t>
      </w:r>
    </w:p>
    <w:p>
      <w:pPr>
        <w:pStyle w:val="ListParagraph"/>
        <w:numPr>
          <w:ilvl w:val="0"/>
          <w:numId w:val="2"/>
        </w:numPr>
        <w:spacing w:after="80" w:line="290"/>
      </w:pPr>
      <w:r>
        <w:rPr>
          <w:color w:val="102F36"/>
          <w:sz w:val="21"/>
          <w:szCs w:val="21"/>
        </w:rPr>
        <w:t xml:space="preserve">Planning and executing a migration cycle</w:t>
      </w:r>
    </w:p>
    <w:p>
      <w:pPr>
        <w:pStyle w:val="ListParagraph"/>
        <w:numPr>
          <w:ilvl w:val="0"/>
          <w:numId w:val="2"/>
        </w:numPr>
        <w:spacing w:after="80" w:line="290"/>
      </w:pPr>
      <w:r>
        <w:rPr>
          <w:color w:val="102F36"/>
          <w:sz w:val="21"/>
          <w:szCs w:val="21"/>
        </w:rPr>
        <w:t xml:space="preserve">Learning, refining and improving between cycles</w:t>
      </w:r>
    </w:p>
    <w:p>
      <w:pPr>
        <w:pStyle w:val="ListParagraph"/>
        <w:numPr>
          <w:ilvl w:val="0"/>
          <w:numId w:val="2"/>
        </w:numPr>
        <w:spacing w:after="80" w:line="290"/>
      </w:pPr>
      <w:r>
        <w:rPr>
          <w:color w:val="102F36"/>
          <w:sz w:val="21"/>
          <w:szCs w:val="21"/>
        </w:rPr>
        <w:t xml:space="preserve">Preparing for production cutover</w:t>
      </w:r>
    </w:p>
    <w:p>
      <w:pPr>
        <w:pStyle w:val="ListParagraph"/>
        <w:numPr>
          <w:ilvl w:val="0"/>
          <w:numId w:val="2"/>
        </w:numPr>
        <w:spacing w:after="80" w:line="290"/>
      </w:pPr>
      <w:r>
        <w:rPr>
          <w:color w:val="102F36"/>
          <w:sz w:val="21"/>
          <w:szCs w:val="21"/>
        </w:rPr>
        <w:t xml:space="preserve">Executing cutover and stabilising afterwards</w:t>
      </w:r>
    </w:p>
    <w:p>
      <w:pPr>
        <w:pStyle w:val="Heading3"/>
        <w:spacing w:after="80" w:before="200"/>
      </w:pPr>
      <w:r>
        <w:t xml:space="preserve">Core 7 — Governance &amp; Stakeholder Management</w:t>
      </w:r>
    </w:p>
    <w:p>
      <w:pPr>
        <w:spacing w:after="160" w:line="300"/>
      </w:pPr>
      <w:r>
        <w:rPr>
          <w:b w:val="false"/>
          <w:bCs w:val="false"/>
          <w:i w:val="false"/>
          <w:iCs w:val="false"/>
          <w:color w:val="102F36"/>
          <w:sz w:val="21"/>
          <w:szCs w:val="21"/>
        </w:rPr>
        <w:t xml:space="preserve">The cross-cutting thread rather than a lifecycle stage: decision authority (Data Definition, Mapping, Quality Acceptance), stakeholder engagement, scope/issue/risk/decision control, data security and access, and escalation and evidence discipline through to the final evidence brief.</w:t>
      </w:r>
    </w:p>
    <w:p>
      <w:pPr>
        <w:pStyle w:val="Heading2"/>
        <w:spacing w:after="120" w:before="280"/>
      </w:pPr>
      <w:r>
        <w:t xml:space="preserve">DMC (Data Migration Consultant)</w:t>
      </w:r>
    </w:p>
    <w:p>
      <w:pPr>
        <w:pStyle w:val="Heading3"/>
        <w:spacing w:after="80" w:before="200"/>
      </w:pPr>
      <w:r>
        <w:t xml:space="preserve">DMC1 — Building Migration Solutions</w:t>
      </w:r>
    </w:p>
    <w:p>
      <w:pPr>
        <w:spacing w:after="160" w:line="300"/>
      </w:pPr>
      <w:r>
        <w:rPr>
          <w:b w:val="false"/>
          <w:bCs w:val="false"/>
          <w:i w:val="false"/>
          <w:iCs w:val="false"/>
          <w:color w:val="102F36"/>
          <w:sz w:val="21"/>
          <w:szCs w:val="21"/>
        </w:rPr>
        <w:t xml:space="preserve">The craft of Stage 4 (Build), with roots in Stage 3 (Design): turning an approved mapping into build-ready logic, working with SQL and staging data, building an ETL pipeline, building robust transformations, logging errors and restartability, and making migration processes production-ready.</w:t>
      </w:r>
    </w:p>
    <w:p>
      <w:pPr>
        <w:pStyle w:val="ListParagraph"/>
        <w:numPr>
          <w:ilvl w:val="0"/>
          <w:numId w:val="2"/>
        </w:numPr>
        <w:spacing w:after="80" w:line="290"/>
      </w:pPr>
      <w:r>
        <w:rPr>
          <w:color w:val="102F36"/>
          <w:sz w:val="21"/>
          <w:szCs w:val="21"/>
        </w:rPr>
        <w:t xml:space="preserve">From mapping to migration logic</w:t>
      </w:r>
    </w:p>
    <w:p>
      <w:pPr>
        <w:pStyle w:val="ListParagraph"/>
        <w:numPr>
          <w:ilvl w:val="0"/>
          <w:numId w:val="2"/>
        </w:numPr>
        <w:spacing w:after="80" w:line="290"/>
      </w:pPr>
      <w:r>
        <w:rPr>
          <w:color w:val="102F36"/>
          <w:sz w:val="21"/>
          <w:szCs w:val="21"/>
        </w:rPr>
        <w:t xml:space="preserve">Working with SQL and staging data</w:t>
      </w:r>
    </w:p>
    <w:p>
      <w:pPr>
        <w:pStyle w:val="ListParagraph"/>
        <w:numPr>
          <w:ilvl w:val="0"/>
          <w:numId w:val="2"/>
        </w:numPr>
        <w:spacing w:after="80" w:line="290"/>
      </w:pPr>
      <w:r>
        <w:rPr>
          <w:color w:val="102F36"/>
          <w:sz w:val="21"/>
          <w:szCs w:val="21"/>
        </w:rPr>
        <w:t xml:space="preserve">Building an ETL pipeline</w:t>
      </w:r>
    </w:p>
    <w:p>
      <w:pPr>
        <w:pStyle w:val="ListParagraph"/>
        <w:numPr>
          <w:ilvl w:val="0"/>
          <w:numId w:val="2"/>
        </w:numPr>
        <w:spacing w:after="80" w:line="290"/>
      </w:pPr>
      <w:r>
        <w:rPr>
          <w:color w:val="102F36"/>
          <w:sz w:val="21"/>
          <w:szCs w:val="21"/>
        </w:rPr>
        <w:t xml:space="preserve">Building robust transformations</w:t>
      </w:r>
    </w:p>
    <w:p>
      <w:pPr>
        <w:pStyle w:val="ListParagraph"/>
        <w:numPr>
          <w:ilvl w:val="0"/>
          <w:numId w:val="2"/>
        </w:numPr>
        <w:spacing w:after="80" w:line="290"/>
      </w:pPr>
      <w:r>
        <w:rPr>
          <w:color w:val="102F36"/>
          <w:sz w:val="21"/>
          <w:szCs w:val="21"/>
        </w:rPr>
        <w:t xml:space="preserve">Logging errors and restartability</w:t>
      </w:r>
    </w:p>
    <w:p>
      <w:pPr>
        <w:pStyle w:val="ListParagraph"/>
        <w:numPr>
          <w:ilvl w:val="0"/>
          <w:numId w:val="2"/>
        </w:numPr>
        <w:spacing w:after="80" w:line="290"/>
      </w:pPr>
      <w:r>
        <w:rPr>
          <w:color w:val="102F36"/>
          <w:sz w:val="21"/>
          <w:szCs w:val="21"/>
        </w:rPr>
        <w:t xml:space="preserve">Making migration processes production ready</w:t>
      </w:r>
    </w:p>
    <w:p>
      <w:pPr>
        <w:pStyle w:val="Heading3"/>
        <w:spacing w:after="80" w:before="200"/>
      </w:pPr>
      <w:r>
        <w:t xml:space="preserve">DMC2 — Profiling, Cleansing &amp; Reference Data</w:t>
      </w:r>
    </w:p>
    <w:p>
      <w:pPr>
        <w:spacing w:after="160" w:line="300"/>
      </w:pPr>
      <w:r>
        <w:rPr>
          <w:b w:val="false"/>
          <w:bCs w:val="false"/>
          <w:i w:val="false"/>
          <w:iCs w:val="false"/>
          <w:color w:val="102F36"/>
          <w:sz w:val="21"/>
          <w:szCs w:val="21"/>
        </w:rPr>
        <w:t xml:space="preserve">The craft shadow of Core 2: getting control of an unfamiliar dataset, profiling data with SQL, Excel and Power Query, building repeatable cleansing processes, working with reference data, lookups and cross-references, turning analysis into migration-ready outputs, and building a personal consultant data toolkit.</w:t>
      </w:r>
    </w:p>
    <w:p>
      <w:pPr>
        <w:pStyle w:val="ListParagraph"/>
        <w:numPr>
          <w:ilvl w:val="0"/>
          <w:numId w:val="2"/>
        </w:numPr>
        <w:spacing w:after="80" w:line="290"/>
      </w:pPr>
      <w:r>
        <w:rPr>
          <w:color w:val="102F36"/>
          <w:sz w:val="21"/>
          <w:szCs w:val="21"/>
        </w:rPr>
        <w:t xml:space="preserve">Getting control of an unfamiliar dataset</w:t>
      </w:r>
    </w:p>
    <w:p>
      <w:pPr>
        <w:pStyle w:val="ListParagraph"/>
        <w:numPr>
          <w:ilvl w:val="0"/>
          <w:numId w:val="2"/>
        </w:numPr>
        <w:spacing w:after="80" w:line="290"/>
      </w:pPr>
      <w:r>
        <w:rPr>
          <w:color w:val="102F36"/>
          <w:sz w:val="21"/>
          <w:szCs w:val="21"/>
        </w:rPr>
        <w:t xml:space="preserve">Profiling data with SQL, Excel and Power Query</w:t>
      </w:r>
    </w:p>
    <w:p>
      <w:pPr>
        <w:pStyle w:val="ListParagraph"/>
        <w:numPr>
          <w:ilvl w:val="0"/>
          <w:numId w:val="2"/>
        </w:numPr>
        <w:spacing w:after="80" w:line="290"/>
      </w:pPr>
      <w:r>
        <w:rPr>
          <w:color w:val="102F36"/>
          <w:sz w:val="21"/>
          <w:szCs w:val="21"/>
        </w:rPr>
        <w:t xml:space="preserve">Building repeatable cleansing processes</w:t>
      </w:r>
    </w:p>
    <w:p>
      <w:pPr>
        <w:pStyle w:val="ListParagraph"/>
        <w:numPr>
          <w:ilvl w:val="0"/>
          <w:numId w:val="2"/>
        </w:numPr>
        <w:spacing w:after="80" w:line="290"/>
      </w:pPr>
      <w:r>
        <w:rPr>
          <w:color w:val="102F36"/>
          <w:sz w:val="21"/>
          <w:szCs w:val="21"/>
        </w:rPr>
        <w:t xml:space="preserve">Reference data, lookups and cross-references</w:t>
      </w:r>
    </w:p>
    <w:p>
      <w:pPr>
        <w:pStyle w:val="ListParagraph"/>
        <w:numPr>
          <w:ilvl w:val="0"/>
          <w:numId w:val="2"/>
        </w:numPr>
        <w:spacing w:after="80" w:line="290"/>
      </w:pPr>
      <w:r>
        <w:rPr>
          <w:color w:val="102F36"/>
          <w:sz w:val="21"/>
          <w:szCs w:val="21"/>
        </w:rPr>
        <w:t xml:space="preserve">Turning analysis into migration-ready outputs</w:t>
      </w:r>
    </w:p>
    <w:p>
      <w:pPr>
        <w:pStyle w:val="ListParagraph"/>
        <w:numPr>
          <w:ilvl w:val="0"/>
          <w:numId w:val="2"/>
        </w:numPr>
        <w:spacing w:after="80" w:line="290"/>
      </w:pPr>
      <w:r>
        <w:rPr>
          <w:color w:val="102F36"/>
          <w:sz w:val="21"/>
          <w:szCs w:val="21"/>
        </w:rPr>
        <w:t xml:space="preserve">Building your consultant data toolkit</w:t>
      </w:r>
    </w:p>
    <w:p>
      <w:pPr>
        <w:pStyle w:val="Heading3"/>
        <w:spacing w:after="80" w:before="200"/>
      </w:pPr>
      <w:r>
        <w:t xml:space="preserve">DMC3 — Diagnosing &amp; Fixing Defects</w:t>
      </w:r>
    </w:p>
    <w:p>
      <w:pPr>
        <w:spacing w:after="160" w:line="300"/>
      </w:pPr>
      <w:r>
        <w:rPr>
          <w:b w:val="false"/>
          <w:bCs w:val="false"/>
          <w:i w:val="false"/>
          <w:iCs w:val="false"/>
          <w:color w:val="102F36"/>
          <w:sz w:val="21"/>
          <w:szCs w:val="21"/>
        </w:rPr>
        <w:t xml:space="preserve">The craft shadow of Core 5: diagnosing before fixing, investigating rejected records, the harder case of a load that succeeds but the data is wrong, relationship and dependency failures, finding root cause, and fixing, rerunning and proving the fix.</w:t>
      </w:r>
    </w:p>
    <w:p>
      <w:pPr>
        <w:pStyle w:val="ListParagraph"/>
        <w:numPr>
          <w:ilvl w:val="0"/>
          <w:numId w:val="2"/>
        </w:numPr>
        <w:spacing w:after="80" w:line="290"/>
      </w:pPr>
      <w:r>
        <w:rPr>
          <w:color w:val="102F36"/>
          <w:sz w:val="21"/>
          <w:szCs w:val="21"/>
        </w:rPr>
        <w:t xml:space="preserve">Diagnose before you fix</w:t>
      </w:r>
    </w:p>
    <w:p>
      <w:pPr>
        <w:pStyle w:val="ListParagraph"/>
        <w:numPr>
          <w:ilvl w:val="0"/>
          <w:numId w:val="2"/>
        </w:numPr>
        <w:spacing w:after="80" w:line="290"/>
      </w:pPr>
      <w:r>
        <w:rPr>
          <w:color w:val="102F36"/>
          <w:sz w:val="21"/>
          <w:szCs w:val="21"/>
        </w:rPr>
        <w:t xml:space="preserve">Investigating rejected records</w:t>
      </w:r>
    </w:p>
    <w:p>
      <w:pPr>
        <w:pStyle w:val="ListParagraph"/>
        <w:numPr>
          <w:ilvl w:val="0"/>
          <w:numId w:val="2"/>
        </w:numPr>
        <w:spacing w:after="80" w:line="290"/>
      </w:pPr>
      <w:r>
        <w:rPr>
          <w:color w:val="102F36"/>
          <w:sz w:val="21"/>
          <w:szCs w:val="21"/>
        </w:rPr>
        <w:t xml:space="preserve">When the load succeeds but the data is wrong</w:t>
      </w:r>
    </w:p>
    <w:p>
      <w:pPr>
        <w:pStyle w:val="ListParagraph"/>
        <w:numPr>
          <w:ilvl w:val="0"/>
          <w:numId w:val="2"/>
        </w:numPr>
        <w:spacing w:after="80" w:line="290"/>
      </w:pPr>
      <w:r>
        <w:rPr>
          <w:color w:val="102F36"/>
          <w:sz w:val="21"/>
          <w:szCs w:val="21"/>
        </w:rPr>
        <w:t xml:space="preserve">Relationship and dependency failures</w:t>
      </w:r>
    </w:p>
    <w:p>
      <w:pPr>
        <w:pStyle w:val="ListParagraph"/>
        <w:numPr>
          <w:ilvl w:val="0"/>
          <w:numId w:val="2"/>
        </w:numPr>
        <w:spacing w:after="80" w:line="290"/>
      </w:pPr>
      <w:r>
        <w:rPr>
          <w:color w:val="102F36"/>
          <w:sz w:val="21"/>
          <w:szCs w:val="21"/>
        </w:rPr>
        <w:t xml:space="preserve">Finding root cause</w:t>
      </w:r>
    </w:p>
    <w:p>
      <w:pPr>
        <w:pStyle w:val="ListParagraph"/>
        <w:numPr>
          <w:ilvl w:val="0"/>
          <w:numId w:val="2"/>
        </w:numPr>
        <w:spacing w:after="80" w:line="290"/>
      </w:pPr>
      <w:r>
        <w:rPr>
          <w:color w:val="102F36"/>
          <w:sz w:val="21"/>
          <w:szCs w:val="21"/>
        </w:rPr>
        <w:t xml:space="preserve">Fix, rerun and prove</w:t>
      </w:r>
    </w:p>
    <w:p>
      <w:pPr>
        <w:pStyle w:val="Heading3"/>
        <w:spacing w:after="80" w:before="200"/>
      </w:pPr>
      <w:r>
        <w:t xml:space="preserve">DMC4 — Communication &amp; Professional Practice</w:t>
      </w:r>
    </w:p>
    <w:p>
      <w:pPr>
        <w:spacing w:after="160" w:line="300"/>
      </w:pPr>
      <w:r>
        <w:rPr>
          <w:b w:val="false"/>
          <w:bCs w:val="false"/>
          <w:i w:val="false"/>
          <w:iCs w:val="false"/>
          <w:color w:val="102F36"/>
          <w:sz w:val="21"/>
          <w:szCs w:val="21"/>
        </w:rPr>
        <w:t xml:space="preserve">The craft shadow of Core 7's governance thread, at practitioner altitude: communicating migration findings, getting useful answers from SMEs, running effective data workshops, explaining defects, delays and bad news, working inside a project team, and becoming the consultant people rely on.</w:t>
      </w:r>
    </w:p>
    <w:p>
      <w:pPr>
        <w:pStyle w:val="ListParagraph"/>
        <w:numPr>
          <w:ilvl w:val="0"/>
          <w:numId w:val="2"/>
        </w:numPr>
        <w:spacing w:after="80" w:line="290"/>
      </w:pPr>
      <w:r>
        <w:rPr>
          <w:color w:val="102F36"/>
          <w:sz w:val="21"/>
          <w:szCs w:val="21"/>
        </w:rPr>
        <w:t xml:space="preserve">Communicating migration findings</w:t>
      </w:r>
    </w:p>
    <w:p>
      <w:pPr>
        <w:pStyle w:val="ListParagraph"/>
        <w:numPr>
          <w:ilvl w:val="0"/>
          <w:numId w:val="2"/>
        </w:numPr>
        <w:spacing w:after="80" w:line="290"/>
      </w:pPr>
      <w:r>
        <w:rPr>
          <w:color w:val="102F36"/>
          <w:sz w:val="21"/>
          <w:szCs w:val="21"/>
        </w:rPr>
        <w:t xml:space="preserve">Getting useful answers from SMEs</w:t>
      </w:r>
    </w:p>
    <w:p>
      <w:pPr>
        <w:pStyle w:val="ListParagraph"/>
        <w:numPr>
          <w:ilvl w:val="0"/>
          <w:numId w:val="2"/>
        </w:numPr>
        <w:spacing w:after="80" w:line="290"/>
      </w:pPr>
      <w:r>
        <w:rPr>
          <w:color w:val="102F36"/>
          <w:sz w:val="21"/>
          <w:szCs w:val="21"/>
        </w:rPr>
        <w:t xml:space="preserve">Running effective data workshops</w:t>
      </w:r>
    </w:p>
    <w:p>
      <w:pPr>
        <w:pStyle w:val="ListParagraph"/>
        <w:numPr>
          <w:ilvl w:val="0"/>
          <w:numId w:val="2"/>
        </w:numPr>
        <w:spacing w:after="80" w:line="290"/>
      </w:pPr>
      <w:r>
        <w:rPr>
          <w:color w:val="102F36"/>
          <w:sz w:val="21"/>
          <w:szCs w:val="21"/>
        </w:rPr>
        <w:t xml:space="preserve">Explaining defects, delays and bad news</w:t>
      </w:r>
    </w:p>
    <w:p>
      <w:pPr>
        <w:pStyle w:val="ListParagraph"/>
        <w:numPr>
          <w:ilvl w:val="0"/>
          <w:numId w:val="2"/>
        </w:numPr>
        <w:spacing w:after="80" w:line="290"/>
      </w:pPr>
      <w:r>
        <w:rPr>
          <w:color w:val="102F36"/>
          <w:sz w:val="21"/>
          <w:szCs w:val="21"/>
        </w:rPr>
        <w:t xml:space="preserve">Working inside a project team</w:t>
      </w:r>
    </w:p>
    <w:p>
      <w:pPr>
        <w:pStyle w:val="ListParagraph"/>
        <w:numPr>
          <w:ilvl w:val="0"/>
          <w:numId w:val="2"/>
        </w:numPr>
        <w:spacing w:after="80" w:line="290"/>
      </w:pPr>
      <w:r>
        <w:rPr>
          <w:color w:val="102F36"/>
          <w:sz w:val="21"/>
          <w:szCs w:val="21"/>
        </w:rPr>
        <w:t xml:space="preserve">Becoming the consultant people rely on</w:t>
      </w:r>
    </w:p>
    <w:p>
      <w:pPr>
        <w:pStyle w:val="Heading3"/>
        <w:spacing w:after="80" w:before="200"/>
      </w:pPr>
      <w:r>
        <w:t xml:space="preserve">DMC5 — Executing Cycles &amp; Cutover</w:t>
      </w:r>
    </w:p>
    <w:p>
      <w:pPr>
        <w:spacing w:after="160" w:line="300"/>
      </w:pPr>
      <w:r>
        <w:rPr>
          <w:b w:val="false"/>
          <w:bCs w:val="false"/>
          <w:i w:val="false"/>
          <w:iCs w:val="false"/>
          <w:color w:val="102F36"/>
          <w:sz w:val="21"/>
          <w:szCs w:val="21"/>
        </w:rPr>
        <w:t xml:space="preserve">The craft shadow of Core 6: preparing for a migration cycle, executing a controlled migration, managing failures and reruns, validating your migration execution, preparing your migration for cutover, and executing cutover and supporting stabilisation.</w:t>
      </w:r>
    </w:p>
    <w:p>
      <w:pPr>
        <w:pStyle w:val="ListParagraph"/>
        <w:numPr>
          <w:ilvl w:val="0"/>
          <w:numId w:val="2"/>
        </w:numPr>
        <w:spacing w:after="80" w:line="290"/>
      </w:pPr>
      <w:r>
        <w:rPr>
          <w:color w:val="102F36"/>
          <w:sz w:val="21"/>
          <w:szCs w:val="21"/>
        </w:rPr>
        <w:t xml:space="preserve">Preparing for a migration cycle</w:t>
      </w:r>
    </w:p>
    <w:p>
      <w:pPr>
        <w:pStyle w:val="ListParagraph"/>
        <w:numPr>
          <w:ilvl w:val="0"/>
          <w:numId w:val="2"/>
        </w:numPr>
        <w:spacing w:after="80" w:line="290"/>
      </w:pPr>
      <w:r>
        <w:rPr>
          <w:color w:val="102F36"/>
          <w:sz w:val="21"/>
          <w:szCs w:val="21"/>
        </w:rPr>
        <w:t xml:space="preserve">Executing a controlled migration</w:t>
      </w:r>
    </w:p>
    <w:p>
      <w:pPr>
        <w:pStyle w:val="ListParagraph"/>
        <w:numPr>
          <w:ilvl w:val="0"/>
          <w:numId w:val="2"/>
        </w:numPr>
        <w:spacing w:after="80" w:line="290"/>
      </w:pPr>
      <w:r>
        <w:rPr>
          <w:color w:val="102F36"/>
          <w:sz w:val="21"/>
          <w:szCs w:val="21"/>
        </w:rPr>
        <w:t xml:space="preserve">Managing failures and reruns</w:t>
      </w:r>
    </w:p>
    <w:p>
      <w:pPr>
        <w:pStyle w:val="ListParagraph"/>
        <w:numPr>
          <w:ilvl w:val="0"/>
          <w:numId w:val="2"/>
        </w:numPr>
        <w:spacing w:after="80" w:line="290"/>
      </w:pPr>
      <w:r>
        <w:rPr>
          <w:color w:val="102F36"/>
          <w:sz w:val="21"/>
          <w:szCs w:val="21"/>
        </w:rPr>
        <w:t xml:space="preserve">Validating your migration execution</w:t>
      </w:r>
    </w:p>
    <w:p>
      <w:pPr>
        <w:pStyle w:val="ListParagraph"/>
        <w:numPr>
          <w:ilvl w:val="0"/>
          <w:numId w:val="2"/>
        </w:numPr>
        <w:spacing w:after="80" w:line="290"/>
      </w:pPr>
      <w:r>
        <w:rPr>
          <w:color w:val="102F36"/>
          <w:sz w:val="21"/>
          <w:szCs w:val="21"/>
        </w:rPr>
        <w:t xml:space="preserve">Preparing your migration for cutover</w:t>
      </w:r>
    </w:p>
    <w:p>
      <w:pPr>
        <w:pStyle w:val="ListParagraph"/>
        <w:numPr>
          <w:ilvl w:val="0"/>
          <w:numId w:val="2"/>
        </w:numPr>
        <w:spacing w:after="80" w:line="290"/>
      </w:pPr>
      <w:r>
        <w:rPr>
          <w:color w:val="102F36"/>
          <w:sz w:val="21"/>
          <w:szCs w:val="21"/>
        </w:rPr>
        <w:t xml:space="preserve">Executing cutover and supporting stabilisation</w:t>
      </w:r>
    </w:p>
    <w:p>
      <w:pPr>
        <w:pStyle w:val="Heading2"/>
        <w:spacing w:after="120" w:before="280"/>
      </w:pPr>
      <w:r>
        <w:t xml:space="preserve">DML (Data Migration Lead)</w:t>
      </w:r>
    </w:p>
    <w:p>
      <w:pPr>
        <w:pStyle w:val="Heading3"/>
        <w:spacing w:after="80" w:before="200"/>
      </w:pPr>
      <w:r>
        <w:t xml:space="preserve">DML1 — Leading the Migration Workstream</w:t>
      </w:r>
    </w:p>
    <w:p>
      <w:pPr>
        <w:spacing w:after="160" w:line="300"/>
      </w:pPr>
      <w:r>
        <w:rPr>
          <w:b w:val="false"/>
          <w:bCs w:val="false"/>
          <w:i w:val="false"/>
          <w:iCs w:val="false"/>
          <w:color w:val="102F36"/>
          <w:sz w:val="21"/>
          <w:szCs w:val="21"/>
        </w:rPr>
        <w:t xml:space="preserve">All 8 lessons are built, spanning evidence-based decision-making, the DML Control Triangle (Scope / Evidence / Delivery), scope boundary defence, operational escalation, RAG integrity, handling genuine bad news, meeting cadence, and a capstone tying the module together. Built ahead of two decisions that have since been settled — full Bramwell continuity and the Control Triangle's three sides — so it's currently being revised into alignment rather than built from scratch.</w:t>
      </w:r>
    </w:p>
    <w:p>
      <w:pPr>
        <w:pStyle w:val="ListParagraph"/>
        <w:numPr>
          <w:ilvl w:val="0"/>
          <w:numId w:val="2"/>
        </w:numPr>
        <w:spacing w:after="80" w:line="290"/>
      </w:pPr>
      <w:r>
        <w:rPr>
          <w:color w:val="102F36"/>
          <w:sz w:val="21"/>
          <w:szCs w:val="21"/>
        </w:rPr>
        <w:t xml:space="preserve">Thinking like a Data Migration Lead: Making evidence-based decisions</w:t>
      </w:r>
    </w:p>
    <w:p>
      <w:pPr>
        <w:pStyle w:val="ListParagraph"/>
        <w:numPr>
          <w:ilvl w:val="0"/>
          <w:numId w:val="2"/>
        </w:numPr>
        <w:spacing w:after="80" w:line="290"/>
      </w:pPr>
      <w:r>
        <w:rPr>
          <w:color w:val="102F36"/>
          <w:sz w:val="21"/>
          <w:szCs w:val="21"/>
        </w:rPr>
        <w:t xml:space="preserve">Owning the migration workstream: from mindset to accountability (the DML Control Triangle — Scope, Evidence, Delivery)</w:t>
      </w:r>
    </w:p>
    <w:p>
      <w:pPr>
        <w:pStyle w:val="ListParagraph"/>
        <w:numPr>
          <w:ilvl w:val="0"/>
          <w:numId w:val="2"/>
        </w:numPr>
        <w:spacing w:after="80" w:line="290"/>
      </w:pPr>
      <w:r>
        <w:rPr>
          <w:color w:val="102F36"/>
          <w:sz w:val="21"/>
          <w:szCs w:val="21"/>
        </w:rPr>
        <w:t xml:space="preserve">Defending the scope boundary: scope, governance and the PMO</w:t>
      </w:r>
    </w:p>
    <w:p>
      <w:pPr>
        <w:pStyle w:val="ListParagraph"/>
        <w:numPr>
          <w:ilvl w:val="0"/>
          <w:numId w:val="2"/>
        </w:numPr>
        <w:spacing w:after="80" w:line="290"/>
      </w:pPr>
      <w:r>
        <w:rPr>
          <w:color w:val="102F36"/>
          <w:sz w:val="21"/>
          <w:szCs w:val="21"/>
        </w:rPr>
        <w:t xml:space="preserve">Escalation that protects the date: escalation pathways and RAID-Plus</w:t>
      </w:r>
    </w:p>
    <w:p>
      <w:pPr>
        <w:pStyle w:val="ListParagraph"/>
        <w:numPr>
          <w:ilvl w:val="0"/>
          <w:numId w:val="2"/>
        </w:numPr>
        <w:spacing w:after="80" w:line="290"/>
      </w:pPr>
      <w:r>
        <w:rPr>
          <w:color w:val="102F36"/>
          <w:sz w:val="21"/>
          <w:szCs w:val="21"/>
        </w:rPr>
        <w:t xml:space="preserve">Reading the room: RAG status, weak signals and early warning</w:t>
      </w:r>
    </w:p>
    <w:p>
      <w:pPr>
        <w:pStyle w:val="ListParagraph"/>
        <w:numPr>
          <w:ilvl w:val="0"/>
          <w:numId w:val="2"/>
        </w:numPr>
        <w:spacing w:after="80" w:line="290"/>
      </w:pPr>
      <w:r>
        <w:rPr>
          <w:color w:val="102F36"/>
          <w:sz w:val="21"/>
          <w:szCs w:val="21"/>
        </w:rPr>
        <w:t xml:space="preserve">When it's genuinely bad news: managing surprises and PMO/steering reporting</w:t>
      </w:r>
    </w:p>
    <w:p>
      <w:pPr>
        <w:pStyle w:val="ListParagraph"/>
        <w:numPr>
          <w:ilvl w:val="0"/>
          <w:numId w:val="2"/>
        </w:numPr>
        <w:spacing w:after="80" w:line="290"/>
      </w:pPr>
      <w:r>
        <w:rPr>
          <w:color w:val="102F36"/>
          <w:sz w:val="21"/>
          <w:szCs w:val="21"/>
        </w:rPr>
        <w:t xml:space="preserve">A cadence that holds: structured meetings, decision logs and cross-workstream alignment</w:t>
      </w:r>
    </w:p>
    <w:p>
      <w:pPr>
        <w:pStyle w:val="ListParagraph"/>
        <w:numPr>
          <w:ilvl w:val="0"/>
          <w:numId w:val="2"/>
        </w:numPr>
        <w:spacing w:after="80" w:line="290"/>
      </w:pPr>
      <w:r>
        <w:rPr>
          <w:color w:val="102F36"/>
          <w:sz w:val="21"/>
          <w:szCs w:val="21"/>
        </w:rPr>
        <w:t xml:space="preserve">From workstream to leadership: applying it all, and evolving beyond your first migration</w:t>
      </w:r>
    </w:p>
    <w:p>
      <w:pPr>
        <w:pStyle w:val="Heading3"/>
        <w:spacing w:after="80" w:before="200"/>
      </w:pPr>
      <w:r>
        <w:t xml:space="preserve">DML2 — Executive Communication &amp; Risk Escalation</w:t>
      </w:r>
    </w:p>
    <w:p>
      <w:pPr>
        <w:spacing w:after="160" w:line="300"/>
      </w:pPr>
      <w:r>
        <w:rPr>
          <w:b w:val="false"/>
          <w:bCs w:val="false"/>
          <w:i w:val="false"/>
          <w:iCs w:val="false"/>
          <w:color w:val="102F36"/>
          <w:sz w:val="21"/>
          <w:szCs w:val="21"/>
        </w:rPr>
        <w:t xml:space="preserve">One of two elevations of Core 7's governance thread: taking migration evidence and compressing it for sponsor/executive consumption without losing the truth in translation. Building the sponsor view, escalating with judgement, owning the migration narrative, handling difficult executive conversations, and leading through risk and disagreement, ending in a capstone red-flag challenge.</w:t>
      </w:r>
    </w:p>
    <w:p>
      <w:pPr>
        <w:pStyle w:val="ListParagraph"/>
        <w:numPr>
          <w:ilvl w:val="0"/>
          <w:numId w:val="2"/>
        </w:numPr>
        <w:spacing w:after="80" w:line="290"/>
      </w:pPr>
      <w:r>
        <w:rPr>
          <w:color w:val="102F36"/>
          <w:sz w:val="21"/>
          <w:szCs w:val="21"/>
        </w:rPr>
        <w:t xml:space="preserve">Thinking like an executive communicator</w:t>
      </w:r>
    </w:p>
    <w:p>
      <w:pPr>
        <w:pStyle w:val="ListParagraph"/>
        <w:numPr>
          <w:ilvl w:val="0"/>
          <w:numId w:val="2"/>
        </w:numPr>
        <w:spacing w:after="80" w:line="290"/>
      </w:pPr>
      <w:r>
        <w:rPr>
          <w:color w:val="102F36"/>
          <w:sz w:val="21"/>
          <w:szCs w:val="21"/>
        </w:rPr>
        <w:t xml:space="preserve">Building the Sponsor View</w:t>
      </w:r>
    </w:p>
    <w:p>
      <w:pPr>
        <w:pStyle w:val="ListParagraph"/>
        <w:numPr>
          <w:ilvl w:val="0"/>
          <w:numId w:val="2"/>
        </w:numPr>
        <w:spacing w:after="80" w:line="290"/>
      </w:pPr>
      <w:r>
        <w:rPr>
          <w:color w:val="102F36"/>
          <w:sz w:val="21"/>
          <w:szCs w:val="21"/>
        </w:rPr>
        <w:t xml:space="preserve">Escalating with Judgement</w:t>
      </w:r>
    </w:p>
    <w:p>
      <w:pPr>
        <w:pStyle w:val="ListParagraph"/>
        <w:numPr>
          <w:ilvl w:val="0"/>
          <w:numId w:val="2"/>
        </w:numPr>
        <w:spacing w:after="80" w:line="290"/>
      </w:pPr>
      <w:r>
        <w:rPr>
          <w:color w:val="102F36"/>
          <w:sz w:val="21"/>
          <w:szCs w:val="21"/>
        </w:rPr>
        <w:t xml:space="preserve">Owning the Migration Narrative</w:t>
      </w:r>
    </w:p>
    <w:p>
      <w:pPr>
        <w:pStyle w:val="ListParagraph"/>
        <w:numPr>
          <w:ilvl w:val="0"/>
          <w:numId w:val="2"/>
        </w:numPr>
        <w:spacing w:after="80" w:line="290"/>
      </w:pPr>
      <w:r>
        <w:rPr>
          <w:color w:val="102F36"/>
          <w:sz w:val="21"/>
          <w:szCs w:val="21"/>
        </w:rPr>
        <w:t xml:space="preserve">Handling Difficult Executive Conversations</w:t>
      </w:r>
    </w:p>
    <w:p>
      <w:pPr>
        <w:pStyle w:val="ListParagraph"/>
        <w:numPr>
          <w:ilvl w:val="0"/>
          <w:numId w:val="2"/>
        </w:numPr>
        <w:spacing w:after="80" w:line="290"/>
      </w:pPr>
      <w:r>
        <w:rPr>
          <w:color w:val="102F36"/>
          <w:sz w:val="21"/>
          <w:szCs w:val="21"/>
        </w:rPr>
        <w:t xml:space="preserve">Leading Through Risk and Disagreement</w:t>
      </w:r>
    </w:p>
    <w:p>
      <w:pPr>
        <w:pStyle w:val="ListParagraph"/>
        <w:numPr>
          <w:ilvl w:val="0"/>
          <w:numId w:val="2"/>
        </w:numPr>
        <w:spacing w:after="80" w:line="290"/>
      </w:pPr>
      <w:r>
        <w:rPr>
          <w:color w:val="102F36"/>
          <w:sz w:val="21"/>
          <w:szCs w:val="21"/>
        </w:rPr>
        <w:t xml:space="preserve">The Executive Red Flag Challenge</w:t>
      </w:r>
    </w:p>
    <w:p>
      <w:pPr>
        <w:pStyle w:val="Heading3"/>
        <w:spacing w:after="80" w:before="200"/>
      </w:pPr>
      <w:r>
        <w:t xml:space="preserve">DML3 — Cutover Strategy &amp; Go-Live Governance</w:t>
      </w:r>
    </w:p>
    <w:p>
      <w:pPr>
        <w:spacing w:after="160" w:line="300"/>
      </w:pPr>
      <w:r>
        <w:rPr>
          <w:b w:val="false"/>
          <w:bCs w:val="false"/>
          <w:i w:val="false"/>
          <w:iCs w:val="false"/>
          <w:color w:val="102F36"/>
          <w:sz w:val="21"/>
          <w:szCs w:val="21"/>
        </w:rPr>
        <w:t xml:space="preserve">Shadows Core 6 and DMC5 together, explicitly — its own manuscript states it “begins where Core Module 6 and DMC5 stop,” adding readiness architecture, cross-workstream orchestration and go/no-go governance authority. Thinking like a cutover leader, building the go/no-go architecture, orchestrating the integrated cutover, using rehearsal evidence to prove readiness, leading the cutover command centre, and making live cutover decisions, ending in a capstone command challenge.</w:t>
      </w:r>
    </w:p>
    <w:p>
      <w:pPr>
        <w:pStyle w:val="ListParagraph"/>
        <w:numPr>
          <w:ilvl w:val="0"/>
          <w:numId w:val="2"/>
        </w:numPr>
        <w:spacing w:after="80" w:line="290"/>
      </w:pPr>
      <w:r>
        <w:rPr>
          <w:color w:val="102F36"/>
          <w:sz w:val="21"/>
          <w:szCs w:val="21"/>
        </w:rPr>
        <w:t xml:space="preserve">Thinking like a cutover leader</w:t>
      </w:r>
    </w:p>
    <w:p>
      <w:pPr>
        <w:pStyle w:val="ListParagraph"/>
        <w:numPr>
          <w:ilvl w:val="0"/>
          <w:numId w:val="2"/>
        </w:numPr>
        <w:spacing w:after="80" w:line="290"/>
      </w:pPr>
      <w:r>
        <w:rPr>
          <w:color w:val="102F36"/>
          <w:sz w:val="21"/>
          <w:szCs w:val="21"/>
        </w:rPr>
        <w:t xml:space="preserve">Building the Go/No-Go Architecture</w:t>
      </w:r>
    </w:p>
    <w:p>
      <w:pPr>
        <w:pStyle w:val="ListParagraph"/>
        <w:numPr>
          <w:ilvl w:val="0"/>
          <w:numId w:val="2"/>
        </w:numPr>
        <w:spacing w:after="80" w:line="290"/>
      </w:pPr>
      <w:r>
        <w:rPr>
          <w:color w:val="102F36"/>
          <w:sz w:val="21"/>
          <w:szCs w:val="21"/>
        </w:rPr>
        <w:t xml:space="preserve">Orchestrating the Integrated Cutover</w:t>
      </w:r>
    </w:p>
    <w:p>
      <w:pPr>
        <w:pStyle w:val="ListParagraph"/>
        <w:numPr>
          <w:ilvl w:val="0"/>
          <w:numId w:val="2"/>
        </w:numPr>
        <w:spacing w:after="80" w:line="290"/>
      </w:pPr>
      <w:r>
        <w:rPr>
          <w:color w:val="102F36"/>
          <w:sz w:val="21"/>
          <w:szCs w:val="21"/>
        </w:rPr>
        <w:t xml:space="preserve">Using Rehearsal Evidence to Prove Readiness</w:t>
      </w:r>
    </w:p>
    <w:p>
      <w:pPr>
        <w:pStyle w:val="ListParagraph"/>
        <w:numPr>
          <w:ilvl w:val="0"/>
          <w:numId w:val="2"/>
        </w:numPr>
        <w:spacing w:after="80" w:line="290"/>
      </w:pPr>
      <w:r>
        <w:rPr>
          <w:color w:val="102F36"/>
          <w:sz w:val="21"/>
          <w:szCs w:val="21"/>
        </w:rPr>
        <w:t xml:space="preserve">Leading the Cutover Command Centre</w:t>
      </w:r>
    </w:p>
    <w:p>
      <w:pPr>
        <w:pStyle w:val="ListParagraph"/>
        <w:numPr>
          <w:ilvl w:val="0"/>
          <w:numId w:val="2"/>
        </w:numPr>
        <w:spacing w:after="80" w:line="290"/>
      </w:pPr>
      <w:r>
        <w:rPr>
          <w:color w:val="102F36"/>
          <w:sz w:val="21"/>
          <w:szCs w:val="21"/>
        </w:rPr>
        <w:t xml:space="preserve">Making Live Cutover Decisions</w:t>
      </w:r>
    </w:p>
    <w:p>
      <w:pPr>
        <w:pStyle w:val="ListParagraph"/>
        <w:numPr>
          <w:ilvl w:val="0"/>
          <w:numId w:val="2"/>
        </w:numPr>
        <w:spacing w:after="80" w:line="290"/>
      </w:pPr>
      <w:r>
        <w:rPr>
          <w:color w:val="102F36"/>
          <w:sz w:val="21"/>
          <w:szCs w:val="21"/>
        </w:rPr>
        <w:t xml:space="preserve">The Cutover Command Challenge</w:t>
      </w:r>
    </w:p>
    <w:p>
      <w:pPr>
        <w:pStyle w:val="Heading3"/>
        <w:spacing w:after="80" w:before="200"/>
      </w:pPr>
      <w:r>
        <w:t xml:space="preserve">DML4 — Audit, Compliance &amp; Data Governance</w:t>
      </w:r>
    </w:p>
    <w:p>
      <w:pPr>
        <w:spacing w:after="160" w:line="300"/>
      </w:pPr>
      <w:r>
        <w:rPr>
          <w:b w:val="false"/>
          <w:bCs w:val="false"/>
          <w:i w:val="false"/>
          <w:iCs w:val="false"/>
          <w:color w:val="102F36"/>
          <w:sz w:val="21"/>
          <w:szCs w:val="21"/>
        </w:rPr>
        <w:t xml:space="preserve">The second elevation of Core 7's governance thread: formal ownership of data decisions and decision rights, lineage and traceability, the audit evidence pack, access/retention/sensitive-data control, and governing exceptions and residual risk. Its own opening scenario reuses the DEP-07/FA-009871 fixed-asset case directly from Core 7 and DMC1, strong evidence the Bramwell continuity holds across all three curricula, not just within one.</w:t>
      </w:r>
    </w:p>
    <w:p>
      <w:pPr>
        <w:pStyle w:val="ListParagraph"/>
        <w:numPr>
          <w:ilvl w:val="0"/>
          <w:numId w:val="2"/>
        </w:numPr>
        <w:spacing w:after="80" w:line="290"/>
      </w:pPr>
      <w:r>
        <w:rPr>
          <w:color w:val="102F36"/>
          <w:sz w:val="21"/>
          <w:szCs w:val="21"/>
        </w:rPr>
        <w:t xml:space="preserve">Thinking like a Data Governance Lead</w:t>
      </w:r>
    </w:p>
    <w:p>
      <w:pPr>
        <w:pStyle w:val="ListParagraph"/>
        <w:numPr>
          <w:ilvl w:val="0"/>
          <w:numId w:val="2"/>
        </w:numPr>
        <w:spacing w:after="80" w:line="290"/>
      </w:pPr>
      <w:r>
        <w:rPr>
          <w:color w:val="102F36"/>
          <w:sz w:val="21"/>
          <w:szCs w:val="21"/>
        </w:rPr>
        <w:t xml:space="preserve">Owning Data Decisions and Decision Rights</w:t>
      </w:r>
    </w:p>
    <w:p>
      <w:pPr>
        <w:pStyle w:val="ListParagraph"/>
        <w:numPr>
          <w:ilvl w:val="0"/>
          <w:numId w:val="2"/>
        </w:numPr>
        <w:spacing w:after="80" w:line="290"/>
      </w:pPr>
      <w:r>
        <w:rPr>
          <w:color w:val="102F36"/>
          <w:sz w:val="21"/>
          <w:szCs w:val="21"/>
        </w:rPr>
        <w:t xml:space="preserve">Building Lineage and Traceability</w:t>
      </w:r>
    </w:p>
    <w:p>
      <w:pPr>
        <w:pStyle w:val="ListParagraph"/>
        <w:numPr>
          <w:ilvl w:val="0"/>
          <w:numId w:val="2"/>
        </w:numPr>
        <w:spacing w:after="80" w:line="290"/>
      </w:pPr>
      <w:r>
        <w:rPr>
          <w:color w:val="102F36"/>
          <w:sz w:val="21"/>
          <w:szCs w:val="21"/>
        </w:rPr>
        <w:t xml:space="preserve">Building the Audit Evidence Pack</w:t>
      </w:r>
    </w:p>
    <w:p>
      <w:pPr>
        <w:pStyle w:val="ListParagraph"/>
        <w:numPr>
          <w:ilvl w:val="0"/>
          <w:numId w:val="2"/>
        </w:numPr>
        <w:spacing w:after="80" w:line="290"/>
      </w:pPr>
      <w:r>
        <w:rPr>
          <w:color w:val="102F36"/>
          <w:sz w:val="21"/>
          <w:szCs w:val="21"/>
        </w:rPr>
        <w:t xml:space="preserve">Controlling Access, Retention and Sensitive Data</w:t>
      </w:r>
    </w:p>
    <w:p>
      <w:pPr>
        <w:pStyle w:val="ListParagraph"/>
        <w:numPr>
          <w:ilvl w:val="0"/>
          <w:numId w:val="2"/>
        </w:numPr>
        <w:spacing w:after="80" w:line="290"/>
      </w:pPr>
      <w:r>
        <w:rPr>
          <w:color w:val="102F36"/>
          <w:sz w:val="21"/>
          <w:szCs w:val="21"/>
        </w:rPr>
        <w:t xml:space="preserve">Governing Exceptions and Residual Risk</w:t>
      </w:r>
    </w:p>
    <w:p>
      <w:pPr>
        <w:pStyle w:val="Heading3"/>
        <w:spacing w:after="80" w:before="200"/>
      </w:pPr>
      <w:r>
        <w:t xml:space="preserve">DML5 — Team Leadership &amp; Partner Coordination</w:t>
      </w:r>
    </w:p>
    <w:p>
      <w:pPr>
        <w:spacing w:after="160" w:line="300"/>
      </w:pPr>
      <w:r>
        <w:rPr>
          <w:b w:val="false"/>
          <w:bCs w:val="false"/>
          <w:i w:val="false"/>
          <w:iCs w:val="false"/>
          <w:color w:val="102F36"/>
          <w:sz w:val="21"/>
          <w:szCs w:val="21"/>
        </w:rPr>
        <w:t xml:space="preserve">Genuinely new territory, not a leadership-altitude shadow of any Core or DMC module: building the migration team, delegating without losing control, leading partners and vendors, handling conflict and underperformance, and building resilience into the team, ending in a capstone team-leadership challenge. Neither Core nor DMC covers managing people or vendors, so this module stands on its own.</w:t>
      </w:r>
    </w:p>
    <w:p>
      <w:pPr>
        <w:pStyle w:val="ListParagraph"/>
        <w:numPr>
          <w:ilvl w:val="0"/>
          <w:numId w:val="2"/>
        </w:numPr>
        <w:spacing w:after="80" w:line="290"/>
      </w:pPr>
      <w:r>
        <w:rPr>
          <w:color w:val="102F36"/>
          <w:sz w:val="21"/>
          <w:szCs w:val="21"/>
        </w:rPr>
        <w:t xml:space="preserve">Thinking like a migration team leader</w:t>
      </w:r>
    </w:p>
    <w:p>
      <w:pPr>
        <w:pStyle w:val="ListParagraph"/>
        <w:numPr>
          <w:ilvl w:val="0"/>
          <w:numId w:val="2"/>
        </w:numPr>
        <w:spacing w:after="80" w:line="290"/>
      </w:pPr>
      <w:r>
        <w:rPr>
          <w:color w:val="102F36"/>
          <w:sz w:val="21"/>
          <w:szCs w:val="21"/>
        </w:rPr>
        <w:t xml:space="preserve">Building the Migration Team</w:t>
      </w:r>
    </w:p>
    <w:p>
      <w:pPr>
        <w:pStyle w:val="ListParagraph"/>
        <w:numPr>
          <w:ilvl w:val="0"/>
          <w:numId w:val="2"/>
        </w:numPr>
        <w:spacing w:after="80" w:line="290"/>
      </w:pPr>
      <w:r>
        <w:rPr>
          <w:color w:val="102F36"/>
          <w:sz w:val="21"/>
          <w:szCs w:val="21"/>
        </w:rPr>
        <w:t xml:space="preserve">Delegating Without Losing Control</w:t>
      </w:r>
    </w:p>
    <w:p>
      <w:pPr>
        <w:pStyle w:val="ListParagraph"/>
        <w:numPr>
          <w:ilvl w:val="0"/>
          <w:numId w:val="2"/>
        </w:numPr>
        <w:spacing w:after="80" w:line="290"/>
      </w:pPr>
      <w:r>
        <w:rPr>
          <w:color w:val="102F36"/>
          <w:sz w:val="21"/>
          <w:szCs w:val="21"/>
        </w:rPr>
        <w:t xml:space="preserve">Leading Partners and Vendors</w:t>
      </w:r>
    </w:p>
    <w:p>
      <w:pPr>
        <w:pStyle w:val="ListParagraph"/>
        <w:numPr>
          <w:ilvl w:val="0"/>
          <w:numId w:val="2"/>
        </w:numPr>
        <w:spacing w:after="80" w:line="290"/>
      </w:pPr>
      <w:r>
        <w:rPr>
          <w:color w:val="102F36"/>
          <w:sz w:val="21"/>
          <w:szCs w:val="21"/>
        </w:rPr>
        <w:t xml:space="preserve">Handling Conflict and Underperformance</w:t>
      </w:r>
    </w:p>
    <w:p>
      <w:pPr>
        <w:pStyle w:val="ListParagraph"/>
        <w:numPr>
          <w:ilvl w:val="0"/>
          <w:numId w:val="2"/>
        </w:numPr>
        <w:spacing w:after="80" w:line="290"/>
      </w:pPr>
      <w:r>
        <w:rPr>
          <w:color w:val="102F36"/>
          <w:sz w:val="21"/>
          <w:szCs w:val="21"/>
        </w:rPr>
        <w:t xml:space="preserve">Building Resilience Into the Team</w:t>
      </w:r>
    </w:p>
    <w:p>
      <w:pPr>
        <w:pStyle w:val="ListParagraph"/>
        <w:numPr>
          <w:ilvl w:val="0"/>
          <w:numId w:val="2"/>
        </w:numPr>
        <w:spacing w:after="80" w:line="290"/>
      </w:pPr>
      <w:r>
        <w:rPr>
          <w:color w:val="102F36"/>
          <w:sz w:val="21"/>
          <w:szCs w:val="21"/>
        </w:rPr>
        <w:t xml:space="preserve">The Team Leadership Challenge</w:t>
      </w:r>
    </w:p>
    <w:p>
      <w:pPr>
        <w:pStyle w:val="Heading1"/>
        <w:spacing w:after="160" w:before="360"/>
      </w:pPr>
      <w:r>
        <w:t xml:space="preserve">The cross-cutting thread: governance and professional practice</w:t>
      </w:r>
    </w:p>
    <w:p>
      <w:pPr>
        <w:spacing w:after="160" w:line="300"/>
      </w:pPr>
      <w:r>
        <w:rPr>
          <w:b w:val="false"/>
          <w:bCs w:val="false"/>
          <w:i w:val="false"/>
          <w:iCs w:val="false"/>
          <w:color w:val="102F36"/>
          <w:sz w:val="21"/>
          <w:szCs w:val="21"/>
        </w:rPr>
        <w:t xml:space="preserve">Core 7, DMC4, DML2 and DML4 don't sit at one point on the lifecycle because their subject doesn't either — decision authority, evidence discipline and stakeholder communication matter from Day 1 discovery through to hypercare close-out. Core 7 teaches the judgement shared by both roles: recognise whose decision something is, escalate on consequence rather than frustration, build evidence that survives scrutiny. DMC4 teaches the Consultant's version of the same territory at working level: how to actually run the workshop, get a useful answer out of a guarded SME, and deliver a delay or a defect to a stakeholder without either hiding it or overstating it. DML2 and DML4 teach the Lead's version at leadership altitude, split into two angles: DML2 takes that same evidence upward, to sponsors and executives; DML4 takes it into formal governance — decision rights, lineage, audit evidence, access control. Every other Core, DMC and DML module assumes this thread is already operating underneath it.</w:t>
      </w:r>
    </w:p>
    <w:p>
      <w:r>
        <w:br w:type="page"/>
      </w:r>
    </w:p>
    <w:p>
      <w:pPr>
        <w:pStyle w:val="Heading1"/>
        <w:spacing w:after="160" w:before="360"/>
      </w:pPr>
      <w:r>
        <w:t xml:space="preserve">The Turner Page methodology</w:t>
      </w:r>
    </w:p>
    <w:p>
      <w:pPr>
        <w:shd w:fill="FBF6E3" w:val="clear"/>
        <w:spacing w:after="200" w:before="100" w:line="280"/>
        <w:ind w:left="100" w:right="100"/>
      </w:pPr>
      <w:r>
        <w:rPr>
          <w:b/>
          <w:bCs/>
          <w:color w:val="005F6C"/>
          <w:sz w:val="20"/>
          <w:szCs w:val="20"/>
        </w:rPr>
        <w:t xml:space="preserve">Note: </w:t>
      </w:r>
      <w:r>
        <w:rPr>
          <w:i/>
          <w:iCs/>
          <w:color w:val="102F36"/>
          <w:sz w:val="20"/>
          <w:szCs w:val="20"/>
        </w:rPr>
        <w:t xml:space="preserve">The following is deduced from the “Turner Page principle” / “Turner Page insight” callouts that recur throughout Core 1, 3, 4 and 7 and DMC1 — the modules reviewed in detail while producing this document. It reads as a genuinely consistent set of tenets rather than isolated lesson-level advice, which suggests it's either an existing methodology already guiding the manuscripts, or a pattern consistent enough to formalise as one. Quotes below are taken verbatim from shipped lesson content.</w:t>
      </w:r>
    </w:p>
    <w:p>
      <w:pPr>
        <w:pStyle w:val="Heading2"/>
        <w:spacing w:after="120" w:before="280"/>
      </w:pPr>
      <w:r>
        <w:t xml:space="preserve">1. Evidence, not assertion</w:t>
      </w:r>
    </w:p>
    <w:p>
      <w:pPr>
        <w:spacing w:after="160" w:line="300"/>
      </w:pPr>
      <w:r>
        <w:rPr>
          <w:b w:val="false"/>
          <w:bCs w:val="false"/>
          <w:i w:val="false"/>
          <w:iCs w:val="false"/>
          <w:color w:val="102F36"/>
          <w:sz w:val="21"/>
          <w:szCs w:val="21"/>
        </w:rPr>
        <w:t xml:space="preserve">A claim about the migration is only as good as what supports it. “We believe it's right” is not the same as being able to show why.</w:t>
      </w:r>
    </w:p>
    <w:p>
      <w:pPr>
        <w:pBdr>
          <w:left w:val="single" w:color="0B7F8E" w:sz="18" w:space="8"/>
        </w:pBdr>
        <w:spacing w:after="60" w:before="60" w:line="280"/>
        <w:ind w:left="400"/>
      </w:pPr>
      <w:r>
        <w:rPr>
          <w:i/>
          <w:iCs/>
          <w:color w:val="005F6C"/>
          <w:sz w:val="20"/>
          <w:szCs w:val="20"/>
        </w:rPr>
        <w:t xml:space="preserve">“Traceability turns “we believe it is right” into “here is why we know what happened”.”</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“Do not make the evidence fit the status. Make the status fit the evidence.”</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“A screenshot with no context may be proof that something appeared on a screen. It may not be proof of what population, rule or cycle was validated.”</w:t>
      </w:r>
      <w:r>
        <w:rPr>
          <w:color w:val="5B6B72"/>
          <w:sz w:val="18"/>
          <w:szCs w:val="18"/>
        </w:rPr>
        <w:t xml:space="preserve">  — Core 7</w:t>
      </w:r>
    </w:p>
    <w:p>
      <w:pPr>
        <w:pStyle w:val="Heading2"/>
        <w:spacing w:after="120" w:before="280"/>
      </w:pPr>
      <w:r>
        <w:t xml:space="preserve">2. Business decisions stay with the business</w:t>
      </w:r>
    </w:p>
    <w:p>
      <w:pPr>
        <w:spacing w:after="160" w:line="300"/>
      </w:pPr>
      <w:r>
        <w:rPr>
          <w:b w:val="false"/>
          <w:bCs w:val="false"/>
          <w:i w:val="false"/>
          <w:iCs w:val="false"/>
          <w:color w:val="102F36"/>
          <w:sz w:val="21"/>
          <w:szCs w:val="21"/>
        </w:rPr>
        <w:t xml:space="preserve">A migration team can profile, implement and recommend. It cannot quietly decide what the business means by a value, or accept residual risk on the business's behalf.</w:t>
      </w:r>
    </w:p>
    <w:p>
      <w:pPr>
        <w:pBdr>
          <w:left w:val="single" w:color="0B7F8E" w:sz="18" w:space="8"/>
        </w:pBdr>
        <w:spacing w:after="60" w:before="60" w:line="280"/>
        <w:ind w:left="400"/>
      </w:pPr>
      <w:r>
        <w:rPr>
          <w:i/>
          <w:iCs/>
          <w:color w:val="005F6C"/>
          <w:sz w:val="20"/>
          <w:szCs w:val="20"/>
        </w:rPr>
        <w:t xml:space="preserve">“A default is a business rule expressed through migration logic, not a technical convenience.”</w:t>
      </w:r>
      <w:r>
        <w:rPr>
          <w:color w:val="5B6B72"/>
          <w:sz w:val="18"/>
          <w:szCs w:val="18"/>
        </w:rPr>
        <w:t xml:space="preserve">  — Core 3 / 4</w:t>
      </w:r>
    </w:p>
    <w:p>
      <w:pPr>
        <w:pBdr>
          <w:left w:val="single" w:color="0B7F8E" w:sz="18" w:space="8"/>
        </w:pBdr>
        <w:spacing w:after="60" w:before="60" w:line="280"/>
        <w:ind w:left="400"/>
      </w:pPr>
      <w:r>
        <w:rPr>
          <w:i/>
          <w:iCs/>
          <w:color w:val="005F6C"/>
          <w:sz w:val="20"/>
          <w:szCs w:val="20"/>
        </w:rPr>
        <w:t xml:space="preserve">“Technical expertise can shape the options. It does not replace business authority over meaning.”</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“Doing the work does not automatically give you authority to decide what the work should mean.”</w:t>
      </w:r>
      <w:r>
        <w:rPr>
          <w:color w:val="5B6B72"/>
          <w:sz w:val="18"/>
          <w:szCs w:val="18"/>
        </w:rPr>
        <w:t xml:space="preserve">  — Core 7</w:t>
      </w:r>
    </w:p>
    <w:p>
      <w:pPr>
        <w:pStyle w:val="Heading2"/>
        <w:spacing w:after="120" w:before="280"/>
      </w:pPr>
      <w:r>
        <w:t xml:space="preserve">3. Nothing disappears silently</w:t>
      </w:r>
    </w:p>
    <w:p>
      <w:pPr>
        <w:spacing w:after="160" w:line="300"/>
      </w:pPr>
      <w:r>
        <w:rPr>
          <w:b w:val="false"/>
          <w:bCs w:val="false"/>
          <w:i w:val="false"/>
          <w:iCs w:val="false"/>
          <w:color w:val="102F36"/>
          <w:sz w:val="21"/>
          <w:szCs w:val="21"/>
        </w:rPr>
        <w:t xml:space="preserve">A record, an exception or an unresolved question stays visible until an approved decision accounts for it — it never just quietly vanishes into a default, a truncation or a dropped row.</w:t>
      </w:r>
    </w:p>
    <w:p>
      <w:pPr>
        <w:pBdr>
          <w:left w:val="single" w:color="0B7F8E" w:sz="18" w:space="8"/>
        </w:pBdr>
        <w:spacing w:after="60" w:before="60" w:line="280"/>
        <w:ind w:left="400"/>
      </w:pPr>
      <w:r>
        <w:rPr>
          <w:i/>
          <w:iCs/>
          <w:color w:val="005F6C"/>
          <w:sz w:val="20"/>
          <w:szCs w:val="20"/>
        </w:rPr>
        <w:t xml:space="preserve">“An exception is still part of the migration population until an approved decision says otherwise.”</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“A record should not simply disappear between stages. It should proceed, be rejected, be excluded by an approved rule or remain explicitly accounted for.”</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“If you cannot describe the rule without saying “probably”, “normally”, “whatever the target expects” or “we can default it”, you do not yet have build-ready logic.”</w:t>
      </w:r>
      <w:r>
        <w:rPr>
          <w:color w:val="5B6B72"/>
          <w:sz w:val="18"/>
          <w:szCs w:val="18"/>
        </w:rPr>
        <w:t xml:space="preserve">  — DMC1</w:t>
      </w:r>
    </w:p>
    <w:p>
      <w:pPr>
        <w:pStyle w:val="Heading2"/>
        <w:spacing w:after="120" w:before="280"/>
      </w:pPr>
      <w:r>
        <w:t xml:space="preserve">4. Traceability end to end</w:t>
      </w:r>
    </w:p>
    <w:p>
      <w:pPr>
        <w:spacing w:after="160" w:line="300"/>
      </w:pPr>
      <w:r>
        <w:rPr>
          <w:b w:val="false"/>
          <w:bCs w:val="false"/>
          <w:i w:val="false"/>
          <w:iCs w:val="false"/>
          <w:color w:val="102F36"/>
          <w:sz w:val="21"/>
          <w:szCs w:val="21"/>
        </w:rPr>
        <w:t xml:space="preserve">Every value in the target should be explainable back to a source value and an approved rule — and every rule change should be traceable forward through build, test and cycle output.</w:t>
      </w:r>
    </w:p>
    <w:p>
      <w:pPr>
        <w:pBdr>
          <w:left w:val="single" w:color="0B7F8E" w:sz="18" w:space="8"/>
        </w:pBdr>
        <w:spacing w:after="60" w:before="60" w:line="280"/>
        <w:ind w:left="400"/>
      </w:pPr>
      <w:r>
        <w:rPr>
          <w:i/>
          <w:iCs/>
          <w:color w:val="005F6C"/>
          <w:sz w:val="20"/>
          <w:szCs w:val="20"/>
        </w:rPr>
        <w:t xml:space="preserve">“Keep a copy of what you received before you start changing what it means.”</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“When a user reports that one migrated customer is wrong, the team should be able to trace that customer backwards through the pipeline without guesswork.”</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“A mapping change should be traceable from decision → mapping/reference → build logic → tests → cycle output.”</w:t>
      </w:r>
      <w:r>
        <w:rPr>
          <w:color w:val="5B6B72"/>
          <w:sz w:val="18"/>
          <w:szCs w:val="18"/>
        </w:rPr>
        <w:t xml:space="preserve">  — DMC1</w:t>
      </w:r>
    </w:p>
    <w:p>
      <w:pPr>
        <w:pStyle w:val="Heading2"/>
        <w:spacing w:after="120" w:before="280"/>
      </w:pPr>
      <w:r>
        <w:t xml:space="preserve">5. Named ownership, explicit authority</w:t>
      </w:r>
    </w:p>
    <w:p>
      <w:pPr>
        <w:spacing w:after="160" w:line="300"/>
      </w:pPr>
      <w:r>
        <w:rPr>
          <w:b w:val="false"/>
          <w:bCs w:val="false"/>
          <w:i w:val="false"/>
          <w:iCs w:val="false"/>
          <w:color w:val="102F36"/>
          <w:sz w:val="21"/>
          <w:szCs w:val="21"/>
        </w:rPr>
        <w:t xml:space="preserve">“The business owns it” is not an answer. A decision needs a named authority, and one person can hold more than one authority as long as the decision itself stays clear.</w:t>
      </w:r>
    </w:p>
    <w:p>
      <w:pPr>
        <w:pBdr>
          <w:left w:val="single" w:color="0B7F8E" w:sz="18" w:space="8"/>
        </w:pBdr>
        <w:spacing w:after="60" w:before="60" w:line="280"/>
        <w:ind w:left="400"/>
      </w:pPr>
      <w:r>
        <w:rPr>
          <w:i/>
          <w:iCs/>
          <w:color w:val="005F6C"/>
          <w:sz w:val="20"/>
          <w:szCs w:val="20"/>
        </w:rPr>
        <w:t xml:space="preserve">“Ownership is useful only when the migration team knows where a real decision goes.”</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“One person may hold more than one authority, but the decision itself should still be clear.”</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“When authorities conflict, escalate the decision. Do not turn disagreement into hidden transformation logic.”</w:t>
      </w:r>
      <w:r>
        <w:rPr>
          <w:color w:val="5B6B72"/>
          <w:sz w:val="18"/>
          <w:szCs w:val="18"/>
        </w:rPr>
        <w:t xml:space="preserve">  — Core 7</w:t>
      </w:r>
    </w:p>
    <w:p>
      <w:pPr>
        <w:pStyle w:val="Heading2"/>
        <w:spacing w:after="120" w:before="280"/>
      </w:pPr>
      <w:r>
        <w:t xml:space="preserve">6. Escalate on consequence, not emotion</w:t>
      </w:r>
    </w:p>
    <w:p>
      <w:pPr>
        <w:spacing w:after="160" w:line="300"/>
      </w:pPr>
      <w:r>
        <w:rPr>
          <w:b w:val="false"/>
          <w:bCs w:val="false"/>
          <w:i w:val="false"/>
          <w:iCs w:val="false"/>
          <w:color w:val="102F36"/>
          <w:sz w:val="21"/>
          <w:szCs w:val="21"/>
        </w:rPr>
        <w:t xml:space="preserve">Escalation is a professional tool triggered by what's at stake, not by frustration — and urgency shortens the decision window without ever transferring who owns the decision.</w:t>
      </w:r>
    </w:p>
    <w:p>
      <w:pPr>
        <w:pBdr>
          <w:left w:val="single" w:color="0B7F8E" w:sz="18" w:space="8"/>
        </w:pBdr>
        <w:spacing w:after="60" w:before="60" w:line="280"/>
        <w:ind w:left="400"/>
      </w:pPr>
      <w:r>
        <w:rPr>
          <w:i/>
          <w:iCs/>
          <w:color w:val="005F6C"/>
          <w:sz w:val="20"/>
          <w:szCs w:val="20"/>
        </w:rPr>
        <w:t xml:space="preserve">“Escalate because of consequence, not frustration.”</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“Urgency can shorten the decision window. It does not change who owns the business decision.”</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“A good escalation states the evidence, impact, options or uncertainty, authority required and time available.”</w:t>
      </w:r>
      <w:r>
        <w:rPr>
          <w:color w:val="5B6B72"/>
          <w:sz w:val="18"/>
          <w:szCs w:val="18"/>
        </w:rPr>
        <w:t xml:space="preserve">  — Core 7</w:t>
      </w:r>
    </w:p>
    <w:p>
      <w:pPr>
        <w:pStyle w:val="Heading2"/>
        <w:spacing w:after="120" w:before="280"/>
      </w:pPr>
      <w:r>
        <w:t xml:space="preserve">7. Build for repeatability and control</w:t>
      </w:r>
    </w:p>
    <w:p>
      <w:pPr>
        <w:spacing w:after="160" w:line="300"/>
      </w:pPr>
      <w:r>
        <w:rPr>
          <w:b w:val="false"/>
          <w:bCs w:val="false"/>
          <w:i w:val="false"/>
          <w:iCs w:val="false"/>
          <w:color w:val="102F36"/>
          <w:sz w:val="21"/>
          <w:szCs w:val="21"/>
        </w:rPr>
        <w:t xml:space="preserve">The first version of a pipeline, a staging design or a cycle plan should already assume it will run again — because on a real project, it will.</w:t>
      </w:r>
    </w:p>
    <w:p>
      <w:pPr>
        <w:pBdr>
          <w:left w:val="single" w:color="0B7F8E" w:sz="18" w:space="8"/>
        </w:pBdr>
        <w:spacing w:after="60" w:before="60" w:line="280"/>
        <w:ind w:left="400"/>
      </w:pPr>
      <w:r>
        <w:rPr>
          <w:i/>
          <w:iCs/>
          <w:color w:val="005F6C"/>
          <w:sz w:val="20"/>
          <w:szCs w:val="20"/>
        </w:rPr>
        <w:t xml:space="preserve">“Staging is not just somewhere to put data. It is where the migration becomes observable and repeatable.”</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“Build the first pipeline as if you already know you will have to run it again, because you will.”</w:t>
      </w:r>
      <w:r>
        <w:rPr>
          <w:color w:val="5B6B72"/>
          <w:sz w:val="18"/>
          <w:szCs w:val="18"/>
        </w:rPr>
        <w:t xml:space="preserve">  — Core 4</w:t>
      </w:r>
    </w:p>
    <w:p>
      <w:pPr>
        <w:pBdr>
          <w:left w:val="single" w:color="0B7F8E" w:sz="18" w:space="8"/>
        </w:pBdr>
        <w:spacing w:after="60" w:before="60" w:line="280"/>
        <w:ind w:left="400"/>
      </w:pPr>
      <w:r>
        <w:rPr>
          <w:i/>
          <w:iCs/>
          <w:color w:val="005F6C"/>
          <w:sz w:val="20"/>
          <w:szCs w:val="20"/>
        </w:rPr>
        <w:t xml:space="preserve">“Separate responsibilities enough to make the process observable, repeatable and recoverable.”</w:t>
      </w:r>
      <w:r>
        <w:rPr>
          <w:color w:val="5B6B72"/>
          <w:sz w:val="18"/>
          <w:szCs w:val="18"/>
        </w:rPr>
        <w:t xml:space="preserve">  — Core 4</w:t>
      </w:r>
    </w:p>
    <w:p>
      <w:pPr>
        <w:pStyle w:val="Heading2"/>
        <w:spacing w:after="120" w:before="280"/>
      </w:pPr>
      <w:r>
        <w:t xml:space="preserve">8. Communicate proportionately</w:t>
      </w:r>
    </w:p>
    <w:p>
      <w:pPr>
        <w:spacing w:after="160" w:line="300"/>
      </w:pPr>
      <w:r>
        <w:rPr>
          <w:b w:val="false"/>
          <w:bCs w:val="false"/>
          <w:i w:val="false"/>
          <w:iCs w:val="false"/>
          <w:color w:val="102F36"/>
          <w:sz w:val="21"/>
          <w:szCs w:val="21"/>
        </w:rPr>
        <w:t xml:space="preserve">A stakeholder needs the consequence that matters to them, not a narrated feed of migration activity — and risk should be reported at its real size, neither hidden nor inflated.</w:t>
      </w:r>
    </w:p>
    <w:p>
      <w:pPr>
        <w:pBdr>
          <w:left w:val="single" w:color="0B7F8E" w:sz="18" w:space="8"/>
        </w:pBdr>
        <w:spacing w:after="60" w:before="60" w:line="280"/>
        <w:ind w:left="400"/>
      </w:pPr>
      <w:r>
        <w:rPr>
          <w:i/>
          <w:iCs/>
          <w:color w:val="005F6C"/>
          <w:sz w:val="20"/>
          <w:szCs w:val="20"/>
        </w:rPr>
        <w:t xml:space="preserve">“Do not communicate migration activity. Communicate what the stakeholder needs to know, decide or do.”</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“Good stakeholder communication translates one migration issue into the consequence that matters to the recipient.”</w:t>
      </w:r>
      <w:r>
        <w:rPr>
          <w:color w:val="5B6B72"/>
          <w:sz w:val="18"/>
          <w:szCs w:val="18"/>
        </w:rPr>
        <w:t xml:space="preserve">  — Core 7</w:t>
      </w:r>
    </w:p>
    <w:p>
      <w:pPr>
        <w:pBdr>
          <w:left w:val="single" w:color="0B7F8E" w:sz="18" w:space="8"/>
        </w:pBdr>
        <w:spacing w:after="60" w:before="60" w:line="280"/>
        <w:ind w:left="400"/>
      </w:pPr>
      <w:r>
        <w:rPr>
          <w:i/>
          <w:iCs/>
          <w:color w:val="005F6C"/>
          <w:sz w:val="20"/>
          <w:szCs w:val="20"/>
        </w:rPr>
        <w:t xml:space="preserve">“Report proportionately: neither hide risk nor inflate it.”</w:t>
      </w:r>
      <w:r>
        <w:rPr>
          <w:color w:val="5B6B72"/>
          <w:sz w:val="18"/>
          <w:szCs w:val="18"/>
        </w:rPr>
        <w:t xml:space="preserve">  — Core 7</w:t>
      </w:r>
    </w:p>
    <w:p>
      <w:r>
        <w:br w:type="page"/>
      </w:r>
    </w:p>
    <w:p>
      <w:pPr>
        <w:pStyle w:val="Heading1"/>
        <w:spacing w:after="160" w:before="360"/>
      </w:pPr>
      <w:r>
        <w:t xml:space="preserve">Implications for building future content</w:t>
      </w:r>
    </w:p>
    <w:p>
      <w:pPr>
        <w:spacing w:after="160" w:line="300"/>
      </w:pPr>
      <w:r>
        <w:rPr>
          <w:b w:val="false"/>
          <w:bCs w:val="false"/>
          <w:i w:val="false"/>
          <w:iCs w:val="false"/>
          <w:color w:val="102F36"/>
          <w:sz w:val="21"/>
          <w:szCs w:val="21"/>
        </w:rPr>
        <w:t xml:space="preserve">A few practical rules to keep all three curricula consistent as the remaining DMC and DML modules get built:</w:t>
      </w:r>
    </w:p>
    <w:p>
      <w:pPr>
        <w:pStyle w:val="ListParagraph"/>
        <w:numPr>
          <w:ilvl w:val="0"/>
          <w:numId w:val="2"/>
        </w:numPr>
        <w:spacing w:after="80" w:line="290"/>
      </w:pPr>
      <w:r>
        <w:rPr>
          <w:color w:val="102F36"/>
          <w:sz w:val="21"/>
          <w:szCs w:val="21"/>
        </w:rPr>
        <w:t xml:space="preserve">Assume the layer below is already in place. A DMC lesson shouldn't re-argue why a decision needs authorisation — take that as settled and spend the depth on how to actually do the work. A DML lesson shouldn't re-teach the SQL or the reconciliation technique underneath it — take the craft as given and spend the depth on the orchestration, the executive translation, or the call only a Lead can make.</w:t>
      </w:r>
    </w:p>
    <w:p>
      <w:pPr>
        <w:pStyle w:val="ListParagraph"/>
        <w:numPr>
          <w:ilvl w:val="0"/>
          <w:numId w:val="2"/>
        </w:numPr>
        <w:spacing w:after="80" w:line="290"/>
      </w:pPr>
      <w:r>
        <w:rPr>
          <w:color w:val="102F36"/>
          <w:sz w:val="21"/>
          <w:szCs w:val="21"/>
        </w:rPr>
        <w:t xml:space="preserve">Reference back lightly, not heavily. A short callback (“you worked through this exact classification conflict in Core Module 7”, or “this is the same DEP-07 exception your Consultants would be building around”) builds continuity without turning a lesson into a recap of the one underneath it.</w:t>
      </w:r>
    </w:p>
    <w:p>
      <w:pPr>
        <w:pStyle w:val="ListParagraph"/>
        <w:numPr>
          <w:ilvl w:val="0"/>
          <w:numId w:val="2"/>
        </w:numPr>
        <w:spacing w:after="80" w:line="290"/>
      </w:pPr>
      <w:r>
        <w:rPr>
          <w:color w:val="102F36"/>
          <w:sz w:val="21"/>
          <w:szCs w:val="21"/>
        </w:rPr>
        <w:t xml:space="preserve">Keep the same altitude discipline the methodology itself teaches: no invented facts, no silently resolved exceptions, every worked example traceable to something the learner can point to.</w:t>
      </w:r>
    </w:p>
    <w:p>
      <w:pPr>
        <w:pStyle w:val="ListParagraph"/>
        <w:numPr>
          <w:ilvl w:val="0"/>
          <w:numId w:val="2"/>
        </w:numPr>
        <w:spacing w:after="80" w:line="290"/>
      </w:pPr>
      <w:r>
        <w:rPr>
          <w:color w:val="102F36"/>
          <w:sz w:val="21"/>
          <w:szCs w:val="21"/>
        </w:rPr>
        <w:t xml:space="preserve">Maintain Bramwell continuity across all three curricula — the same company, the same unresolved threads (S20418, DEP-07, CustomerGroup 99, and so on), reused rather than re-invented. DML4 already does this well, reaching for the same DEP-07/FA-009871 case Core 7 and DMC1 use — worth treating as the pattern to repeat, not a coincidence to preserve carefully.</w:t>
      </w:r>
    </w:p>
    <w:p>
      <w:pPr>
        <w:pStyle w:val="ListParagraph"/>
        <w:numPr>
          <w:ilvl w:val="0"/>
          <w:numId w:val="2"/>
        </w:numPr>
        <w:spacing w:after="80" w:line="290"/>
      </w:pPr>
      <w:r>
        <w:rPr>
          <w:color w:val="102F36"/>
          <w:sz w:val="21"/>
          <w:szCs w:val="21"/>
        </w:rPr>
        <w:t xml:space="preserve">Match craft and leadership depth to what the role would actually need on Day 1 of a real assignment — the test throughout DMC and DML should stay “could this learner now do something useful, or make and own a real call, on a real project?”, not “has this learner recognised the right multiple-choice answer?”</w:t>
      </w:r>
    </w:p>
    <w:p>
      <w:pPr>
        <w:pStyle w:val="ListParagraph"/>
        <w:numPr>
          <w:ilvl w:val="0"/>
          <w:numId w:val="2"/>
        </w:numPr>
        <w:spacing w:after="80" w:line="290"/>
      </w:pPr>
      <w:r>
        <w:rPr>
          <w:color w:val="102F36"/>
          <w:sz w:val="21"/>
          <w:szCs w:val="21"/>
        </w:rPr>
        <w:t xml:space="preserve">Keep authoring QA consistent: MCQ options of comparable length so the answer isn't given away by which one is longest, code and artefacts explained rather than just shown, and every new visual component (DMC's code blocks and data tables, or any DML equivalent) drafted once and reused rather than reinvented per lesson.</w:t>
      </w:r>
    </w:p>
    <w:p>
      <w:pPr>
        <w:pStyle w:val="Heading1"/>
        <w:spacing w:after="160" w:before="360"/>
      </w:pPr>
      <w:r>
        <w:t xml:space="preserve">The classroom test</w:t>
      </w:r>
    </w:p>
    <w:p>
      <w:pPr>
        <w:spacing w:after="160" w:line="300"/>
      </w:pPr>
      <w:r>
        <w:rPr>
          <w:b w:val="false"/>
          <w:bCs w:val="false"/>
          <w:i w:val="false"/>
          <w:iCs w:val="false"/>
          <w:color w:val="102F36"/>
          <w:sz w:val="21"/>
          <w:szCs w:val="21"/>
        </w:rPr>
        <w:t xml:space="preserve">A standing quality bar for every lesson across all three curricula, not a DML1-specific fix — surfaced while reviewing DML1 Lesson 1, but it applies equally to Core and DMC.</w:t>
      </w:r>
    </w:p>
    <w:p>
      <w:pPr>
        <w:spacing w:after="160" w:line="300"/>
      </w:pPr>
      <w:r>
        <w:rPr>
          <w:b w:val="false"/>
          <w:bCs w:val="false"/>
          <w:i w:val="false"/>
          <w:iCs w:val="false"/>
          <w:color w:val="102F36"/>
          <w:sz w:val="21"/>
          <w:szCs w:val="21"/>
        </w:rPr>
        <w:t xml:space="preserve">The test: would this lesson survive being taught live, by a good instructor, standing in front of a room? Or does it only work because a solo learner has nobody forcing them to pause? A live instructor doesn't let the room skim past the hard part — they make people commit to an answer before revealing one, sit in the discomfort of a genuinely ambiguous call, and spend real time on the point that's actually hard while moving quickly through the point that isn't. Most of what makes a lesson feel thin isn't a shortage of facts — it's a shortage of friction.</w:t>
      </w:r>
    </w:p>
    <w:p>
      <w:pPr>
        <w:spacing w:after="160" w:line="300"/>
      </w:pPr>
      <w:r>
        <w:rPr>
          <w:b w:val="false"/>
          <w:bCs w:val="false"/>
          <w:i w:val="false"/>
          <w:iCs w:val="false"/>
          <w:color w:val="102F36"/>
          <w:sz w:val="21"/>
          <w:szCs w:val="21"/>
        </w:rPr>
        <w:t xml:space="preserve">Three concrete symptoms of failing this test, and the fix for each:</w:t>
      </w:r>
    </w:p>
    <w:p>
      <w:pPr>
        <w:pStyle w:val="ListParagraph"/>
        <w:numPr>
          <w:ilvl w:val="0"/>
          <w:numId w:val="2"/>
        </w:numPr>
        <w:spacing w:after="80" w:line="290"/>
      </w:pPr>
      <w:r>
        <w:rPr>
          <w:color w:val="102F36"/>
          <w:sz w:val="21"/>
          <w:szCs w:val="21"/>
        </w:rPr>
        <w:t xml:space="preserve">Reveal without commitment. If a block shows evidence and then shows the analysis, with nothing asked of the learner in between, they can skim straight past it. Fix: ask for a judgement call — what do you think this means? — before showing the reasoning, not only at the lesson's opening scenario.</w:t>
      </w:r>
    </w:p>
    <w:p>
      <w:pPr>
        <w:pStyle w:val="ListParagraph"/>
        <w:numPr>
          <w:ilvl w:val="0"/>
          <w:numId w:val="2"/>
        </w:numPr>
        <w:spacing w:after="80" w:line="290"/>
      </w:pPr>
      <w:r>
        <w:rPr>
          <w:color w:val="102F36"/>
          <w:sz w:val="21"/>
          <w:szCs w:val="21"/>
        </w:rPr>
        <w:t xml:space="preserve">All-signposted choices. If every multiple-choice question has one clearly-correct option and three that are fairly obviously weaker once you read the feedback, nothing is actually being tested except reading comprehension. Fix: at least one genuinely hard call per lesson, where two answers are both defensible and the feedback has to explain a real trade-off, not just correct a mistake.</w:t>
      </w:r>
    </w:p>
    <w:p>
      <w:pPr>
        <w:pStyle w:val="ListParagraph"/>
        <w:numPr>
          <w:ilvl w:val="0"/>
          <w:numId w:val="2"/>
        </w:numPr>
        <w:spacing w:after="80" w:line="290"/>
      </w:pPr>
      <w:r>
        <w:rPr>
          <w:color w:val="102F36"/>
          <w:sz w:val="21"/>
          <w:szCs w:val="21"/>
        </w:rPr>
        <w:t xml:space="preserve">Even depth regardless of difficulty. A live instructor spends twenty minutes on the hard point and three on the easy one; a lesson that gives every sub-topic the same amount of space by default is optimising for coverage, not for learning. Fix: decide deliberately which part of each lesson deserves the most weight, rather than letting the source manuscript's own paragraph lengths set it by accident.</w:t>
      </w:r>
    </w:p>
    <w:p>
      <w:pPr>
        <w:spacing w:after="160" w:line="300"/>
      </w:pPr>
      <w:r>
        <w:rPr>
          <w:b w:val="false"/>
          <w:bCs w:val="false"/>
          <w:i w:val="false"/>
          <w:iCs w:val="false"/>
          <w:color w:val="102F36"/>
          <w:sz w:val="21"/>
          <w:szCs w:val="21"/>
        </w:rPr>
        <w:t xml:space="preserve">Apply this going forward on every new lesson built, and treat it as a standing item to check for when revisiting anything already built — not a one-off pass on DML1.</w:t>
      </w:r>
    </w:p>
    <w:p>
      <w:r>
        <w:br w:type="page"/>
      </w:r>
    </w:p>
    <w:p>
      <w:pPr>
        <w:pStyle w:val="Heading1"/>
        <w:spacing w:after="160" w:before="360"/>
      </w:pPr>
      <w:r>
        <w:t xml:space="preserve">Notes for building the remaining DML lessons</w:t>
      </w:r>
    </w:p>
    <w:p>
      <w:pPr>
        <w:spacing w:after="160" w:line="300"/>
      </w:pPr>
      <w:r>
        <w:rPr>
          <w:b w:val="false"/>
          <w:bCs w:val="false"/>
          <w:i w:val="false"/>
          <w:iCs w:val="false"/>
          <w:color w:val="102F36"/>
          <w:sz w:val="21"/>
          <w:szCs w:val="21"/>
        </w:rPr>
        <w:t xml:space="preserve">All 8 of DML1's lessons are built, but ahead of several decisions that have since been settled — so it's under revision against those decisions now, not being built from a blank page. All of DML2–5 still need building from their manuscripts. A few things worth handing to whoever picks this up, beyond the general implications above.</w:t>
      </w:r>
    </w:p>
    <w:p>
      <w:pPr>
        <w:pStyle w:val="Heading2"/>
        <w:spacing w:after="120" w:before="280"/>
      </w:pPr>
      <w:r>
        <w:t xml:space="preserve">Settled decisions worth building against from the start</w:t>
      </w:r>
    </w:p>
    <w:p>
      <w:pPr>
        <w:spacing w:after="160" w:line="300"/>
      </w:pPr>
      <w:r>
        <w:rPr>
          <w:b w:val="false"/>
          <w:bCs w:val="false"/>
          <w:i w:val="false"/>
          <w:iCs w:val="false"/>
          <w:color w:val="102F36"/>
          <w:sz w:val="21"/>
          <w:szCs w:val="21"/>
        </w:rPr>
        <w:t xml:space="preserve">Three things that took real back-and-forth to land on, restated here so they don't need re-deriving for DML2–5:</w:t>
      </w:r>
    </w:p>
    <w:p>
      <w:pPr>
        <w:pStyle w:val="ListParagraph"/>
        <w:numPr>
          <w:ilvl w:val="0"/>
          <w:numId w:val="2"/>
        </w:numPr>
        <w:spacing w:after="80" w:line="290"/>
      </w:pPr>
      <w:r>
        <w:rPr>
          <w:color w:val="102F36"/>
          <w:sz w:val="21"/>
          <w:szCs w:val="21"/>
        </w:rPr>
        <w:t xml:space="preserve">The DML Control Triangle is Scope / Evidence / Delivery, not the generic Scope/Time/Quality “iron triangle” DML1 Lesson 2 originally shipped with. Evidence as a first-class corner is what makes it distinctively Turner Page rather than generic project management — it's the same idea as “Evidence, not assertion” in the methodology section above, geometrised.</w:t>
      </w:r>
    </w:p>
    <w:p>
      <w:pPr>
        <w:pStyle w:val="ListParagraph"/>
        <w:numPr>
          <w:ilvl w:val="0"/>
          <w:numId w:val="2"/>
        </w:numPr>
        <w:spacing w:after="80" w:line="290"/>
      </w:pPr>
      <w:r>
        <w:rPr>
          <w:color w:val="102F36"/>
          <w:sz w:val="21"/>
          <w:szCs w:val="21"/>
        </w:rPr>
        <w:t xml:space="preserve">DML's From the Field roster is deliberately small: Zoe, Isabel and Darren, all correctly established as Data Migration Leads, plus one further name (Raj) added to cover the module without stretching three voices too thin. Lesson 1 is the one deliberate exception to “one per lesson” — it introduces all three original voices at once, by design, not by drift. Every other lesson gets exactly one. Critically: do not reach for Priya, Marcus, Sam, Farah, Owen, Nadia or Elena for a DML field story — they're established Data Migration Consultants elsewhere in Core and DMC, and reusing their names for a Lead's story, even with the role field corrected, collides with an already-established character.</w:t>
      </w:r>
    </w:p>
    <w:p>
      <w:pPr>
        <w:pStyle w:val="ListParagraph"/>
        <w:numPr>
          <w:ilvl w:val="0"/>
          <w:numId w:val="2"/>
        </w:numPr>
        <w:spacing w:after="80" w:line="290"/>
      </w:pPr>
      <w:r>
        <w:rPr>
          <w:color w:val="102F36"/>
          <w:sz w:val="21"/>
          <w:szCs w:val="21"/>
        </w:rPr>
        <w:t xml:space="preserve">Brand wording is “The Turner Page Mission”, not “The Turner Page Promise” — confirmed directly from shared/footer-config.js: “To develop the next generation of trusted Data Migration professionals through practical learning, sound judgement and real-world thinking.” TPKit.promiseCard() already pulls this dynamically and needs no change; any lesson-complete page with the old wording hardcoded into its static HTML does.</w:t>
      </w:r>
    </w:p>
    <w:p>
      <w:pPr>
        <w:pStyle w:val="Heading2"/>
        <w:spacing w:after="120" w:before="280"/>
      </w:pPr>
      <w:r>
        <w:t xml:space="preserve">DML already has its own standard — don't reach for the DMC framework</w:t>
      </w:r>
    </w:p>
    <w:p>
      <w:pPr>
        <w:spacing w:after="160" w:line="300"/>
      </w:pPr>
      <w:r>
        <w:rPr>
          <w:b w:val="false"/>
          <w:bCs w:val="false"/>
          <w:i w:val="false"/>
          <w:iCs w:val="false"/>
          <w:color w:val="102F36"/>
          <w:sz w:val="21"/>
          <w:szCs w:val="21"/>
        </w:rPr>
        <w:t xml:space="preserve">DML lessons are not built to the DMC “Teach → Work through → Do” shape. They follow an existing ten-block playbook (the one DML1's built lessons already use): opening scenario, “what happens next”, core concept, an interactive framework, a build-it-yourself exercise, situations, a nuance/judgement-call block, reflection, summary, an optional knowledge check, and lesson complete. That's the right shape for DML precisely because DML teaches judgement at leadership altitude through scenario reasoning, the same mechanism Core uses — not hands-on artefact production, which is what earns DMC its different shape. Building DML lessons against the DMC framework would be a category error, not a style choice.</w:t>
      </w:r>
    </w:p>
    <w:p>
      <w:pPr>
        <w:spacing w:after="160" w:line="300"/>
      </w:pPr>
      <w:r>
        <w:rPr>
          <w:b w:val="false"/>
          <w:bCs w:val="false"/>
          <w:i w:val="false"/>
          <w:iCs w:val="false"/>
          <w:color w:val="102F36"/>
          <w:sz w:val="21"/>
          <w:szCs w:val="21"/>
        </w:rPr>
        <w:t xml:space="preserve">A few of that playbook's standing rules worth restating because they're easy to drift from over five more modules:</w:t>
      </w:r>
    </w:p>
    <w:p>
      <w:pPr>
        <w:pStyle w:val="ListParagraph"/>
        <w:numPr>
          <w:ilvl w:val="0"/>
          <w:numId w:val="2"/>
        </w:numPr>
        <w:spacing w:after="80" w:line="290"/>
      </w:pPr>
      <w:r>
        <w:rPr>
          <w:color w:val="102F36"/>
          <w:sz w:val="21"/>
          <w:szCs w:val="21"/>
        </w:rPr>
        <w:t xml:space="preserve">No generic advice — every claim gets a concrete number, name or example, the same discipline DMC1's revision was pushed toward.</w:t>
      </w:r>
    </w:p>
    <w:p>
      <w:pPr>
        <w:pStyle w:val="ListParagraph"/>
        <w:numPr>
          <w:ilvl w:val="0"/>
          <w:numId w:val="2"/>
        </w:numPr>
        <w:spacing w:after="80" w:line="290"/>
      </w:pPr>
      <w:r>
        <w:rPr>
          <w:color w:val="102F36"/>
          <w:sz w:val="21"/>
          <w:szCs w:val="21"/>
        </w:rPr>
        <w:t xml:space="preserve">TP insight, common trap and key takeaway stay distinct moves: a specific counter-intuitive observation, a wrong belief stated plainly then corrected, and a short quotable principle — not three versions of the same sentence.</w:t>
      </w:r>
    </w:p>
    <w:p>
      <w:pPr>
        <w:pStyle w:val="ListParagraph"/>
        <w:numPr>
          <w:ilvl w:val="0"/>
          <w:numId w:val="2"/>
        </w:numPr>
        <w:spacing w:after="80" w:line="290"/>
      </w:pPr>
      <w:r>
        <w:rPr>
          <w:color w:val="102F36"/>
          <w:sz w:val="21"/>
          <w:szCs w:val="21"/>
        </w:rPr>
        <w:t xml:space="preserve">Internal consistency is non-negotiable: a number or name used in one block must match exactly if it's reused later in the same lesson.</w:t>
      </w:r>
    </w:p>
    <w:p>
      <w:pPr>
        <w:pStyle w:val="ListParagraph"/>
        <w:numPr>
          <w:ilvl w:val="0"/>
          <w:numId w:val="2"/>
        </w:numPr>
        <w:spacing w:after="80" w:line="290"/>
      </w:pPr>
      <w:r>
        <w:rPr>
          <w:color w:val="102F36"/>
          <w:sz w:val="21"/>
          <w:szCs w:val="21"/>
        </w:rPr>
        <w:t xml:space="preserve">One From the Field audio placeholder per lesson (Lesson 1 excepted, see above), fictional or composite persona, full script written now for later recording. One correction to the letter of the original playbook, though: the reflection field on TPKit.fromField should be a short discussion question for the learner, not the anecdote transcript — that's what every shipped Core and DMC lesson actually does, and DML should match it for consistency rather than follow the playbook's literal wording.</w:t>
      </w:r>
    </w:p>
    <w:p>
      <w:pPr>
        <w:pStyle w:val="Heading2"/>
        <w:spacing w:after="120" w:before="280"/>
      </w:pPr>
      <w:r>
        <w:t xml:space="preserve">Assume Core judgement and DMC craft are both already in place</w:t>
      </w:r>
    </w:p>
    <w:p>
      <w:pPr>
        <w:spacing w:after="160" w:line="300"/>
      </w:pPr>
      <w:r>
        <w:rPr>
          <w:b w:val="false"/>
          <w:bCs w:val="false"/>
          <w:i w:val="false"/>
          <w:iCs w:val="false"/>
          <w:color w:val="102F36"/>
          <w:sz w:val="21"/>
          <w:szCs w:val="21"/>
        </w:rPr>
        <w:t xml:space="preserve">This matters more for DML than it did for DMC, because DML sits on top of both layers. A DML2 lesson on executive communication shouldn't re-teach why an issue needs escalating (Core 7) or how to run a stakeholder workshop (DMC4) — it should assume both and focus entirely on translating that evidence for a sponsor who wasn't in the room. A DML4 lesson on the audit evidence pack shouldn't re-teach why a default is a business decision (Core 3) — it should assume that and focus on what makes evidence hold up to a formal audit. The recurring failure mode to watch for is a DML lesson that's actually a Core or DMC lesson with a more senior job title attached.</w:t>
      </w:r>
    </w:p>
    <w:p>
      <w:pPr>
        <w:pStyle w:val="Heading2"/>
        <w:spacing w:after="120" w:before="280"/>
      </w:pPr>
      <w:r>
        <w:t xml:space="preserve">The “Challenge” capstone pattern — and one gap worth confirming</w:t>
      </w:r>
    </w:p>
    <w:p>
      <w:pPr>
        <w:spacing w:after="160" w:line="300"/>
      </w:pPr>
      <w:r>
        <w:rPr>
          <w:b w:val="false"/>
          <w:bCs w:val="false"/>
          <w:i w:val="false"/>
          <w:iCs w:val="false"/>
          <w:color w:val="102F36"/>
          <w:sz w:val="21"/>
          <w:szCs w:val="21"/>
        </w:rPr>
        <w:t xml:space="preserve">DML2, DML3 and DML5 each end in an explicit capstone: The Executive Red Flag Challenge, The Cutover Command Challenge, The Team Leadership Challenge. These read as integration lessons, pulling the whole module together into one high-stakes scenario, distinct in kind from the teaching lessons before them — worth treating as a fixed structural element of the DML shape (module = five or six teaching lessons, then one capstone), not a one-off feature of those three modules.</w:t>
      </w:r>
    </w:p>
    <w:p>
      <w:pPr>
        <w:shd w:fill="FBF6E3" w:val="clear"/>
        <w:spacing w:after="200" w:before="100" w:line="280"/>
        <w:ind w:left="100" w:right="100"/>
      </w:pPr>
      <w:r>
        <w:rPr>
          <w:b/>
          <w:bCs/>
          <w:color w:val="005F6C"/>
          <w:sz w:val="20"/>
          <w:szCs w:val="20"/>
        </w:rPr>
        <w:t xml:space="preserve">Note: </w:t>
      </w:r>
      <w:r>
        <w:rPr>
          <w:i/>
          <w:iCs/>
          <w:color w:val="102F36"/>
          <w:sz w:val="20"/>
          <w:szCs w:val="20"/>
        </w:rPr>
        <w:t xml:space="preserve">DML4's current lesson set has no equivalent capstone — only 6 lessons, ending on “Governing Exceptions and Residual Risk”. An archived v1 draft does contain a 7th lesson, “The Audit and Governance Challenge”, that was never promoted to v2 alongside the other six. Worth confirming directly: was DML4's capstone deliberately cut, or does it still need finishing? Building DML4 as a 6-lesson module when it was meant to be 7 would break the pattern the other three modules establish.</w:t>
      </w:r>
    </w:p>
    <w:p>
      <w:pPr>
        <w:pStyle w:val="Heading2"/>
        <w:spacing w:after="120" w:before="280"/>
      </w:pPr>
      <w:r>
        <w:t xml:space="preserve">DML1's own curriculum boundary discipline — worth applying to DML2–5 too</w:t>
      </w:r>
    </w:p>
    <w:p>
      <w:pPr>
        <w:spacing w:after="160" w:line="300"/>
      </w:pPr>
      <w:r>
        <w:rPr>
          <w:b w:val="false"/>
          <w:bCs w:val="false"/>
          <w:i w:val="false"/>
          <w:iCs w:val="false"/>
          <w:color w:val="102F36"/>
          <w:sz w:val="21"/>
          <w:szCs w:val="21"/>
        </w:rPr>
        <w:t xml:space="preserve">Two places in the built DML1 needed a boundary check against the module that picks up the same territory next: Lesson 4's escalation content against DML2's executive-communication remit, and Lesson 8's capstone against DML5's team-leadership remit. Lesson 4 held its lane well on inspection — it stays on RAID/evidence integrity even under political pressure, rather than drifting into the sponsor-relationship skills DML2 actually owns. Lesson 8 needed a light trim — one block on “building habits into your team” was doing more delegation-teaching than a capstone hint should, so it was shortened to close on a forward pointer to DML5 rather than developing the theme itself. The general rule for DML2–5: when a later module's stated remit could plausibly cover something an earlier lesson touches on, check the earlier lesson actually stops at the boundary rather than assuming the title alone keeps it honest.</w:t>
      </w:r>
    </w:p>
    <w:p>
      <w:pPr>
        <w:pStyle w:val="Heading2"/>
        <w:spacing w:after="120" w:before="280"/>
      </w:pPr>
      <w:r>
        <w:t xml:space="preserve">Keep the Bramwell thread alive at leadership altitude</w:t>
      </w:r>
    </w:p>
    <w:p>
      <w:pPr>
        <w:spacing w:after="160" w:line="300"/>
      </w:pPr>
      <w:r>
        <w:rPr>
          <w:b w:val="false"/>
          <w:bCs w:val="false"/>
          <w:i w:val="false"/>
          <w:iCs w:val="false"/>
          <w:color w:val="102F36"/>
          <w:sz w:val="21"/>
          <w:szCs w:val="21"/>
        </w:rPr>
        <w:t xml:space="preserve">The same established facts should keep resurfacing rather than being re-invented per module: S20418's classification conflict, DEP-07/FA-009871, the 1,126 LegacyDocs unresolved links, the 18,530/18,612-strong customer population and its CustomerGroup 99 exceptions, the 286 product-site relationships outside the approved reference set. DML4 already reaches for DEP-07/FA-009871 unprompted, in its very first opening scenario — that's the standard to hold the rest of DML2, 3 and 5 to, not a coincidence specific to governance content. DML1 itself wasn't built with this discipline — its opening scenarios used entirely generic companies until its Lesson 1 and Lesson 2 manuscripts were revised to anchor explicitly to Bramwell, reusing the exact 42-UK-customers-in-Belgian-entity defect from Core 5 and the established 45E/CustomerGroup 99 threads rather than inventing new figures. That revised version is the standard the rest of DML1, and DML2–5, should match.</w:t>
      </w:r>
    </w:p>
    <w:p>
      <w:pPr>
        <w:pStyle w:val="Heading1"/>
        <w:spacing w:after="160" w:before="360"/>
      </w:pPr>
      <w:r>
        <w:t xml:space="preserve">Appendix: full module and lesson listing</w:t>
      </w:r>
    </w:p>
    <w:p>
      <w:pPr>
        <w:pStyle w:val="Heading2"/>
        <w:spacing w:after="120" w:before="280"/>
      </w:pPr>
      <w:r>
        <w:t xml:space="preserve">Core (shared foundation, both roles) — 7 modules, 5 lessons each unless noted</w:t>
      </w:r>
    </w:p>
    <w:p>
      <w:pPr>
        <w:pStyle w:val="Heading3"/>
        <w:spacing w:after="80" w:before="200"/>
      </w:pPr>
      <w:r>
        <w:t xml:space="preserve">Core 1 — Migration Fundamentals</w:t>
      </w:r>
    </w:p>
    <w:p>
      <w:pPr>
        <w:pStyle w:val="ListParagraph"/>
        <w:numPr>
          <w:ilvl w:val="0"/>
          <w:numId w:val="2"/>
        </w:numPr>
        <w:spacing w:after="80" w:line="290"/>
      </w:pPr>
      <w:r>
        <w:rPr>
          <w:color w:val="102F36"/>
          <w:sz w:val="21"/>
          <w:szCs w:val="21"/>
        </w:rPr>
        <w:t xml:space="preserve">Source systems, target systems and data models (confirmed lesson)</w:t>
      </w:r>
    </w:p>
    <w:p>
      <w:pPr>
        <w:pStyle w:val="ListParagraph"/>
        <w:numPr>
          <w:ilvl w:val="0"/>
          <w:numId w:val="2"/>
        </w:numPr>
        <w:spacing w:after="80" w:line="290"/>
      </w:pPr>
      <w:r>
        <w:rPr>
          <w:color w:val="102F36"/>
          <w:sz w:val="21"/>
          <w:szCs w:val="21"/>
        </w:rPr>
        <w:t xml:space="preserve">Other lessons in this module weren't directly to hand — worth adding once available</w:t>
      </w:r>
    </w:p>
    <w:p>
      <w:pPr>
        <w:pStyle w:val="Heading3"/>
        <w:spacing w:after="80" w:before="200"/>
      </w:pPr>
      <w:r>
        <w:t xml:space="preserve">Core 2 — Data Profiling &amp; Data Quality</w:t>
      </w:r>
    </w:p>
    <w:p>
      <w:pPr>
        <w:pStyle w:val="ListParagraph"/>
        <w:numPr>
          <w:ilvl w:val="0"/>
          <w:numId w:val="2"/>
        </w:numPr>
        <w:spacing w:after="80" w:line="290"/>
      </w:pPr>
      <w:r>
        <w:rPr>
          <w:color w:val="102F36"/>
          <w:sz w:val="21"/>
          <w:szCs w:val="21"/>
        </w:rPr>
        <w:t xml:space="preserve">Discovering the data landscape</w:t>
      </w:r>
    </w:p>
    <w:p>
      <w:pPr>
        <w:pStyle w:val="ListParagraph"/>
        <w:numPr>
          <w:ilvl w:val="0"/>
          <w:numId w:val="2"/>
        </w:numPr>
        <w:spacing w:after="80" w:line="290"/>
      </w:pPr>
      <w:r>
        <w:rPr>
          <w:color w:val="102F36"/>
          <w:sz w:val="21"/>
          <w:szCs w:val="21"/>
        </w:rPr>
        <w:t xml:space="preserve">Building the data inventory</w:t>
      </w:r>
    </w:p>
    <w:p>
      <w:pPr>
        <w:pStyle w:val="ListParagraph"/>
        <w:numPr>
          <w:ilvl w:val="0"/>
          <w:numId w:val="2"/>
        </w:numPr>
        <w:spacing w:after="80" w:line="290"/>
      </w:pPr>
      <w:r>
        <w:rPr>
          <w:color w:val="102F36"/>
          <w:sz w:val="21"/>
          <w:szCs w:val="21"/>
        </w:rPr>
        <w:t xml:space="preserve">Profiling data and finding what is really there</w:t>
      </w:r>
    </w:p>
    <w:p>
      <w:pPr>
        <w:pStyle w:val="ListParagraph"/>
        <w:numPr>
          <w:ilvl w:val="0"/>
          <w:numId w:val="2"/>
        </w:numPr>
        <w:spacing w:after="80" w:line="290"/>
      </w:pPr>
      <w:r>
        <w:rPr>
          <w:color w:val="102F36"/>
          <w:sz w:val="21"/>
          <w:szCs w:val="21"/>
        </w:rPr>
        <w:t xml:space="preserve">Turning data problems into a cleansing plan</w:t>
      </w:r>
    </w:p>
    <w:p>
      <w:pPr>
        <w:pStyle w:val="ListParagraph"/>
        <w:numPr>
          <w:ilvl w:val="0"/>
          <w:numId w:val="2"/>
        </w:numPr>
        <w:spacing w:after="80" w:line="290"/>
      </w:pPr>
      <w:r>
        <w:rPr>
          <w:color w:val="102F36"/>
          <w:sz w:val="21"/>
          <w:szCs w:val="21"/>
        </w:rPr>
        <w:t xml:space="preserve">Driving data quality improvement</w:t>
      </w:r>
    </w:p>
    <w:p>
      <w:pPr>
        <w:pStyle w:val="Heading3"/>
        <w:spacing w:after="80" w:before="200"/>
      </w:pPr>
      <w:r>
        <w:t xml:space="preserve">Core 3 — Transformations &amp; Business Rules</w:t>
      </w:r>
    </w:p>
    <w:p>
      <w:pPr>
        <w:pStyle w:val="ListParagraph"/>
        <w:numPr>
          <w:ilvl w:val="0"/>
          <w:numId w:val="2"/>
        </w:numPr>
        <w:spacing w:after="80" w:line="290"/>
      </w:pPr>
      <w:r>
        <w:rPr>
          <w:color w:val="102F36"/>
          <w:sz w:val="21"/>
          <w:szCs w:val="21"/>
        </w:rPr>
        <w:t xml:space="preserve">Source and target analysis</w:t>
      </w:r>
    </w:p>
    <w:p>
      <w:pPr>
        <w:pStyle w:val="ListParagraph"/>
        <w:numPr>
          <w:ilvl w:val="0"/>
          <w:numId w:val="2"/>
        </w:numPr>
        <w:spacing w:after="80" w:line="290"/>
      </w:pPr>
      <w:r>
        <w:rPr>
          <w:color w:val="102F36"/>
          <w:sz w:val="21"/>
          <w:szCs w:val="21"/>
        </w:rPr>
        <w:t xml:space="preserve">Field-level mapping</w:t>
      </w:r>
    </w:p>
    <w:p>
      <w:pPr>
        <w:pStyle w:val="ListParagraph"/>
        <w:numPr>
          <w:ilvl w:val="0"/>
          <w:numId w:val="2"/>
        </w:numPr>
        <w:spacing w:after="80" w:line="290"/>
      </w:pPr>
      <w:r>
        <w:rPr>
          <w:color w:val="102F36"/>
          <w:sz w:val="21"/>
          <w:szCs w:val="21"/>
        </w:rPr>
        <w:t xml:space="preserve">Transformations and defaults (confirmed — includes the CustomerGroup/default-rule lesson)</w:t>
      </w:r>
    </w:p>
    <w:p>
      <w:pPr>
        <w:pStyle w:val="ListParagraph"/>
        <w:numPr>
          <w:ilvl w:val="0"/>
          <w:numId w:val="2"/>
        </w:numPr>
        <w:spacing w:after="80" w:line="290"/>
      </w:pPr>
      <w:r>
        <w:rPr>
          <w:color w:val="102F36"/>
          <w:sz w:val="21"/>
          <w:szCs w:val="21"/>
        </w:rPr>
        <w:t xml:space="preserve">Reference data and dependencies</w:t>
      </w:r>
    </w:p>
    <w:p>
      <w:pPr>
        <w:pStyle w:val="ListParagraph"/>
        <w:numPr>
          <w:ilvl w:val="0"/>
          <w:numId w:val="2"/>
        </w:numPr>
        <w:spacing w:after="80" w:line="290"/>
      </w:pPr>
      <w:r>
        <w:rPr>
          <w:color w:val="102F36"/>
          <w:sz w:val="21"/>
          <w:szCs w:val="21"/>
        </w:rPr>
        <w:t xml:space="preserve">Mapping control and traceability</w:t>
      </w:r>
    </w:p>
    <w:p>
      <w:pPr>
        <w:pStyle w:val="ListParagraph"/>
        <w:numPr>
          <w:ilvl w:val="0"/>
          <w:numId w:val="2"/>
        </w:numPr>
        <w:spacing w:after="80" w:line="290"/>
      </w:pPr>
      <w:r>
        <w:rPr>
          <w:color w:val="102F36"/>
          <w:sz w:val="21"/>
          <w:szCs w:val="21"/>
        </w:rPr>
        <w:t xml:space="preserve">(five areas per the module's own assessment scope; exact lesson-to-area order beyond Lesson 3 is inferred, not confirmed)</w:t>
      </w:r>
    </w:p>
    <w:p>
      <w:pPr>
        <w:pStyle w:val="Heading3"/>
        <w:spacing w:after="80" w:before="200"/>
      </w:pPr>
      <w:r>
        <w:t xml:space="preserve">Core 4 — Pipelines, Staging &amp; Loading</w:t>
      </w:r>
    </w:p>
    <w:p>
      <w:pPr>
        <w:pStyle w:val="ListParagraph"/>
        <w:numPr>
          <w:ilvl w:val="0"/>
          <w:numId w:val="2"/>
        </w:numPr>
        <w:spacing w:after="80" w:line="290"/>
      </w:pPr>
      <w:r>
        <w:rPr>
          <w:color w:val="102F36"/>
          <w:sz w:val="21"/>
          <w:szCs w:val="21"/>
        </w:rPr>
        <w:t xml:space="preserve">Pipeline design</w:t>
      </w:r>
    </w:p>
    <w:p>
      <w:pPr>
        <w:pStyle w:val="ListParagraph"/>
        <w:numPr>
          <w:ilvl w:val="0"/>
          <w:numId w:val="2"/>
        </w:numPr>
        <w:spacing w:after="80" w:line="290"/>
      </w:pPr>
      <w:r>
        <w:rPr>
          <w:color w:val="102F36"/>
          <w:sz w:val="21"/>
          <w:szCs w:val="21"/>
        </w:rPr>
        <w:t xml:space="preserve">Staging</w:t>
      </w:r>
    </w:p>
    <w:p>
      <w:pPr>
        <w:pStyle w:val="ListParagraph"/>
        <w:numPr>
          <w:ilvl w:val="0"/>
          <w:numId w:val="2"/>
        </w:numPr>
        <w:spacing w:after="80" w:line="290"/>
      </w:pPr>
      <w:r>
        <w:rPr>
          <w:color w:val="102F36"/>
          <w:sz w:val="21"/>
          <w:szCs w:val="21"/>
        </w:rPr>
        <w:t xml:space="preserve">Transformations</w:t>
      </w:r>
    </w:p>
    <w:p>
      <w:pPr>
        <w:pStyle w:val="ListParagraph"/>
        <w:numPr>
          <w:ilvl w:val="0"/>
          <w:numId w:val="2"/>
        </w:numPr>
        <w:spacing w:after="80" w:line="290"/>
      </w:pPr>
      <w:r>
        <w:rPr>
          <w:color w:val="102F36"/>
          <w:sz w:val="21"/>
          <w:szCs w:val="21"/>
        </w:rPr>
        <w:t xml:space="preserve">Target loading</w:t>
      </w:r>
    </w:p>
    <w:p>
      <w:pPr>
        <w:pStyle w:val="ListParagraph"/>
        <w:numPr>
          <w:ilvl w:val="0"/>
          <w:numId w:val="2"/>
        </w:numPr>
        <w:spacing w:after="80" w:line="290"/>
      </w:pPr>
      <w:r>
        <w:rPr>
          <w:color w:val="102F36"/>
          <w:sz w:val="21"/>
          <w:szCs w:val="21"/>
        </w:rPr>
        <w:t xml:space="preserve">Errors and restartability</w:t>
      </w:r>
    </w:p>
    <w:p>
      <w:pPr>
        <w:pStyle w:val="ListParagraph"/>
        <w:numPr>
          <w:ilvl w:val="0"/>
          <w:numId w:val="2"/>
        </w:numPr>
        <w:spacing w:after="80" w:line="290"/>
      </w:pPr>
      <w:r>
        <w:rPr>
          <w:color w:val="102F36"/>
          <w:sz w:val="21"/>
          <w:szCs w:val="21"/>
        </w:rPr>
        <w:t xml:space="preserve">Repeatable cycles</w:t>
      </w:r>
    </w:p>
    <w:p>
      <w:pPr>
        <w:pStyle w:val="Heading3"/>
        <w:spacing w:after="80" w:before="200"/>
      </w:pPr>
      <w:r>
        <w:t xml:space="preserve">Core 5 — Validation &amp; Reconciliation</w:t>
      </w:r>
    </w:p>
    <w:p>
      <w:pPr>
        <w:pStyle w:val="ListParagraph"/>
        <w:numPr>
          <w:ilvl w:val="0"/>
          <w:numId w:val="2"/>
        </w:numPr>
        <w:spacing w:after="80" w:line="290"/>
      </w:pPr>
      <w:r>
        <w:rPr>
          <w:color w:val="102F36"/>
          <w:sz w:val="21"/>
          <w:szCs w:val="21"/>
        </w:rPr>
        <w:t xml:space="preserve">Proving completeness and accuracy</w:t>
      </w:r>
    </w:p>
    <w:p>
      <w:pPr>
        <w:pStyle w:val="ListParagraph"/>
        <w:numPr>
          <w:ilvl w:val="0"/>
          <w:numId w:val="2"/>
        </w:numPr>
        <w:spacing w:after="80" w:line="290"/>
      </w:pPr>
      <w:r>
        <w:rPr>
          <w:color w:val="102F36"/>
          <w:sz w:val="21"/>
          <w:szCs w:val="21"/>
        </w:rPr>
        <w:t xml:space="preserve">Reconciliation and explaining variances</w:t>
      </w:r>
    </w:p>
    <w:p>
      <w:pPr>
        <w:pStyle w:val="ListParagraph"/>
        <w:numPr>
          <w:ilvl w:val="0"/>
          <w:numId w:val="2"/>
        </w:numPr>
        <w:spacing w:after="80" w:line="290"/>
      </w:pPr>
      <w:r>
        <w:rPr>
          <w:color w:val="102F36"/>
          <w:sz w:val="21"/>
          <w:szCs w:val="21"/>
        </w:rPr>
        <w:t xml:space="preserve">Proving relationships and business usability</w:t>
      </w:r>
    </w:p>
    <w:p>
      <w:pPr>
        <w:pStyle w:val="ListParagraph"/>
        <w:numPr>
          <w:ilvl w:val="0"/>
          <w:numId w:val="2"/>
        </w:numPr>
        <w:spacing w:after="80" w:line="290"/>
      </w:pPr>
      <w:r>
        <w:rPr>
          <w:color w:val="102F36"/>
          <w:sz w:val="21"/>
          <w:szCs w:val="21"/>
        </w:rPr>
        <w:t xml:space="preserve">Investigating, correcting and retesting data</w:t>
      </w:r>
    </w:p>
    <w:p>
      <w:pPr>
        <w:pStyle w:val="ListParagraph"/>
        <w:numPr>
          <w:ilvl w:val="0"/>
          <w:numId w:val="2"/>
        </w:numPr>
        <w:spacing w:after="80" w:line="290"/>
      </w:pPr>
      <w:r>
        <w:rPr>
          <w:color w:val="102F36"/>
          <w:sz w:val="21"/>
          <w:szCs w:val="21"/>
        </w:rPr>
        <w:t xml:space="preserve">Evidence, acceptance and sign-off</w:t>
      </w:r>
    </w:p>
    <w:p>
      <w:pPr>
        <w:pStyle w:val="Heading3"/>
        <w:spacing w:after="80" w:before="200"/>
      </w:pPr>
      <w:r>
        <w:t xml:space="preserve">Core 6 — Data Migration Cycles &amp; Cutover</w:t>
      </w:r>
    </w:p>
    <w:p>
      <w:pPr>
        <w:pStyle w:val="ListParagraph"/>
        <w:numPr>
          <w:ilvl w:val="0"/>
          <w:numId w:val="2"/>
        </w:numPr>
        <w:spacing w:after="80" w:line="290"/>
      </w:pPr>
      <w:r>
        <w:rPr>
          <w:color w:val="102F36"/>
          <w:sz w:val="21"/>
          <w:szCs w:val="21"/>
        </w:rPr>
        <w:t xml:space="preserve">Why migration happens in cycles</w:t>
      </w:r>
    </w:p>
    <w:p>
      <w:pPr>
        <w:pStyle w:val="ListParagraph"/>
        <w:numPr>
          <w:ilvl w:val="0"/>
          <w:numId w:val="2"/>
        </w:numPr>
        <w:spacing w:after="80" w:line="290"/>
      </w:pPr>
      <w:r>
        <w:rPr>
          <w:color w:val="102F36"/>
          <w:sz w:val="21"/>
          <w:szCs w:val="21"/>
        </w:rPr>
        <w:t xml:space="preserve">Planning and executing a migration cycle</w:t>
      </w:r>
    </w:p>
    <w:p>
      <w:pPr>
        <w:pStyle w:val="ListParagraph"/>
        <w:numPr>
          <w:ilvl w:val="0"/>
          <w:numId w:val="2"/>
        </w:numPr>
        <w:spacing w:after="80" w:line="290"/>
      </w:pPr>
      <w:r>
        <w:rPr>
          <w:color w:val="102F36"/>
          <w:sz w:val="21"/>
          <w:szCs w:val="21"/>
        </w:rPr>
        <w:t xml:space="preserve">Learning, refining and improving between cycles</w:t>
      </w:r>
    </w:p>
    <w:p>
      <w:pPr>
        <w:pStyle w:val="ListParagraph"/>
        <w:numPr>
          <w:ilvl w:val="0"/>
          <w:numId w:val="2"/>
        </w:numPr>
        <w:spacing w:after="80" w:line="290"/>
      </w:pPr>
      <w:r>
        <w:rPr>
          <w:color w:val="102F36"/>
          <w:sz w:val="21"/>
          <w:szCs w:val="21"/>
        </w:rPr>
        <w:t xml:space="preserve">Preparing for production cutover</w:t>
      </w:r>
    </w:p>
    <w:p>
      <w:pPr>
        <w:pStyle w:val="ListParagraph"/>
        <w:numPr>
          <w:ilvl w:val="0"/>
          <w:numId w:val="2"/>
        </w:numPr>
        <w:spacing w:after="80" w:line="290"/>
      </w:pPr>
      <w:r>
        <w:rPr>
          <w:color w:val="102F36"/>
          <w:sz w:val="21"/>
          <w:szCs w:val="21"/>
        </w:rPr>
        <w:t xml:space="preserve">Executing cutover and stabilising afterwards</w:t>
      </w:r>
    </w:p>
    <w:p>
      <w:pPr>
        <w:pStyle w:val="Heading3"/>
        <w:spacing w:after="80" w:before="200"/>
      </w:pPr>
      <w:r>
        <w:t xml:space="preserve">Core 7 — Governance &amp; Stakeholder Management</w:t>
      </w:r>
    </w:p>
    <w:p>
      <w:pPr>
        <w:pStyle w:val="ListParagraph"/>
        <w:numPr>
          <w:ilvl w:val="0"/>
          <w:numId w:val="2"/>
        </w:numPr>
        <w:spacing w:after="80" w:line="290"/>
      </w:pPr>
      <w:r>
        <w:rPr>
          <w:color w:val="102F36"/>
          <w:sz w:val="21"/>
          <w:szCs w:val="21"/>
        </w:rPr>
        <w:t xml:space="preserve">Decision authority</w:t>
      </w:r>
    </w:p>
    <w:p>
      <w:pPr>
        <w:pStyle w:val="ListParagraph"/>
        <w:numPr>
          <w:ilvl w:val="0"/>
          <w:numId w:val="2"/>
        </w:numPr>
        <w:spacing w:after="80" w:line="290"/>
      </w:pPr>
      <w:r>
        <w:rPr>
          <w:color w:val="102F36"/>
          <w:sz w:val="21"/>
          <w:szCs w:val="21"/>
        </w:rPr>
        <w:t xml:space="preserve">Stakeholder engagement</w:t>
      </w:r>
    </w:p>
    <w:p>
      <w:pPr>
        <w:pStyle w:val="ListParagraph"/>
        <w:numPr>
          <w:ilvl w:val="0"/>
          <w:numId w:val="2"/>
        </w:numPr>
        <w:spacing w:after="80" w:line="290"/>
      </w:pPr>
      <w:r>
        <w:rPr>
          <w:color w:val="102F36"/>
          <w:sz w:val="21"/>
          <w:szCs w:val="21"/>
        </w:rPr>
        <w:t xml:space="preserve">Scope, issues, risks and decisions</w:t>
      </w:r>
    </w:p>
    <w:p>
      <w:pPr>
        <w:pStyle w:val="ListParagraph"/>
        <w:numPr>
          <w:ilvl w:val="0"/>
          <w:numId w:val="2"/>
        </w:numPr>
        <w:spacing w:after="80" w:line="290"/>
      </w:pPr>
      <w:r>
        <w:rPr>
          <w:color w:val="102F36"/>
          <w:sz w:val="21"/>
          <w:szCs w:val="21"/>
        </w:rPr>
        <w:t xml:space="preserve">Data controls, security and compliance</w:t>
      </w:r>
    </w:p>
    <w:p>
      <w:pPr>
        <w:pStyle w:val="ListParagraph"/>
        <w:numPr>
          <w:ilvl w:val="0"/>
          <w:numId w:val="2"/>
        </w:numPr>
        <w:spacing w:after="80" w:line="290"/>
      </w:pPr>
      <w:r>
        <w:rPr>
          <w:color w:val="102F36"/>
          <w:sz w:val="21"/>
          <w:szCs w:val="21"/>
        </w:rPr>
        <w:t xml:space="preserve">Escalation, evidence and professional accountability</w:t>
      </w:r>
    </w:p>
    <w:p>
      <w:pPr>
        <w:pStyle w:val="Heading2"/>
        <w:spacing w:after="120" w:before="280"/>
      </w:pPr>
      <w:r>
        <w:t xml:space="preserve">DMC (Data Migration Consultant) — 5 modules, 6 lessons each</w:t>
      </w:r>
    </w:p>
    <w:p>
      <w:pPr>
        <w:pStyle w:val="Heading3"/>
        <w:spacing w:after="80" w:before="200"/>
      </w:pPr>
      <w:r>
        <w:t xml:space="preserve">DMC1 — Building Migration Solutions</w:t>
      </w:r>
    </w:p>
    <w:p>
      <w:pPr>
        <w:pStyle w:val="ListParagraph"/>
        <w:numPr>
          <w:ilvl w:val="0"/>
          <w:numId w:val="2"/>
        </w:numPr>
        <w:spacing w:after="80" w:line="290"/>
      </w:pPr>
      <w:r>
        <w:rPr>
          <w:color w:val="102F36"/>
          <w:sz w:val="21"/>
          <w:szCs w:val="21"/>
        </w:rPr>
        <w:t xml:space="preserve">From mapping to migration logic</w:t>
      </w:r>
    </w:p>
    <w:p>
      <w:pPr>
        <w:pStyle w:val="ListParagraph"/>
        <w:numPr>
          <w:ilvl w:val="0"/>
          <w:numId w:val="2"/>
        </w:numPr>
        <w:spacing w:after="80" w:line="290"/>
      </w:pPr>
      <w:r>
        <w:rPr>
          <w:color w:val="102F36"/>
          <w:sz w:val="21"/>
          <w:szCs w:val="21"/>
        </w:rPr>
        <w:t xml:space="preserve">Working with SQL and staging data</w:t>
      </w:r>
    </w:p>
    <w:p>
      <w:pPr>
        <w:pStyle w:val="ListParagraph"/>
        <w:numPr>
          <w:ilvl w:val="0"/>
          <w:numId w:val="2"/>
        </w:numPr>
        <w:spacing w:after="80" w:line="290"/>
      </w:pPr>
      <w:r>
        <w:rPr>
          <w:color w:val="102F36"/>
          <w:sz w:val="21"/>
          <w:szCs w:val="21"/>
        </w:rPr>
        <w:t xml:space="preserve">Building an ETL pipeline</w:t>
      </w:r>
    </w:p>
    <w:p>
      <w:pPr>
        <w:pStyle w:val="ListParagraph"/>
        <w:numPr>
          <w:ilvl w:val="0"/>
          <w:numId w:val="2"/>
        </w:numPr>
        <w:spacing w:after="80" w:line="290"/>
      </w:pPr>
      <w:r>
        <w:rPr>
          <w:color w:val="102F36"/>
          <w:sz w:val="21"/>
          <w:szCs w:val="21"/>
        </w:rPr>
        <w:t xml:space="preserve">Building robust transformations</w:t>
      </w:r>
    </w:p>
    <w:p>
      <w:pPr>
        <w:pStyle w:val="ListParagraph"/>
        <w:numPr>
          <w:ilvl w:val="0"/>
          <w:numId w:val="2"/>
        </w:numPr>
        <w:spacing w:after="80" w:line="290"/>
      </w:pPr>
      <w:r>
        <w:rPr>
          <w:color w:val="102F36"/>
          <w:sz w:val="21"/>
          <w:szCs w:val="21"/>
        </w:rPr>
        <w:t xml:space="preserve">Logging errors and restartability</w:t>
      </w:r>
    </w:p>
    <w:p>
      <w:pPr>
        <w:pStyle w:val="ListParagraph"/>
        <w:numPr>
          <w:ilvl w:val="0"/>
          <w:numId w:val="2"/>
        </w:numPr>
        <w:spacing w:after="80" w:line="290"/>
      </w:pPr>
      <w:r>
        <w:rPr>
          <w:color w:val="102F36"/>
          <w:sz w:val="21"/>
          <w:szCs w:val="21"/>
        </w:rPr>
        <w:t xml:space="preserve">Making migration processes production ready</w:t>
      </w:r>
    </w:p>
    <w:p>
      <w:pPr>
        <w:pStyle w:val="Heading3"/>
        <w:spacing w:after="80" w:before="200"/>
      </w:pPr>
      <w:r>
        <w:t xml:space="preserve">DMC2 — Profiling, Cleansing &amp; Reference Data</w:t>
      </w:r>
    </w:p>
    <w:p>
      <w:pPr>
        <w:pStyle w:val="ListParagraph"/>
        <w:numPr>
          <w:ilvl w:val="0"/>
          <w:numId w:val="2"/>
        </w:numPr>
        <w:spacing w:after="80" w:line="290"/>
      </w:pPr>
      <w:r>
        <w:rPr>
          <w:color w:val="102F36"/>
          <w:sz w:val="21"/>
          <w:szCs w:val="21"/>
        </w:rPr>
        <w:t xml:space="preserve">Getting control of an unfamiliar dataset</w:t>
      </w:r>
    </w:p>
    <w:p>
      <w:pPr>
        <w:pStyle w:val="ListParagraph"/>
        <w:numPr>
          <w:ilvl w:val="0"/>
          <w:numId w:val="2"/>
        </w:numPr>
        <w:spacing w:after="80" w:line="290"/>
      </w:pPr>
      <w:r>
        <w:rPr>
          <w:color w:val="102F36"/>
          <w:sz w:val="21"/>
          <w:szCs w:val="21"/>
        </w:rPr>
        <w:t xml:space="preserve">Profiling data with SQL, Excel and Power Query</w:t>
      </w:r>
    </w:p>
    <w:p>
      <w:pPr>
        <w:pStyle w:val="ListParagraph"/>
        <w:numPr>
          <w:ilvl w:val="0"/>
          <w:numId w:val="2"/>
        </w:numPr>
        <w:spacing w:after="80" w:line="290"/>
      </w:pPr>
      <w:r>
        <w:rPr>
          <w:color w:val="102F36"/>
          <w:sz w:val="21"/>
          <w:szCs w:val="21"/>
        </w:rPr>
        <w:t xml:space="preserve">Building repeatable cleansing processes</w:t>
      </w:r>
    </w:p>
    <w:p>
      <w:pPr>
        <w:pStyle w:val="ListParagraph"/>
        <w:numPr>
          <w:ilvl w:val="0"/>
          <w:numId w:val="2"/>
        </w:numPr>
        <w:spacing w:after="80" w:line="290"/>
      </w:pPr>
      <w:r>
        <w:rPr>
          <w:color w:val="102F36"/>
          <w:sz w:val="21"/>
          <w:szCs w:val="21"/>
        </w:rPr>
        <w:t xml:space="preserve">Reference data, lookups and cross-references</w:t>
      </w:r>
    </w:p>
    <w:p>
      <w:pPr>
        <w:pStyle w:val="ListParagraph"/>
        <w:numPr>
          <w:ilvl w:val="0"/>
          <w:numId w:val="2"/>
        </w:numPr>
        <w:spacing w:after="80" w:line="290"/>
      </w:pPr>
      <w:r>
        <w:rPr>
          <w:color w:val="102F36"/>
          <w:sz w:val="21"/>
          <w:szCs w:val="21"/>
        </w:rPr>
        <w:t xml:space="preserve">Turning analysis into migration-ready outputs</w:t>
      </w:r>
    </w:p>
    <w:p>
      <w:pPr>
        <w:pStyle w:val="ListParagraph"/>
        <w:numPr>
          <w:ilvl w:val="0"/>
          <w:numId w:val="2"/>
        </w:numPr>
        <w:spacing w:after="80" w:line="290"/>
      </w:pPr>
      <w:r>
        <w:rPr>
          <w:color w:val="102F36"/>
          <w:sz w:val="21"/>
          <w:szCs w:val="21"/>
        </w:rPr>
        <w:t xml:space="preserve">Building your consultant data toolkit</w:t>
      </w:r>
    </w:p>
    <w:p>
      <w:pPr>
        <w:pStyle w:val="Heading3"/>
        <w:spacing w:after="80" w:before="200"/>
      </w:pPr>
      <w:r>
        <w:t xml:space="preserve">DMC3 — Diagnosing &amp; Fixing Defects</w:t>
      </w:r>
    </w:p>
    <w:p>
      <w:pPr>
        <w:pStyle w:val="ListParagraph"/>
        <w:numPr>
          <w:ilvl w:val="0"/>
          <w:numId w:val="2"/>
        </w:numPr>
        <w:spacing w:after="80" w:line="290"/>
      </w:pPr>
      <w:r>
        <w:rPr>
          <w:color w:val="102F36"/>
          <w:sz w:val="21"/>
          <w:szCs w:val="21"/>
        </w:rPr>
        <w:t xml:space="preserve">Diagnose before you fix</w:t>
      </w:r>
    </w:p>
    <w:p>
      <w:pPr>
        <w:pStyle w:val="ListParagraph"/>
        <w:numPr>
          <w:ilvl w:val="0"/>
          <w:numId w:val="2"/>
        </w:numPr>
        <w:spacing w:after="80" w:line="290"/>
      </w:pPr>
      <w:r>
        <w:rPr>
          <w:color w:val="102F36"/>
          <w:sz w:val="21"/>
          <w:szCs w:val="21"/>
        </w:rPr>
        <w:t xml:space="preserve">Investigating rejected records</w:t>
      </w:r>
    </w:p>
    <w:p>
      <w:pPr>
        <w:pStyle w:val="ListParagraph"/>
        <w:numPr>
          <w:ilvl w:val="0"/>
          <w:numId w:val="2"/>
        </w:numPr>
        <w:spacing w:after="80" w:line="290"/>
      </w:pPr>
      <w:r>
        <w:rPr>
          <w:color w:val="102F36"/>
          <w:sz w:val="21"/>
          <w:szCs w:val="21"/>
        </w:rPr>
        <w:t xml:space="preserve">When the load succeeds but the data is wrong</w:t>
      </w:r>
    </w:p>
    <w:p>
      <w:pPr>
        <w:pStyle w:val="ListParagraph"/>
        <w:numPr>
          <w:ilvl w:val="0"/>
          <w:numId w:val="2"/>
        </w:numPr>
        <w:spacing w:after="80" w:line="290"/>
      </w:pPr>
      <w:r>
        <w:rPr>
          <w:color w:val="102F36"/>
          <w:sz w:val="21"/>
          <w:szCs w:val="21"/>
        </w:rPr>
        <w:t xml:space="preserve">Relationship and dependency failures</w:t>
      </w:r>
    </w:p>
    <w:p>
      <w:pPr>
        <w:pStyle w:val="ListParagraph"/>
        <w:numPr>
          <w:ilvl w:val="0"/>
          <w:numId w:val="2"/>
        </w:numPr>
        <w:spacing w:after="80" w:line="290"/>
      </w:pPr>
      <w:r>
        <w:rPr>
          <w:color w:val="102F36"/>
          <w:sz w:val="21"/>
          <w:szCs w:val="21"/>
        </w:rPr>
        <w:t xml:space="preserve">Finding root cause</w:t>
      </w:r>
    </w:p>
    <w:p>
      <w:pPr>
        <w:pStyle w:val="ListParagraph"/>
        <w:numPr>
          <w:ilvl w:val="0"/>
          <w:numId w:val="2"/>
        </w:numPr>
        <w:spacing w:after="80" w:line="290"/>
      </w:pPr>
      <w:r>
        <w:rPr>
          <w:color w:val="102F36"/>
          <w:sz w:val="21"/>
          <w:szCs w:val="21"/>
        </w:rPr>
        <w:t xml:space="preserve">Fix, rerun and prove</w:t>
      </w:r>
    </w:p>
    <w:p>
      <w:pPr>
        <w:pStyle w:val="Heading3"/>
        <w:spacing w:after="80" w:before="200"/>
      </w:pPr>
      <w:r>
        <w:t xml:space="preserve">DMC4 — Communication &amp; Professional Practice</w:t>
      </w:r>
    </w:p>
    <w:p>
      <w:pPr>
        <w:pStyle w:val="ListParagraph"/>
        <w:numPr>
          <w:ilvl w:val="0"/>
          <w:numId w:val="2"/>
        </w:numPr>
        <w:spacing w:after="80" w:line="290"/>
      </w:pPr>
      <w:r>
        <w:rPr>
          <w:color w:val="102F36"/>
          <w:sz w:val="21"/>
          <w:szCs w:val="21"/>
        </w:rPr>
        <w:t xml:space="preserve">Communicating migration findings</w:t>
      </w:r>
    </w:p>
    <w:p>
      <w:pPr>
        <w:pStyle w:val="ListParagraph"/>
        <w:numPr>
          <w:ilvl w:val="0"/>
          <w:numId w:val="2"/>
        </w:numPr>
        <w:spacing w:after="80" w:line="290"/>
      </w:pPr>
      <w:r>
        <w:rPr>
          <w:color w:val="102F36"/>
          <w:sz w:val="21"/>
          <w:szCs w:val="21"/>
        </w:rPr>
        <w:t xml:space="preserve">Getting useful answers from SMEs</w:t>
      </w:r>
    </w:p>
    <w:p>
      <w:pPr>
        <w:pStyle w:val="ListParagraph"/>
        <w:numPr>
          <w:ilvl w:val="0"/>
          <w:numId w:val="2"/>
        </w:numPr>
        <w:spacing w:after="80" w:line="290"/>
      </w:pPr>
      <w:r>
        <w:rPr>
          <w:color w:val="102F36"/>
          <w:sz w:val="21"/>
          <w:szCs w:val="21"/>
        </w:rPr>
        <w:t xml:space="preserve">Running effective data workshops</w:t>
      </w:r>
    </w:p>
    <w:p>
      <w:pPr>
        <w:pStyle w:val="ListParagraph"/>
        <w:numPr>
          <w:ilvl w:val="0"/>
          <w:numId w:val="2"/>
        </w:numPr>
        <w:spacing w:after="80" w:line="290"/>
      </w:pPr>
      <w:r>
        <w:rPr>
          <w:color w:val="102F36"/>
          <w:sz w:val="21"/>
          <w:szCs w:val="21"/>
        </w:rPr>
        <w:t xml:space="preserve">Explaining defects, delays and bad news</w:t>
      </w:r>
    </w:p>
    <w:p>
      <w:pPr>
        <w:pStyle w:val="ListParagraph"/>
        <w:numPr>
          <w:ilvl w:val="0"/>
          <w:numId w:val="2"/>
        </w:numPr>
        <w:spacing w:after="80" w:line="290"/>
      </w:pPr>
      <w:r>
        <w:rPr>
          <w:color w:val="102F36"/>
          <w:sz w:val="21"/>
          <w:szCs w:val="21"/>
        </w:rPr>
        <w:t xml:space="preserve">Working inside a project team</w:t>
      </w:r>
    </w:p>
    <w:p>
      <w:pPr>
        <w:pStyle w:val="ListParagraph"/>
        <w:numPr>
          <w:ilvl w:val="0"/>
          <w:numId w:val="2"/>
        </w:numPr>
        <w:spacing w:after="80" w:line="290"/>
      </w:pPr>
      <w:r>
        <w:rPr>
          <w:color w:val="102F36"/>
          <w:sz w:val="21"/>
          <w:szCs w:val="21"/>
        </w:rPr>
        <w:t xml:space="preserve">Becoming the consultant people rely on</w:t>
      </w:r>
    </w:p>
    <w:p>
      <w:pPr>
        <w:pStyle w:val="Heading3"/>
        <w:spacing w:after="80" w:before="200"/>
      </w:pPr>
      <w:r>
        <w:t xml:space="preserve">DMC5 — Executing Cycles &amp; Cutover</w:t>
      </w:r>
    </w:p>
    <w:p>
      <w:pPr>
        <w:pStyle w:val="ListParagraph"/>
        <w:numPr>
          <w:ilvl w:val="0"/>
          <w:numId w:val="2"/>
        </w:numPr>
        <w:spacing w:after="80" w:line="290"/>
      </w:pPr>
      <w:r>
        <w:rPr>
          <w:color w:val="102F36"/>
          <w:sz w:val="21"/>
          <w:szCs w:val="21"/>
        </w:rPr>
        <w:t xml:space="preserve">Preparing for a migration cycle</w:t>
      </w:r>
    </w:p>
    <w:p>
      <w:pPr>
        <w:pStyle w:val="ListParagraph"/>
        <w:numPr>
          <w:ilvl w:val="0"/>
          <w:numId w:val="2"/>
        </w:numPr>
        <w:spacing w:after="80" w:line="290"/>
      </w:pPr>
      <w:r>
        <w:rPr>
          <w:color w:val="102F36"/>
          <w:sz w:val="21"/>
          <w:szCs w:val="21"/>
        </w:rPr>
        <w:t xml:space="preserve">Executing a controlled migration</w:t>
      </w:r>
    </w:p>
    <w:p>
      <w:pPr>
        <w:pStyle w:val="ListParagraph"/>
        <w:numPr>
          <w:ilvl w:val="0"/>
          <w:numId w:val="2"/>
        </w:numPr>
        <w:spacing w:after="80" w:line="290"/>
      </w:pPr>
      <w:r>
        <w:rPr>
          <w:color w:val="102F36"/>
          <w:sz w:val="21"/>
          <w:szCs w:val="21"/>
        </w:rPr>
        <w:t xml:space="preserve">Managing failures and reruns</w:t>
      </w:r>
    </w:p>
    <w:p>
      <w:pPr>
        <w:pStyle w:val="ListParagraph"/>
        <w:numPr>
          <w:ilvl w:val="0"/>
          <w:numId w:val="2"/>
        </w:numPr>
        <w:spacing w:after="80" w:line="290"/>
      </w:pPr>
      <w:r>
        <w:rPr>
          <w:color w:val="102F36"/>
          <w:sz w:val="21"/>
          <w:szCs w:val="21"/>
        </w:rPr>
        <w:t xml:space="preserve">Validating your migration execution</w:t>
      </w:r>
    </w:p>
    <w:p>
      <w:pPr>
        <w:pStyle w:val="ListParagraph"/>
        <w:numPr>
          <w:ilvl w:val="0"/>
          <w:numId w:val="2"/>
        </w:numPr>
        <w:spacing w:after="80" w:line="290"/>
      </w:pPr>
      <w:r>
        <w:rPr>
          <w:color w:val="102F36"/>
          <w:sz w:val="21"/>
          <w:szCs w:val="21"/>
        </w:rPr>
        <w:t xml:space="preserve">Preparing your migration for cutover</w:t>
      </w:r>
    </w:p>
    <w:p>
      <w:pPr>
        <w:pStyle w:val="ListParagraph"/>
        <w:numPr>
          <w:ilvl w:val="0"/>
          <w:numId w:val="2"/>
        </w:numPr>
        <w:spacing w:after="80" w:line="290"/>
      </w:pPr>
      <w:r>
        <w:rPr>
          <w:color w:val="102F36"/>
          <w:sz w:val="21"/>
          <w:szCs w:val="21"/>
        </w:rPr>
        <w:t xml:space="preserve">Executing cutover and supporting stabilisation</w:t>
      </w:r>
    </w:p>
    <w:p>
      <w:pPr>
        <w:pStyle w:val="Heading2"/>
        <w:spacing w:after="120" w:before="280"/>
      </w:pPr>
      <w:r>
        <w:t xml:space="preserve">DML (Data Migration Lead) — 5 modules, 6–7 lessons each</w:t>
      </w:r>
    </w:p>
    <w:p>
      <w:pPr>
        <w:pStyle w:val="Heading3"/>
        <w:spacing w:after="80" w:before="200"/>
      </w:pPr>
      <w:r>
        <w:t xml:space="preserve">DML1 — Leading the Migration Workstream</w:t>
      </w:r>
    </w:p>
    <w:p>
      <w:pPr>
        <w:pStyle w:val="ListParagraph"/>
        <w:numPr>
          <w:ilvl w:val="0"/>
          <w:numId w:val="2"/>
        </w:numPr>
        <w:spacing w:after="80" w:line="290"/>
      </w:pPr>
      <w:r>
        <w:rPr>
          <w:color w:val="102F36"/>
          <w:sz w:val="21"/>
          <w:szCs w:val="21"/>
        </w:rPr>
        <w:t xml:space="preserve">Thinking like a Data Migration Lead: Making evidence-based decisions</w:t>
      </w:r>
    </w:p>
    <w:p>
      <w:pPr>
        <w:pStyle w:val="ListParagraph"/>
        <w:numPr>
          <w:ilvl w:val="0"/>
          <w:numId w:val="2"/>
        </w:numPr>
        <w:spacing w:after="80" w:line="290"/>
      </w:pPr>
      <w:r>
        <w:rPr>
          <w:color w:val="102F36"/>
          <w:sz w:val="21"/>
          <w:szCs w:val="21"/>
        </w:rPr>
        <w:t xml:space="preserve">Owning the migration workstream: from mindset to accountability (DML Control Triangle)</w:t>
      </w:r>
    </w:p>
    <w:p>
      <w:pPr>
        <w:pStyle w:val="ListParagraph"/>
        <w:numPr>
          <w:ilvl w:val="0"/>
          <w:numId w:val="2"/>
        </w:numPr>
        <w:spacing w:after="80" w:line="290"/>
      </w:pPr>
      <w:r>
        <w:rPr>
          <w:color w:val="102F36"/>
          <w:sz w:val="21"/>
          <w:szCs w:val="21"/>
        </w:rPr>
        <w:t xml:space="preserve">Defending the scope boundary: scope, governance and the PMO</w:t>
      </w:r>
    </w:p>
    <w:p>
      <w:pPr>
        <w:pStyle w:val="ListParagraph"/>
        <w:numPr>
          <w:ilvl w:val="0"/>
          <w:numId w:val="2"/>
        </w:numPr>
        <w:spacing w:after="80" w:line="290"/>
      </w:pPr>
      <w:r>
        <w:rPr>
          <w:color w:val="102F36"/>
          <w:sz w:val="21"/>
          <w:szCs w:val="21"/>
        </w:rPr>
        <w:t xml:space="preserve">Escalation that protects the date: escalation pathways and RAID-Plus</w:t>
      </w:r>
    </w:p>
    <w:p>
      <w:pPr>
        <w:pStyle w:val="ListParagraph"/>
        <w:numPr>
          <w:ilvl w:val="0"/>
          <w:numId w:val="2"/>
        </w:numPr>
        <w:spacing w:after="80" w:line="290"/>
      </w:pPr>
      <w:r>
        <w:rPr>
          <w:color w:val="102F36"/>
          <w:sz w:val="21"/>
          <w:szCs w:val="21"/>
        </w:rPr>
        <w:t xml:space="preserve">Reading the room: RAG status, weak signals and early warning</w:t>
      </w:r>
    </w:p>
    <w:p>
      <w:pPr>
        <w:pStyle w:val="ListParagraph"/>
        <w:numPr>
          <w:ilvl w:val="0"/>
          <w:numId w:val="2"/>
        </w:numPr>
        <w:spacing w:after="80" w:line="290"/>
      </w:pPr>
      <w:r>
        <w:rPr>
          <w:color w:val="102F36"/>
          <w:sz w:val="21"/>
          <w:szCs w:val="21"/>
        </w:rPr>
        <w:t xml:space="preserve">When it's genuinely bad news: managing surprises and PMO/steering reporting</w:t>
      </w:r>
    </w:p>
    <w:p>
      <w:pPr>
        <w:pStyle w:val="ListParagraph"/>
        <w:numPr>
          <w:ilvl w:val="0"/>
          <w:numId w:val="2"/>
        </w:numPr>
        <w:spacing w:after="80" w:line="290"/>
      </w:pPr>
      <w:r>
        <w:rPr>
          <w:color w:val="102F36"/>
          <w:sz w:val="21"/>
          <w:szCs w:val="21"/>
        </w:rPr>
        <w:t xml:space="preserve">A cadence that holds: structured meetings, decision logs and cross-workstream alignment</w:t>
      </w:r>
    </w:p>
    <w:p>
      <w:pPr>
        <w:pStyle w:val="ListParagraph"/>
        <w:numPr>
          <w:ilvl w:val="0"/>
          <w:numId w:val="2"/>
        </w:numPr>
        <w:spacing w:after="80" w:line="290"/>
      </w:pPr>
      <w:r>
        <w:rPr>
          <w:color w:val="102F36"/>
          <w:sz w:val="21"/>
          <w:szCs w:val="21"/>
        </w:rPr>
        <w:t xml:space="preserve">From workstream to leadership: applying it all, and evolving beyond your first migration</w:t>
      </w:r>
    </w:p>
    <w:p>
      <w:pPr>
        <w:pStyle w:val="Heading3"/>
        <w:spacing w:after="80" w:before="200"/>
      </w:pPr>
      <w:r>
        <w:t xml:space="preserve">DML2 — Executive Communication &amp; Risk Escalation</w:t>
      </w:r>
    </w:p>
    <w:p>
      <w:pPr>
        <w:pStyle w:val="ListParagraph"/>
        <w:numPr>
          <w:ilvl w:val="0"/>
          <w:numId w:val="2"/>
        </w:numPr>
        <w:spacing w:after="80" w:line="290"/>
      </w:pPr>
      <w:r>
        <w:rPr>
          <w:color w:val="102F36"/>
          <w:sz w:val="21"/>
          <w:szCs w:val="21"/>
        </w:rPr>
        <w:t xml:space="preserve">Thinking like an executive communicator</w:t>
      </w:r>
    </w:p>
    <w:p>
      <w:pPr>
        <w:pStyle w:val="ListParagraph"/>
        <w:numPr>
          <w:ilvl w:val="0"/>
          <w:numId w:val="2"/>
        </w:numPr>
        <w:spacing w:after="80" w:line="290"/>
      </w:pPr>
      <w:r>
        <w:rPr>
          <w:color w:val="102F36"/>
          <w:sz w:val="21"/>
          <w:szCs w:val="21"/>
        </w:rPr>
        <w:t xml:space="preserve">Building the Sponsor View</w:t>
      </w:r>
    </w:p>
    <w:p>
      <w:pPr>
        <w:pStyle w:val="ListParagraph"/>
        <w:numPr>
          <w:ilvl w:val="0"/>
          <w:numId w:val="2"/>
        </w:numPr>
        <w:spacing w:after="80" w:line="290"/>
      </w:pPr>
      <w:r>
        <w:rPr>
          <w:color w:val="102F36"/>
          <w:sz w:val="21"/>
          <w:szCs w:val="21"/>
        </w:rPr>
        <w:t xml:space="preserve">Escalating with Judgement</w:t>
      </w:r>
    </w:p>
    <w:p>
      <w:pPr>
        <w:pStyle w:val="ListParagraph"/>
        <w:numPr>
          <w:ilvl w:val="0"/>
          <w:numId w:val="2"/>
        </w:numPr>
        <w:spacing w:after="80" w:line="290"/>
      </w:pPr>
      <w:r>
        <w:rPr>
          <w:color w:val="102F36"/>
          <w:sz w:val="21"/>
          <w:szCs w:val="21"/>
        </w:rPr>
        <w:t xml:space="preserve">Owning the Migration Narrative</w:t>
      </w:r>
    </w:p>
    <w:p>
      <w:pPr>
        <w:pStyle w:val="ListParagraph"/>
        <w:numPr>
          <w:ilvl w:val="0"/>
          <w:numId w:val="2"/>
        </w:numPr>
        <w:spacing w:after="80" w:line="290"/>
      </w:pPr>
      <w:r>
        <w:rPr>
          <w:color w:val="102F36"/>
          <w:sz w:val="21"/>
          <w:szCs w:val="21"/>
        </w:rPr>
        <w:t xml:space="preserve">Handling Difficult Executive Conversations</w:t>
      </w:r>
    </w:p>
    <w:p>
      <w:pPr>
        <w:pStyle w:val="ListParagraph"/>
        <w:numPr>
          <w:ilvl w:val="0"/>
          <w:numId w:val="2"/>
        </w:numPr>
        <w:spacing w:after="80" w:line="290"/>
      </w:pPr>
      <w:r>
        <w:rPr>
          <w:color w:val="102F36"/>
          <w:sz w:val="21"/>
          <w:szCs w:val="21"/>
        </w:rPr>
        <w:t xml:space="preserve">Leading Through Risk and Disagreement</w:t>
      </w:r>
    </w:p>
    <w:p>
      <w:pPr>
        <w:pStyle w:val="ListParagraph"/>
        <w:numPr>
          <w:ilvl w:val="0"/>
          <w:numId w:val="2"/>
        </w:numPr>
        <w:spacing w:after="80" w:line="290"/>
      </w:pPr>
      <w:r>
        <w:rPr>
          <w:color w:val="102F36"/>
          <w:sz w:val="21"/>
          <w:szCs w:val="21"/>
        </w:rPr>
        <w:t xml:space="preserve">The Executive Red Flag Challenge</w:t>
      </w:r>
    </w:p>
    <w:p>
      <w:pPr>
        <w:pStyle w:val="Heading3"/>
        <w:spacing w:after="80" w:before="200"/>
      </w:pPr>
      <w:r>
        <w:t xml:space="preserve">DML3 — Cutover Strategy &amp; Go-Live Governance</w:t>
      </w:r>
    </w:p>
    <w:p>
      <w:pPr>
        <w:pStyle w:val="ListParagraph"/>
        <w:numPr>
          <w:ilvl w:val="0"/>
          <w:numId w:val="2"/>
        </w:numPr>
        <w:spacing w:after="80" w:line="290"/>
      </w:pPr>
      <w:r>
        <w:rPr>
          <w:color w:val="102F36"/>
          <w:sz w:val="21"/>
          <w:szCs w:val="21"/>
        </w:rPr>
        <w:t xml:space="preserve">Thinking like a cutover leader</w:t>
      </w:r>
    </w:p>
    <w:p>
      <w:pPr>
        <w:pStyle w:val="ListParagraph"/>
        <w:numPr>
          <w:ilvl w:val="0"/>
          <w:numId w:val="2"/>
        </w:numPr>
        <w:spacing w:after="80" w:line="290"/>
      </w:pPr>
      <w:r>
        <w:rPr>
          <w:color w:val="102F36"/>
          <w:sz w:val="21"/>
          <w:szCs w:val="21"/>
        </w:rPr>
        <w:t xml:space="preserve">Building the Go/No-Go Architecture</w:t>
      </w:r>
    </w:p>
    <w:p>
      <w:pPr>
        <w:pStyle w:val="ListParagraph"/>
        <w:numPr>
          <w:ilvl w:val="0"/>
          <w:numId w:val="2"/>
        </w:numPr>
        <w:spacing w:after="80" w:line="290"/>
      </w:pPr>
      <w:r>
        <w:rPr>
          <w:color w:val="102F36"/>
          <w:sz w:val="21"/>
          <w:szCs w:val="21"/>
        </w:rPr>
        <w:t xml:space="preserve">Orchestrating the Integrated Cutover</w:t>
      </w:r>
    </w:p>
    <w:p>
      <w:pPr>
        <w:pStyle w:val="ListParagraph"/>
        <w:numPr>
          <w:ilvl w:val="0"/>
          <w:numId w:val="2"/>
        </w:numPr>
        <w:spacing w:after="80" w:line="290"/>
      </w:pPr>
      <w:r>
        <w:rPr>
          <w:color w:val="102F36"/>
          <w:sz w:val="21"/>
          <w:szCs w:val="21"/>
        </w:rPr>
        <w:t xml:space="preserve">Using Rehearsal Evidence to Prove Readiness</w:t>
      </w:r>
    </w:p>
    <w:p>
      <w:pPr>
        <w:pStyle w:val="ListParagraph"/>
        <w:numPr>
          <w:ilvl w:val="0"/>
          <w:numId w:val="2"/>
        </w:numPr>
        <w:spacing w:after="80" w:line="290"/>
      </w:pPr>
      <w:r>
        <w:rPr>
          <w:color w:val="102F36"/>
          <w:sz w:val="21"/>
          <w:szCs w:val="21"/>
        </w:rPr>
        <w:t xml:space="preserve">Leading the Cutover Command Centre</w:t>
      </w:r>
    </w:p>
    <w:p>
      <w:pPr>
        <w:pStyle w:val="ListParagraph"/>
        <w:numPr>
          <w:ilvl w:val="0"/>
          <w:numId w:val="2"/>
        </w:numPr>
        <w:spacing w:after="80" w:line="290"/>
      </w:pPr>
      <w:r>
        <w:rPr>
          <w:color w:val="102F36"/>
          <w:sz w:val="21"/>
          <w:szCs w:val="21"/>
        </w:rPr>
        <w:t xml:space="preserve">Making Live Cutover Decisions</w:t>
      </w:r>
    </w:p>
    <w:p>
      <w:pPr>
        <w:pStyle w:val="ListParagraph"/>
        <w:numPr>
          <w:ilvl w:val="0"/>
          <w:numId w:val="2"/>
        </w:numPr>
        <w:spacing w:after="80" w:line="290"/>
      </w:pPr>
      <w:r>
        <w:rPr>
          <w:color w:val="102F36"/>
          <w:sz w:val="21"/>
          <w:szCs w:val="21"/>
        </w:rPr>
        <w:t xml:space="preserve">The Cutover Command Challenge</w:t>
      </w:r>
    </w:p>
    <w:p>
      <w:pPr>
        <w:pStyle w:val="Heading3"/>
        <w:spacing w:after="80" w:before="200"/>
      </w:pPr>
      <w:r>
        <w:t xml:space="preserve">DML4 — Audit, Compliance &amp; Data Governance</w:t>
      </w:r>
    </w:p>
    <w:p>
      <w:pPr>
        <w:pStyle w:val="ListParagraph"/>
        <w:numPr>
          <w:ilvl w:val="0"/>
          <w:numId w:val="2"/>
        </w:numPr>
        <w:spacing w:after="80" w:line="290"/>
      </w:pPr>
      <w:r>
        <w:rPr>
          <w:color w:val="102F36"/>
          <w:sz w:val="21"/>
          <w:szCs w:val="21"/>
        </w:rPr>
        <w:t xml:space="preserve">Thinking like a Data Governance Lead</w:t>
      </w:r>
    </w:p>
    <w:p>
      <w:pPr>
        <w:pStyle w:val="ListParagraph"/>
        <w:numPr>
          <w:ilvl w:val="0"/>
          <w:numId w:val="2"/>
        </w:numPr>
        <w:spacing w:after="80" w:line="290"/>
      </w:pPr>
      <w:r>
        <w:rPr>
          <w:color w:val="102F36"/>
          <w:sz w:val="21"/>
          <w:szCs w:val="21"/>
        </w:rPr>
        <w:t xml:space="preserve">Owning Data Decisions and Decision Rights</w:t>
      </w:r>
    </w:p>
    <w:p>
      <w:pPr>
        <w:pStyle w:val="ListParagraph"/>
        <w:numPr>
          <w:ilvl w:val="0"/>
          <w:numId w:val="2"/>
        </w:numPr>
        <w:spacing w:after="80" w:line="290"/>
      </w:pPr>
      <w:r>
        <w:rPr>
          <w:color w:val="102F36"/>
          <w:sz w:val="21"/>
          <w:szCs w:val="21"/>
        </w:rPr>
        <w:t xml:space="preserve">Building Lineage and Traceability</w:t>
      </w:r>
    </w:p>
    <w:p>
      <w:pPr>
        <w:pStyle w:val="ListParagraph"/>
        <w:numPr>
          <w:ilvl w:val="0"/>
          <w:numId w:val="2"/>
        </w:numPr>
        <w:spacing w:after="80" w:line="290"/>
      </w:pPr>
      <w:r>
        <w:rPr>
          <w:color w:val="102F36"/>
          <w:sz w:val="21"/>
          <w:szCs w:val="21"/>
        </w:rPr>
        <w:t xml:space="preserve">Building the Audit Evidence Pack</w:t>
      </w:r>
    </w:p>
    <w:p>
      <w:pPr>
        <w:pStyle w:val="ListParagraph"/>
        <w:numPr>
          <w:ilvl w:val="0"/>
          <w:numId w:val="2"/>
        </w:numPr>
        <w:spacing w:after="80" w:line="290"/>
      </w:pPr>
      <w:r>
        <w:rPr>
          <w:color w:val="102F36"/>
          <w:sz w:val="21"/>
          <w:szCs w:val="21"/>
        </w:rPr>
        <w:t xml:space="preserve">Controlling Access, Retention and Sensitive Data</w:t>
      </w:r>
    </w:p>
    <w:p>
      <w:pPr>
        <w:pStyle w:val="ListParagraph"/>
        <w:numPr>
          <w:ilvl w:val="0"/>
          <w:numId w:val="2"/>
        </w:numPr>
        <w:spacing w:after="80" w:line="290"/>
      </w:pPr>
      <w:r>
        <w:rPr>
          <w:color w:val="102F36"/>
          <w:sz w:val="21"/>
          <w:szCs w:val="21"/>
        </w:rPr>
        <w:t xml:space="preserve">Governing Exceptions and Residual Risk</w:t>
      </w:r>
    </w:p>
    <w:p>
      <w:pPr>
        <w:pStyle w:val="Heading3"/>
        <w:spacing w:after="80" w:before="200"/>
      </w:pPr>
      <w:r>
        <w:t xml:space="preserve">DML5 — Team Leadership &amp; Partner Coordination</w:t>
      </w:r>
    </w:p>
    <w:p>
      <w:pPr>
        <w:pStyle w:val="ListParagraph"/>
        <w:numPr>
          <w:ilvl w:val="0"/>
          <w:numId w:val="2"/>
        </w:numPr>
        <w:spacing w:after="80" w:line="290"/>
      </w:pPr>
      <w:r>
        <w:rPr>
          <w:color w:val="102F36"/>
          <w:sz w:val="21"/>
          <w:szCs w:val="21"/>
        </w:rPr>
        <w:t xml:space="preserve">Thinking like a migration team leader</w:t>
      </w:r>
    </w:p>
    <w:p>
      <w:pPr>
        <w:pStyle w:val="ListParagraph"/>
        <w:numPr>
          <w:ilvl w:val="0"/>
          <w:numId w:val="2"/>
        </w:numPr>
        <w:spacing w:after="80" w:line="290"/>
      </w:pPr>
      <w:r>
        <w:rPr>
          <w:color w:val="102F36"/>
          <w:sz w:val="21"/>
          <w:szCs w:val="21"/>
        </w:rPr>
        <w:t xml:space="preserve">Building the Migration Team</w:t>
      </w:r>
    </w:p>
    <w:p>
      <w:pPr>
        <w:pStyle w:val="ListParagraph"/>
        <w:numPr>
          <w:ilvl w:val="0"/>
          <w:numId w:val="2"/>
        </w:numPr>
        <w:spacing w:after="80" w:line="290"/>
      </w:pPr>
      <w:r>
        <w:rPr>
          <w:color w:val="102F36"/>
          <w:sz w:val="21"/>
          <w:szCs w:val="21"/>
        </w:rPr>
        <w:t xml:space="preserve">Delegating Without Losing Control</w:t>
      </w:r>
    </w:p>
    <w:p>
      <w:pPr>
        <w:pStyle w:val="ListParagraph"/>
        <w:numPr>
          <w:ilvl w:val="0"/>
          <w:numId w:val="2"/>
        </w:numPr>
        <w:spacing w:after="80" w:line="290"/>
      </w:pPr>
      <w:r>
        <w:rPr>
          <w:color w:val="102F36"/>
          <w:sz w:val="21"/>
          <w:szCs w:val="21"/>
        </w:rPr>
        <w:t xml:space="preserve">Leading Partners and Vendors</w:t>
      </w:r>
    </w:p>
    <w:p>
      <w:pPr>
        <w:pStyle w:val="ListParagraph"/>
        <w:numPr>
          <w:ilvl w:val="0"/>
          <w:numId w:val="2"/>
        </w:numPr>
        <w:spacing w:after="80" w:line="290"/>
      </w:pPr>
      <w:r>
        <w:rPr>
          <w:color w:val="102F36"/>
          <w:sz w:val="21"/>
          <w:szCs w:val="21"/>
        </w:rPr>
        <w:t xml:space="preserve">Handling Conflict and Underperformance</w:t>
      </w:r>
    </w:p>
    <w:p>
      <w:pPr>
        <w:pStyle w:val="ListParagraph"/>
        <w:numPr>
          <w:ilvl w:val="0"/>
          <w:numId w:val="2"/>
        </w:numPr>
        <w:spacing w:after="80" w:line="290"/>
      </w:pPr>
      <w:r>
        <w:rPr>
          <w:color w:val="102F36"/>
          <w:sz w:val="21"/>
          <w:szCs w:val="21"/>
        </w:rPr>
        <w:t xml:space="preserve">Building Resilience Into the Team</w:t>
      </w:r>
    </w:p>
    <w:p>
      <w:pPr>
        <w:pStyle w:val="ListParagraph"/>
        <w:numPr>
          <w:ilvl w:val="0"/>
          <w:numId w:val="2"/>
        </w:numPr>
        <w:spacing w:after="80" w:line="290"/>
      </w:pPr>
      <w:r>
        <w:rPr>
          <w:color w:val="102F36"/>
          <w:sz w:val="21"/>
          <w:szCs w:val="21"/>
        </w:rPr>
        <w:t xml:space="preserve">The Team Leadership Challenge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9E9" w:sz="6" w:space="4"/>
      </w:pBdr>
      <w:spacing w:after="160" w:before="360"/>
    </w:pPr>
    <w:rPr>
      <w:rFonts w:ascii="Calibri" w:cs="Calibri" w:eastAsia="Calibri" w:hAnsi="Calibri"/>
      <w:b/>
      <w:bCs/>
      <w:color w:val="0B7F8E"/>
      <w:sz w:val="30"/>
      <w:szCs w:val="30"/>
    </w:rPr>
  </w:style>
  <w:style w:type="paragraph" w:styleId="Heading2">
    <w:name w:val="Heading 2"/>
    <w:basedOn w:val="Normal"/>
    <w:next w:val="Normal"/>
    <w:qFormat/>
    <w:pPr>
      <w:spacing w:after="120" w:before="280"/>
    </w:pPr>
    <w:rPr>
      <w:rFonts w:ascii="Calibri" w:cs="Calibri" w:eastAsia="Calibri" w:hAnsi="Calibri"/>
      <w:b/>
      <w:bCs/>
      <w:color w:val="005F6C"/>
      <w:sz w:val="25"/>
      <w:szCs w:val="25"/>
    </w:rPr>
  </w:style>
  <w:style w:type="paragraph" w:styleId="Heading3">
    <w:name w:val="Heading 3"/>
    <w:basedOn w:val="Normal"/>
    <w:next w:val="Normal"/>
    <w:qFormat/>
    <w:pPr>
      <w:spacing w:after="80" w:before="200"/>
    </w:pPr>
    <w:rPr>
      <w:rFonts w:ascii="Calibri" w:cs="Calibri" w:eastAsia="Calibri" w:hAnsi="Calibri"/>
      <w:b/>
      <w:bCs/>
      <w:color w:val="0B7F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2026-09-12T07:59:33.435Z</dcterms:created>
  <dcterms:modified xsi:type="dcterms:W3CDTF">2026-09-12T07:59:33.445Z</dcterms:modified>
</cp:coreProperties>
</file>

<file path=docProps/custom.xml><?xml version="1.0" encoding="utf-8"?>
<Properties xmlns="http://schemas.openxmlformats.org/officeDocument/2006/custom-properties" xmlns:vt="http://schemas.openxmlformats.org/officeDocument/2006/docPropsVTypes"/>
</file>