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D4D" w:rsidRDefault="00917D4D" w:rsidP="009E3679">
      <w:pPr>
        <w:jc w:val="center"/>
        <w:rPr>
          <w:rFonts w:cs="Arial"/>
          <w:b/>
          <w:color w:val="333333"/>
          <w:sz w:val="36"/>
          <w:szCs w:val="36"/>
        </w:rPr>
      </w:pPr>
      <w:bookmarkStart w:id="0" w:name="_GoBack"/>
      <w:bookmarkEnd w:id="0"/>
    </w:p>
    <w:p w:rsidR="006E6CD1" w:rsidRDefault="006E6CD1" w:rsidP="009E3679">
      <w:pPr>
        <w:jc w:val="center"/>
        <w:rPr>
          <w:rFonts w:cs="Arial"/>
          <w:b/>
          <w:color w:val="333333"/>
          <w:sz w:val="36"/>
          <w:szCs w:val="36"/>
        </w:rPr>
      </w:pPr>
    </w:p>
    <w:p w:rsidR="00E05721" w:rsidRDefault="00E05721" w:rsidP="009E3679">
      <w:pPr>
        <w:jc w:val="center"/>
        <w:rPr>
          <w:rFonts w:cs="Arial"/>
          <w:b/>
          <w:color w:val="333333"/>
          <w:sz w:val="36"/>
          <w:szCs w:val="36"/>
        </w:rPr>
      </w:pPr>
    </w:p>
    <w:p w:rsidR="00E05721" w:rsidRDefault="00E05721" w:rsidP="009E3679">
      <w:pPr>
        <w:jc w:val="center"/>
        <w:rPr>
          <w:rFonts w:cs="Arial"/>
          <w:b/>
          <w:color w:val="333333"/>
          <w:sz w:val="36"/>
          <w:szCs w:val="36"/>
        </w:rPr>
      </w:pPr>
    </w:p>
    <w:p w:rsidR="00E05721" w:rsidRPr="006D1A49" w:rsidRDefault="00E05721" w:rsidP="009E3679">
      <w:pPr>
        <w:jc w:val="center"/>
        <w:rPr>
          <w:rFonts w:cs="Arial"/>
          <w:b/>
          <w:color w:val="333333"/>
          <w:sz w:val="36"/>
          <w:szCs w:val="36"/>
        </w:rPr>
      </w:pPr>
    </w:p>
    <w:p w:rsidR="00403122" w:rsidRDefault="00403122" w:rsidP="006D1A49">
      <w:pPr>
        <w:pStyle w:val="StyleDefault18ptBoldCentered"/>
        <w:jc w:val="right"/>
        <w:rPr>
          <w:szCs w:val="36"/>
        </w:rPr>
      </w:pPr>
      <w:r>
        <w:rPr>
          <w:szCs w:val="36"/>
        </w:rPr>
        <w:t xml:space="preserve">Social Care Survey </w:t>
      </w:r>
    </w:p>
    <w:p w:rsidR="009E3679" w:rsidRPr="006D1A49" w:rsidRDefault="00403122" w:rsidP="006D1A49">
      <w:pPr>
        <w:pStyle w:val="StyleDefault18ptBoldCentered"/>
        <w:jc w:val="right"/>
        <w:rPr>
          <w:szCs w:val="36"/>
        </w:rPr>
      </w:pPr>
      <w:r>
        <w:rPr>
          <w:szCs w:val="36"/>
        </w:rPr>
        <w:t xml:space="preserve">NRS Indexing Spine Linkage </w:t>
      </w:r>
    </w:p>
    <w:p w:rsidR="00917D4D" w:rsidRPr="006D1A49" w:rsidRDefault="00917D4D" w:rsidP="006D1A49">
      <w:pPr>
        <w:jc w:val="right"/>
        <w:rPr>
          <w:rFonts w:cs="Arial"/>
          <w:b/>
          <w:color w:val="333333"/>
          <w:sz w:val="36"/>
          <w:szCs w:val="36"/>
        </w:rPr>
      </w:pPr>
    </w:p>
    <w:p w:rsidR="00917D4D" w:rsidRPr="006D1A49" w:rsidRDefault="00917D4D" w:rsidP="006D1A49">
      <w:pPr>
        <w:jc w:val="right"/>
        <w:rPr>
          <w:rFonts w:cs="Arial"/>
          <w:b/>
          <w:color w:val="333333"/>
          <w:sz w:val="36"/>
          <w:szCs w:val="36"/>
        </w:rPr>
      </w:pPr>
    </w:p>
    <w:p w:rsidR="00E05721" w:rsidRPr="006D1A49" w:rsidRDefault="00E05721" w:rsidP="006D1A49">
      <w:pPr>
        <w:jc w:val="right"/>
        <w:rPr>
          <w:rFonts w:cs="Arial"/>
          <w:b/>
          <w:color w:val="333333"/>
          <w:sz w:val="36"/>
          <w:szCs w:val="36"/>
        </w:rPr>
      </w:pPr>
    </w:p>
    <w:p w:rsidR="00917D4D" w:rsidRPr="006D1A49" w:rsidRDefault="00917D4D" w:rsidP="006D1A49">
      <w:pPr>
        <w:jc w:val="right"/>
        <w:rPr>
          <w:rFonts w:cs="Arial"/>
          <w:b/>
          <w:color w:val="333333"/>
          <w:sz w:val="36"/>
          <w:szCs w:val="36"/>
        </w:rPr>
      </w:pPr>
    </w:p>
    <w:p w:rsidR="00917D4D" w:rsidRPr="006D1A49" w:rsidRDefault="00917D4D" w:rsidP="006D1A49">
      <w:pPr>
        <w:jc w:val="right"/>
        <w:rPr>
          <w:rFonts w:cs="Arial"/>
          <w:b/>
          <w:color w:val="333333"/>
          <w:sz w:val="36"/>
          <w:szCs w:val="36"/>
        </w:rPr>
      </w:pPr>
    </w:p>
    <w:p w:rsidR="009E3679" w:rsidRPr="006D1A49" w:rsidRDefault="00403122" w:rsidP="006D1A49">
      <w:pPr>
        <w:jc w:val="right"/>
        <w:rPr>
          <w:rFonts w:cs="Arial"/>
          <w:b/>
          <w:color w:val="333333"/>
          <w:sz w:val="36"/>
          <w:szCs w:val="36"/>
        </w:rPr>
      </w:pPr>
      <w:r>
        <w:rPr>
          <w:rFonts w:cs="Arial"/>
          <w:b/>
          <w:color w:val="333333"/>
          <w:sz w:val="36"/>
          <w:szCs w:val="36"/>
        </w:rPr>
        <w:t>20</w:t>
      </w:r>
      <w:r w:rsidRPr="00403122">
        <w:rPr>
          <w:rFonts w:cs="Arial"/>
          <w:b/>
          <w:color w:val="333333"/>
          <w:sz w:val="36"/>
          <w:szCs w:val="36"/>
          <w:vertAlign w:val="superscript"/>
        </w:rPr>
        <w:t>th</w:t>
      </w:r>
      <w:r>
        <w:rPr>
          <w:rFonts w:cs="Arial"/>
          <w:b/>
          <w:color w:val="333333"/>
          <w:sz w:val="36"/>
          <w:szCs w:val="36"/>
        </w:rPr>
        <w:t xml:space="preserve"> June 2017</w:t>
      </w:r>
    </w:p>
    <w:p w:rsidR="009E3679" w:rsidRDefault="009E3679" w:rsidP="003B6EEC">
      <w:pPr>
        <w:rPr>
          <w:rFonts w:cs="Arial"/>
          <w:b/>
          <w:color w:val="333333"/>
          <w:sz w:val="32"/>
          <w:szCs w:val="32"/>
        </w:rPr>
      </w:pPr>
    </w:p>
    <w:p w:rsidR="006A1F81" w:rsidRDefault="006A1F81" w:rsidP="00917F77">
      <w:pPr>
        <w:sectPr w:rsidR="006A1F81" w:rsidSect="003B6EEC">
          <w:headerReference w:type="default" r:id="rId8"/>
          <w:footerReference w:type="default" r:id="rId9"/>
          <w:pgSz w:w="11906" w:h="16838" w:code="9"/>
          <w:pgMar w:top="1440" w:right="1440" w:bottom="1440" w:left="1440" w:header="720" w:footer="720" w:gutter="0"/>
          <w:cols w:space="708"/>
          <w:vAlign w:val="center"/>
          <w:docGrid w:linePitch="360"/>
        </w:sectPr>
      </w:pPr>
    </w:p>
    <w:p w:rsidR="00917D4D" w:rsidRPr="00721D67" w:rsidRDefault="00917D4D" w:rsidP="00917D4D">
      <w:pPr>
        <w:pStyle w:val="Default"/>
        <w:rPr>
          <w:b/>
          <w:bCs/>
        </w:rPr>
      </w:pPr>
      <w:r w:rsidRPr="00721D67">
        <w:rPr>
          <w:b/>
          <w:bCs/>
        </w:rPr>
        <w:lastRenderedPageBreak/>
        <w:t>This Document was</w:t>
      </w:r>
    </w:p>
    <w:p w:rsidR="00917D4D" w:rsidRDefault="00917D4D" w:rsidP="00917D4D">
      <w:pPr>
        <w:pStyle w:val="Default"/>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164"/>
        <w:gridCol w:w="3625"/>
        <w:gridCol w:w="2089"/>
      </w:tblGrid>
      <w:tr w:rsidR="00917D4D" w:rsidRPr="0014317E" w:rsidTr="00961B9D">
        <w:tc>
          <w:tcPr>
            <w:tcW w:w="738" w:type="pct"/>
            <w:shd w:val="clear" w:color="auto" w:fill="auto"/>
          </w:tcPr>
          <w:p w:rsidR="00917D4D" w:rsidRDefault="00917D4D" w:rsidP="00961B9D">
            <w:pPr>
              <w:jc w:val="both"/>
            </w:pPr>
            <w:r w:rsidRPr="0014317E">
              <w:t>Prepared by:</w:t>
            </w:r>
          </w:p>
        </w:tc>
        <w:tc>
          <w:tcPr>
            <w:tcW w:w="1171" w:type="pct"/>
            <w:shd w:val="clear" w:color="auto" w:fill="auto"/>
          </w:tcPr>
          <w:p w:rsidR="00917D4D" w:rsidRPr="0014317E" w:rsidRDefault="00403122" w:rsidP="00961B9D">
            <w:pPr>
              <w:jc w:val="both"/>
            </w:pPr>
            <w:r>
              <w:t>Dave Clark</w:t>
            </w:r>
          </w:p>
        </w:tc>
        <w:tc>
          <w:tcPr>
            <w:tcW w:w="1961" w:type="pct"/>
            <w:shd w:val="clear" w:color="auto" w:fill="auto"/>
          </w:tcPr>
          <w:p w:rsidR="00917D4D" w:rsidRPr="0014317E" w:rsidRDefault="00403122" w:rsidP="00961B9D">
            <w:pPr>
              <w:jc w:val="both"/>
            </w:pPr>
            <w:r>
              <w:t>Indexing Service Manager</w:t>
            </w:r>
          </w:p>
        </w:tc>
        <w:tc>
          <w:tcPr>
            <w:tcW w:w="1130" w:type="pct"/>
            <w:shd w:val="clear" w:color="auto" w:fill="auto"/>
          </w:tcPr>
          <w:p w:rsidR="00917D4D" w:rsidRPr="0014317E" w:rsidRDefault="00403122" w:rsidP="00917D4D">
            <w:r>
              <w:t>20</w:t>
            </w:r>
            <w:r w:rsidRPr="00403122">
              <w:rPr>
                <w:vertAlign w:val="superscript"/>
              </w:rPr>
              <w:t>th</w:t>
            </w:r>
            <w:r>
              <w:t xml:space="preserve"> June 2017</w:t>
            </w:r>
          </w:p>
        </w:tc>
      </w:tr>
      <w:tr w:rsidR="00917D4D" w:rsidRPr="0014317E" w:rsidTr="00961B9D">
        <w:tc>
          <w:tcPr>
            <w:tcW w:w="738" w:type="pct"/>
            <w:shd w:val="clear" w:color="auto" w:fill="auto"/>
          </w:tcPr>
          <w:p w:rsidR="00917D4D" w:rsidRPr="0014317E" w:rsidRDefault="00917D4D" w:rsidP="00961B9D">
            <w:pPr>
              <w:jc w:val="both"/>
            </w:pPr>
          </w:p>
        </w:tc>
        <w:tc>
          <w:tcPr>
            <w:tcW w:w="1171" w:type="pct"/>
            <w:shd w:val="clear" w:color="auto" w:fill="auto"/>
          </w:tcPr>
          <w:p w:rsidR="00917D4D" w:rsidRDefault="00917D4D" w:rsidP="00961B9D">
            <w:pPr>
              <w:jc w:val="both"/>
            </w:pPr>
          </w:p>
        </w:tc>
        <w:tc>
          <w:tcPr>
            <w:tcW w:w="1961" w:type="pct"/>
            <w:shd w:val="clear" w:color="auto" w:fill="auto"/>
          </w:tcPr>
          <w:p w:rsidR="00917D4D" w:rsidRPr="0014317E" w:rsidRDefault="00917D4D" w:rsidP="00961B9D">
            <w:pPr>
              <w:jc w:val="both"/>
            </w:pPr>
          </w:p>
        </w:tc>
        <w:tc>
          <w:tcPr>
            <w:tcW w:w="1130" w:type="pct"/>
            <w:shd w:val="clear" w:color="auto" w:fill="auto"/>
          </w:tcPr>
          <w:p w:rsidR="00917D4D" w:rsidRPr="0014317E" w:rsidRDefault="00917D4D" w:rsidP="00961B9D">
            <w:pPr>
              <w:jc w:val="both"/>
            </w:pPr>
          </w:p>
        </w:tc>
      </w:tr>
      <w:tr w:rsidR="00917D4D" w:rsidRPr="0014317E" w:rsidTr="00961B9D">
        <w:tc>
          <w:tcPr>
            <w:tcW w:w="738" w:type="pct"/>
            <w:shd w:val="clear" w:color="auto" w:fill="auto"/>
          </w:tcPr>
          <w:p w:rsidR="00917D4D" w:rsidRPr="0014317E" w:rsidRDefault="00917D4D" w:rsidP="00961B9D">
            <w:pPr>
              <w:jc w:val="both"/>
            </w:pPr>
            <w:r w:rsidRPr="0014317E">
              <w:t>Reviewed by:</w:t>
            </w:r>
          </w:p>
        </w:tc>
        <w:tc>
          <w:tcPr>
            <w:tcW w:w="1171" w:type="pct"/>
            <w:shd w:val="clear" w:color="auto" w:fill="auto"/>
          </w:tcPr>
          <w:p w:rsidR="00917D4D" w:rsidRPr="0014317E" w:rsidRDefault="00917D4D" w:rsidP="00961B9D">
            <w:pPr>
              <w:jc w:val="both"/>
            </w:pPr>
          </w:p>
        </w:tc>
        <w:tc>
          <w:tcPr>
            <w:tcW w:w="1961" w:type="pct"/>
            <w:shd w:val="clear" w:color="auto" w:fill="auto"/>
          </w:tcPr>
          <w:p w:rsidR="00917D4D" w:rsidRPr="0014317E" w:rsidRDefault="00917D4D" w:rsidP="00917D4D"/>
        </w:tc>
        <w:tc>
          <w:tcPr>
            <w:tcW w:w="1130" w:type="pct"/>
            <w:shd w:val="clear" w:color="auto" w:fill="auto"/>
          </w:tcPr>
          <w:p w:rsidR="00917D4D" w:rsidRPr="0014317E" w:rsidRDefault="00917D4D" w:rsidP="00917D4D"/>
        </w:tc>
      </w:tr>
      <w:tr w:rsidR="00917D4D" w:rsidRPr="0014317E" w:rsidTr="00961B9D">
        <w:tc>
          <w:tcPr>
            <w:tcW w:w="738" w:type="pct"/>
            <w:shd w:val="clear" w:color="auto" w:fill="auto"/>
          </w:tcPr>
          <w:p w:rsidR="00917D4D" w:rsidRPr="0014317E" w:rsidRDefault="00917D4D" w:rsidP="00961B9D">
            <w:pPr>
              <w:jc w:val="both"/>
            </w:pPr>
          </w:p>
        </w:tc>
        <w:tc>
          <w:tcPr>
            <w:tcW w:w="1171" w:type="pct"/>
            <w:shd w:val="clear" w:color="auto" w:fill="auto"/>
          </w:tcPr>
          <w:p w:rsidR="00917D4D" w:rsidRPr="0014317E" w:rsidRDefault="00917D4D" w:rsidP="00961B9D">
            <w:pPr>
              <w:jc w:val="both"/>
            </w:pPr>
          </w:p>
        </w:tc>
        <w:tc>
          <w:tcPr>
            <w:tcW w:w="1961" w:type="pct"/>
            <w:shd w:val="clear" w:color="auto" w:fill="auto"/>
          </w:tcPr>
          <w:p w:rsidR="00917D4D" w:rsidRPr="0014317E" w:rsidRDefault="00917D4D" w:rsidP="00961B9D">
            <w:pPr>
              <w:jc w:val="both"/>
            </w:pPr>
          </w:p>
        </w:tc>
        <w:tc>
          <w:tcPr>
            <w:tcW w:w="1130" w:type="pct"/>
            <w:shd w:val="clear" w:color="auto" w:fill="auto"/>
          </w:tcPr>
          <w:p w:rsidR="00917D4D" w:rsidRPr="0014317E" w:rsidRDefault="00917D4D" w:rsidP="00961B9D">
            <w:pPr>
              <w:jc w:val="both"/>
            </w:pPr>
          </w:p>
        </w:tc>
      </w:tr>
      <w:tr w:rsidR="00917D4D" w:rsidRPr="0014317E" w:rsidTr="00961B9D">
        <w:tc>
          <w:tcPr>
            <w:tcW w:w="738" w:type="pct"/>
            <w:shd w:val="clear" w:color="auto" w:fill="auto"/>
          </w:tcPr>
          <w:p w:rsidR="00917D4D" w:rsidRPr="0014317E" w:rsidRDefault="00917D4D" w:rsidP="00961B9D">
            <w:pPr>
              <w:jc w:val="both"/>
            </w:pPr>
            <w:r w:rsidRPr="0014317E">
              <w:t xml:space="preserve">Authorised by: </w:t>
            </w:r>
          </w:p>
        </w:tc>
        <w:tc>
          <w:tcPr>
            <w:tcW w:w="1171" w:type="pct"/>
            <w:shd w:val="clear" w:color="auto" w:fill="auto"/>
          </w:tcPr>
          <w:p w:rsidR="00917D4D" w:rsidRPr="0014317E" w:rsidRDefault="00917D4D" w:rsidP="00961B9D">
            <w:pPr>
              <w:jc w:val="both"/>
            </w:pPr>
          </w:p>
        </w:tc>
        <w:tc>
          <w:tcPr>
            <w:tcW w:w="1961" w:type="pct"/>
            <w:shd w:val="clear" w:color="auto" w:fill="auto"/>
          </w:tcPr>
          <w:p w:rsidR="00917D4D" w:rsidRPr="0014317E" w:rsidRDefault="00917D4D" w:rsidP="00961B9D">
            <w:pPr>
              <w:jc w:val="both"/>
            </w:pPr>
          </w:p>
        </w:tc>
        <w:tc>
          <w:tcPr>
            <w:tcW w:w="1130" w:type="pct"/>
            <w:shd w:val="clear" w:color="auto" w:fill="auto"/>
          </w:tcPr>
          <w:p w:rsidR="00917D4D" w:rsidRPr="0014317E" w:rsidRDefault="00917D4D" w:rsidP="00917D4D"/>
        </w:tc>
      </w:tr>
    </w:tbl>
    <w:p w:rsidR="00917D4D" w:rsidRDefault="00917D4D" w:rsidP="00917D4D">
      <w:pPr>
        <w:pStyle w:val="Default"/>
        <w:rPr>
          <w:b/>
        </w:rPr>
      </w:pPr>
    </w:p>
    <w:p w:rsidR="00917D4D" w:rsidRPr="00F15166" w:rsidRDefault="00917D4D" w:rsidP="00917D4D">
      <w:pPr>
        <w:pStyle w:val="Default"/>
        <w:rPr>
          <w:b/>
        </w:rPr>
      </w:pPr>
      <w:r>
        <w:rPr>
          <w:b/>
        </w:rPr>
        <w:t>Document D</w:t>
      </w:r>
      <w:r w:rsidRPr="00F15166">
        <w:rPr>
          <w:b/>
        </w:rPr>
        <w:t>istribution</w:t>
      </w:r>
    </w:p>
    <w:p w:rsidR="00917D4D" w:rsidRDefault="00917D4D" w:rsidP="00917D4D">
      <w:pPr>
        <w:pStyle w:val="Default"/>
        <w:rPr>
          <w:bCs/>
        </w:rPr>
      </w:pPr>
    </w:p>
    <w:p w:rsidR="00403122" w:rsidRDefault="00403122" w:rsidP="00917D4D">
      <w:pPr>
        <w:pStyle w:val="Default"/>
        <w:rPr>
          <w:bCs/>
        </w:rPr>
      </w:pPr>
      <w:r>
        <w:rPr>
          <w:bCs/>
        </w:rPr>
        <w:t xml:space="preserve">NRS: </w:t>
      </w:r>
      <w:r w:rsidR="004617F5">
        <w:rPr>
          <w:bCs/>
        </w:rPr>
        <w:tab/>
      </w:r>
      <w:r w:rsidR="004617F5">
        <w:rPr>
          <w:bCs/>
        </w:rPr>
        <w:tab/>
      </w:r>
      <w:r w:rsidR="004617F5">
        <w:rPr>
          <w:bCs/>
        </w:rPr>
        <w:tab/>
      </w:r>
      <w:r w:rsidR="004617F5">
        <w:rPr>
          <w:bCs/>
        </w:rPr>
        <w:tab/>
      </w:r>
      <w:r>
        <w:rPr>
          <w:bCs/>
        </w:rPr>
        <w:t>Data Linkage and Indexing</w:t>
      </w:r>
    </w:p>
    <w:p w:rsidR="00917D4D" w:rsidRDefault="00403122" w:rsidP="00917D4D">
      <w:pPr>
        <w:pStyle w:val="Default"/>
        <w:rPr>
          <w:bCs/>
        </w:rPr>
      </w:pPr>
      <w:r>
        <w:rPr>
          <w:bCs/>
        </w:rPr>
        <w:t xml:space="preserve">Scottish Government: </w:t>
      </w:r>
      <w:r w:rsidR="004617F5">
        <w:rPr>
          <w:bCs/>
        </w:rPr>
        <w:tab/>
      </w:r>
      <w:r>
        <w:rPr>
          <w:bCs/>
        </w:rPr>
        <w:t xml:space="preserve">Health and Social Care Analysis, </w:t>
      </w:r>
      <w:r w:rsidR="0065066A">
        <w:rPr>
          <w:bCs/>
        </w:rPr>
        <w:t>OCSSA</w:t>
      </w:r>
    </w:p>
    <w:p w:rsidR="0065066A" w:rsidRPr="0093320D" w:rsidRDefault="004617F5" w:rsidP="00917D4D">
      <w:pPr>
        <w:pStyle w:val="Default"/>
        <w:rPr>
          <w:bCs/>
        </w:rPr>
      </w:pPr>
      <w:r>
        <w:rPr>
          <w:bCs/>
        </w:rPr>
        <w:t>NSS</w:t>
      </w:r>
      <w:r w:rsidR="0065066A">
        <w:rPr>
          <w:bCs/>
        </w:rPr>
        <w:t xml:space="preserve">: </w:t>
      </w:r>
      <w:r>
        <w:rPr>
          <w:bCs/>
        </w:rPr>
        <w:tab/>
      </w:r>
      <w:r>
        <w:rPr>
          <w:bCs/>
        </w:rPr>
        <w:tab/>
      </w:r>
      <w:r>
        <w:rPr>
          <w:bCs/>
        </w:rPr>
        <w:tab/>
      </w:r>
      <w:r>
        <w:rPr>
          <w:bCs/>
        </w:rPr>
        <w:tab/>
        <w:t>eDRIS Team</w:t>
      </w:r>
    </w:p>
    <w:p w:rsidR="00917D4D" w:rsidRPr="0093320D" w:rsidRDefault="00917D4D" w:rsidP="00917D4D">
      <w:pPr>
        <w:pStyle w:val="Default"/>
      </w:pPr>
    </w:p>
    <w:p w:rsidR="00917D4D" w:rsidRPr="00F15166" w:rsidRDefault="00917D4D" w:rsidP="00917D4D">
      <w:pPr>
        <w:pStyle w:val="Default"/>
        <w:rPr>
          <w:b/>
        </w:rPr>
      </w:pPr>
      <w:r w:rsidRPr="00F15166">
        <w:rPr>
          <w:b/>
        </w:rPr>
        <w:t>Amendment Suggestion</w:t>
      </w:r>
    </w:p>
    <w:p w:rsidR="00917D4D" w:rsidRDefault="00917D4D" w:rsidP="00917D4D">
      <w:pPr>
        <w:pStyle w:val="Default"/>
      </w:pPr>
    </w:p>
    <w:p w:rsidR="00917D4D" w:rsidRDefault="00917D4D" w:rsidP="00917D4D">
      <w:pPr>
        <w:pStyle w:val="Default"/>
      </w:pPr>
      <w:r w:rsidRPr="00245FDC">
        <w:t>If you have suggested amendments pl</w:t>
      </w:r>
      <w:r>
        <w:t xml:space="preserve">ease make them to </w:t>
      </w:r>
      <w:r w:rsidR="0065066A">
        <w:t>NRS Indexing Team</w:t>
      </w:r>
      <w:r>
        <w:t xml:space="preserve">. </w:t>
      </w:r>
    </w:p>
    <w:p w:rsidR="00917D4D" w:rsidRPr="0093320D" w:rsidRDefault="00917D4D" w:rsidP="00917D4D">
      <w:pPr>
        <w:pStyle w:val="Default"/>
      </w:pPr>
    </w:p>
    <w:p w:rsidR="00917D4D" w:rsidRPr="00F15166" w:rsidRDefault="00917D4D" w:rsidP="00917D4D">
      <w:pPr>
        <w:pStyle w:val="Default"/>
        <w:rPr>
          <w:b/>
        </w:rPr>
      </w:pPr>
      <w:r w:rsidRPr="00F15166">
        <w:rPr>
          <w:b/>
        </w:rPr>
        <w:t>Status Control</w:t>
      </w:r>
    </w:p>
    <w:p w:rsidR="00917D4D" w:rsidRPr="0093320D" w:rsidRDefault="00917D4D" w:rsidP="00917D4D">
      <w:pPr>
        <w:pStyle w:val="Defaul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1418"/>
        <w:gridCol w:w="1429"/>
        <w:gridCol w:w="2316"/>
        <w:gridCol w:w="2982"/>
      </w:tblGrid>
      <w:tr w:rsidR="00917D4D" w:rsidRPr="00721D67" w:rsidTr="00961B9D">
        <w:tc>
          <w:tcPr>
            <w:tcW w:w="1097" w:type="dxa"/>
            <w:shd w:val="clear" w:color="auto" w:fill="auto"/>
          </w:tcPr>
          <w:p w:rsidR="00917D4D" w:rsidRPr="00961B9D" w:rsidRDefault="00917D4D" w:rsidP="00961B9D">
            <w:pPr>
              <w:pStyle w:val="Default"/>
              <w:tabs>
                <w:tab w:val="left" w:pos="720"/>
                <w:tab w:val="left" w:pos="1440"/>
                <w:tab w:val="left" w:pos="2160"/>
                <w:tab w:val="left" w:pos="2880"/>
                <w:tab w:val="left" w:pos="4680"/>
                <w:tab w:val="left" w:pos="5400"/>
                <w:tab w:val="right" w:pos="9000"/>
              </w:tabs>
              <w:spacing w:line="240" w:lineRule="atLeast"/>
              <w:jc w:val="both"/>
              <w:rPr>
                <w:b/>
              </w:rPr>
            </w:pPr>
            <w:r w:rsidRPr="00961B9D">
              <w:rPr>
                <w:b/>
              </w:rPr>
              <w:t>Version</w:t>
            </w:r>
          </w:p>
        </w:tc>
        <w:tc>
          <w:tcPr>
            <w:tcW w:w="1417" w:type="dxa"/>
            <w:shd w:val="clear" w:color="auto" w:fill="auto"/>
          </w:tcPr>
          <w:p w:rsidR="00917D4D" w:rsidRPr="00961B9D" w:rsidRDefault="00917D4D" w:rsidP="00961B9D">
            <w:pPr>
              <w:pStyle w:val="Default"/>
              <w:tabs>
                <w:tab w:val="left" w:pos="720"/>
                <w:tab w:val="left" w:pos="1440"/>
                <w:tab w:val="left" w:pos="2160"/>
                <w:tab w:val="left" w:pos="2880"/>
                <w:tab w:val="left" w:pos="4680"/>
                <w:tab w:val="left" w:pos="5400"/>
                <w:tab w:val="right" w:pos="9000"/>
              </w:tabs>
              <w:spacing w:line="240" w:lineRule="atLeast"/>
              <w:jc w:val="both"/>
              <w:rPr>
                <w:b/>
              </w:rPr>
            </w:pPr>
            <w:r w:rsidRPr="00961B9D">
              <w:rPr>
                <w:b/>
              </w:rPr>
              <w:t>Date</w:t>
            </w:r>
          </w:p>
        </w:tc>
        <w:tc>
          <w:tcPr>
            <w:tcW w:w="1430" w:type="dxa"/>
            <w:shd w:val="clear" w:color="auto" w:fill="auto"/>
          </w:tcPr>
          <w:p w:rsidR="00917D4D" w:rsidRPr="00961B9D" w:rsidRDefault="00917D4D" w:rsidP="00961B9D">
            <w:pPr>
              <w:pStyle w:val="Default"/>
              <w:tabs>
                <w:tab w:val="left" w:pos="720"/>
                <w:tab w:val="left" w:pos="1440"/>
                <w:tab w:val="left" w:pos="2160"/>
                <w:tab w:val="left" w:pos="2880"/>
                <w:tab w:val="left" w:pos="4680"/>
                <w:tab w:val="left" w:pos="5400"/>
                <w:tab w:val="right" w:pos="9000"/>
              </w:tabs>
              <w:spacing w:line="240" w:lineRule="atLeast"/>
              <w:jc w:val="both"/>
              <w:rPr>
                <w:b/>
              </w:rPr>
            </w:pPr>
            <w:r w:rsidRPr="00961B9D">
              <w:rPr>
                <w:b/>
              </w:rPr>
              <w:t>Status</w:t>
            </w:r>
          </w:p>
        </w:tc>
        <w:tc>
          <w:tcPr>
            <w:tcW w:w="2316" w:type="dxa"/>
            <w:shd w:val="clear" w:color="auto" w:fill="auto"/>
          </w:tcPr>
          <w:p w:rsidR="00917D4D" w:rsidRPr="00961B9D" w:rsidRDefault="00917D4D" w:rsidP="00961B9D">
            <w:pPr>
              <w:pStyle w:val="Default"/>
              <w:tabs>
                <w:tab w:val="left" w:pos="720"/>
                <w:tab w:val="left" w:pos="1440"/>
                <w:tab w:val="left" w:pos="2160"/>
                <w:tab w:val="left" w:pos="2880"/>
                <w:tab w:val="left" w:pos="4680"/>
                <w:tab w:val="left" w:pos="5400"/>
                <w:tab w:val="right" w:pos="9000"/>
              </w:tabs>
              <w:spacing w:line="240" w:lineRule="atLeast"/>
              <w:jc w:val="both"/>
              <w:rPr>
                <w:b/>
              </w:rPr>
            </w:pPr>
            <w:r w:rsidRPr="00961B9D">
              <w:rPr>
                <w:b/>
              </w:rPr>
              <w:t>Prepared by</w:t>
            </w:r>
          </w:p>
        </w:tc>
        <w:tc>
          <w:tcPr>
            <w:tcW w:w="2982" w:type="dxa"/>
            <w:shd w:val="clear" w:color="auto" w:fill="auto"/>
          </w:tcPr>
          <w:p w:rsidR="00917D4D" w:rsidRPr="00961B9D" w:rsidRDefault="00E05721" w:rsidP="00961B9D">
            <w:pPr>
              <w:pStyle w:val="Default"/>
              <w:tabs>
                <w:tab w:val="left" w:pos="720"/>
                <w:tab w:val="left" w:pos="1440"/>
                <w:tab w:val="left" w:pos="2160"/>
                <w:tab w:val="left" w:pos="2880"/>
                <w:tab w:val="left" w:pos="4680"/>
                <w:tab w:val="left" w:pos="5400"/>
                <w:tab w:val="right" w:pos="9000"/>
              </w:tabs>
              <w:spacing w:line="240" w:lineRule="atLeast"/>
              <w:jc w:val="both"/>
              <w:rPr>
                <w:b/>
              </w:rPr>
            </w:pPr>
            <w:r w:rsidRPr="00961B9D">
              <w:rPr>
                <w:b/>
              </w:rPr>
              <w:t>Reason for A</w:t>
            </w:r>
            <w:r w:rsidR="00917D4D" w:rsidRPr="00961B9D">
              <w:rPr>
                <w:b/>
              </w:rPr>
              <w:t>mendment</w:t>
            </w:r>
          </w:p>
        </w:tc>
      </w:tr>
      <w:tr w:rsidR="00917D4D" w:rsidRPr="0093320D" w:rsidTr="00961B9D">
        <w:tc>
          <w:tcPr>
            <w:tcW w:w="1097" w:type="dxa"/>
            <w:shd w:val="clear" w:color="auto" w:fill="auto"/>
          </w:tcPr>
          <w:p w:rsidR="00917D4D" w:rsidRPr="0093320D" w:rsidRDefault="0065066A" w:rsidP="00961B9D">
            <w:pPr>
              <w:pStyle w:val="Default"/>
              <w:tabs>
                <w:tab w:val="left" w:pos="720"/>
                <w:tab w:val="left" w:pos="1440"/>
                <w:tab w:val="left" w:pos="2160"/>
                <w:tab w:val="left" w:pos="2880"/>
                <w:tab w:val="left" w:pos="4680"/>
                <w:tab w:val="left" w:pos="5400"/>
                <w:tab w:val="right" w:pos="9000"/>
              </w:tabs>
              <w:spacing w:line="240" w:lineRule="atLeast"/>
              <w:jc w:val="both"/>
            </w:pPr>
            <w:r>
              <w:t>0.1</w:t>
            </w:r>
          </w:p>
        </w:tc>
        <w:tc>
          <w:tcPr>
            <w:tcW w:w="1417" w:type="dxa"/>
            <w:shd w:val="clear" w:color="auto" w:fill="auto"/>
          </w:tcPr>
          <w:p w:rsidR="00917D4D" w:rsidRPr="0093320D" w:rsidRDefault="004617F5" w:rsidP="00961B9D">
            <w:pPr>
              <w:pStyle w:val="Default"/>
              <w:tabs>
                <w:tab w:val="left" w:pos="720"/>
                <w:tab w:val="left" w:pos="1440"/>
                <w:tab w:val="left" w:pos="2160"/>
                <w:tab w:val="left" w:pos="2880"/>
                <w:tab w:val="left" w:pos="4680"/>
                <w:tab w:val="left" w:pos="5400"/>
                <w:tab w:val="right" w:pos="9000"/>
              </w:tabs>
              <w:spacing w:line="240" w:lineRule="atLeast"/>
              <w:jc w:val="both"/>
            </w:pPr>
            <w:r>
              <w:t>27.06</w:t>
            </w:r>
            <w:r w:rsidR="0065066A">
              <w:t>.2017</w:t>
            </w:r>
          </w:p>
        </w:tc>
        <w:tc>
          <w:tcPr>
            <w:tcW w:w="1430" w:type="dxa"/>
            <w:shd w:val="clear" w:color="auto" w:fill="auto"/>
          </w:tcPr>
          <w:p w:rsidR="00917D4D" w:rsidRPr="0093320D" w:rsidRDefault="0065066A" w:rsidP="00961B9D">
            <w:pPr>
              <w:pStyle w:val="Default"/>
              <w:tabs>
                <w:tab w:val="left" w:pos="720"/>
                <w:tab w:val="left" w:pos="1440"/>
                <w:tab w:val="left" w:pos="2160"/>
                <w:tab w:val="left" w:pos="2880"/>
                <w:tab w:val="left" w:pos="4680"/>
                <w:tab w:val="left" w:pos="5400"/>
                <w:tab w:val="right" w:pos="9000"/>
              </w:tabs>
              <w:spacing w:line="240" w:lineRule="atLeast"/>
              <w:jc w:val="both"/>
            </w:pPr>
            <w:r>
              <w:t>First draft</w:t>
            </w:r>
          </w:p>
        </w:tc>
        <w:tc>
          <w:tcPr>
            <w:tcW w:w="2316" w:type="dxa"/>
            <w:shd w:val="clear" w:color="auto" w:fill="auto"/>
          </w:tcPr>
          <w:p w:rsidR="00917D4D" w:rsidRPr="0093320D" w:rsidRDefault="0065066A" w:rsidP="00961B9D">
            <w:pPr>
              <w:pStyle w:val="Default"/>
              <w:tabs>
                <w:tab w:val="left" w:pos="720"/>
                <w:tab w:val="left" w:pos="1440"/>
                <w:tab w:val="left" w:pos="2160"/>
                <w:tab w:val="left" w:pos="2880"/>
                <w:tab w:val="left" w:pos="4680"/>
                <w:tab w:val="left" w:pos="5400"/>
                <w:tab w:val="right" w:pos="9000"/>
              </w:tabs>
              <w:spacing w:line="240" w:lineRule="atLeast"/>
              <w:jc w:val="both"/>
            </w:pPr>
            <w:r>
              <w:t>Dave Clark</w:t>
            </w:r>
          </w:p>
        </w:tc>
        <w:tc>
          <w:tcPr>
            <w:tcW w:w="2982" w:type="dxa"/>
            <w:shd w:val="clear" w:color="auto" w:fill="auto"/>
          </w:tcPr>
          <w:p w:rsidR="00917D4D" w:rsidRPr="0093320D" w:rsidRDefault="00917D4D" w:rsidP="00961B9D">
            <w:pPr>
              <w:pStyle w:val="Default"/>
              <w:tabs>
                <w:tab w:val="left" w:pos="720"/>
                <w:tab w:val="left" w:pos="1440"/>
                <w:tab w:val="left" w:pos="2160"/>
                <w:tab w:val="left" w:pos="2880"/>
                <w:tab w:val="left" w:pos="4680"/>
                <w:tab w:val="left" w:pos="5400"/>
                <w:tab w:val="right" w:pos="9000"/>
              </w:tabs>
              <w:spacing w:line="240" w:lineRule="atLeast"/>
              <w:jc w:val="both"/>
            </w:pPr>
          </w:p>
        </w:tc>
      </w:tr>
    </w:tbl>
    <w:p w:rsidR="00917D4D" w:rsidRDefault="00917D4D" w:rsidP="00917D4D">
      <w:pPr>
        <w:pStyle w:val="Default"/>
        <w:rPr>
          <w:rFonts w:ascii="TimesNewRoman,Bold" w:hAnsi="TimesNewRoman,Bold" w:cs="TimesNewRoman,Bold"/>
        </w:rPr>
      </w:pPr>
    </w:p>
    <w:p w:rsidR="009E3679" w:rsidRPr="00917F77" w:rsidRDefault="00917D4D" w:rsidP="00917F77">
      <w:pPr>
        <w:rPr>
          <w:rFonts w:cs="Arial"/>
          <w:b/>
        </w:rPr>
      </w:pPr>
      <w:r>
        <w:rPr>
          <w:rFonts w:cs="Arial"/>
          <w:b/>
        </w:rPr>
        <w:br w:type="page"/>
      </w:r>
      <w:r w:rsidR="00251454">
        <w:rPr>
          <w:rFonts w:cs="Arial"/>
          <w:b/>
        </w:rPr>
        <w:lastRenderedPageBreak/>
        <w:t>Contents</w:t>
      </w:r>
    </w:p>
    <w:p w:rsidR="00917F77" w:rsidRDefault="00917F77" w:rsidP="00917F77">
      <w:pPr>
        <w:rPr>
          <w:rFonts w:cs="Arial"/>
          <w:b/>
        </w:rPr>
      </w:pPr>
    </w:p>
    <w:p w:rsidR="00917F77" w:rsidRDefault="00917F77" w:rsidP="00917F77">
      <w:pPr>
        <w:rPr>
          <w:rFonts w:cs="Arial"/>
          <w:b/>
        </w:rPr>
      </w:pPr>
    </w:p>
    <w:p w:rsidR="004617F5" w:rsidRDefault="009F4CA4">
      <w:pPr>
        <w:pStyle w:val="TOC1"/>
        <w:tabs>
          <w:tab w:val="left" w:pos="440"/>
          <w:tab w:val="right" w:leader="dot" w:pos="9016"/>
        </w:tabs>
        <w:rPr>
          <w:rFonts w:asciiTheme="minorHAnsi" w:eastAsiaTheme="minorEastAsia" w:hAnsiTheme="minorHAnsi" w:cstheme="minorBidi"/>
          <w:noProof/>
          <w:sz w:val="22"/>
          <w:szCs w:val="22"/>
          <w:lang w:eastAsia="en-GB"/>
        </w:rPr>
      </w:pPr>
      <w:r>
        <w:rPr>
          <w:rFonts w:cs="Arial"/>
          <w:b/>
        </w:rPr>
        <w:fldChar w:fldCharType="begin"/>
      </w:r>
      <w:r w:rsidR="006F4208">
        <w:rPr>
          <w:rFonts w:cs="Arial"/>
          <w:b/>
        </w:rPr>
        <w:instrText xml:space="preserve"> TOC \o "1-3" \h \z \u </w:instrText>
      </w:r>
      <w:r>
        <w:rPr>
          <w:rFonts w:cs="Arial"/>
          <w:b/>
        </w:rPr>
        <w:fldChar w:fldCharType="separate"/>
      </w:r>
      <w:hyperlink w:anchor="_Toc486323691" w:history="1">
        <w:r w:rsidR="004617F5" w:rsidRPr="00186749">
          <w:rPr>
            <w:rStyle w:val="Hyperlink"/>
            <w:noProof/>
          </w:rPr>
          <w:t>1.</w:t>
        </w:r>
        <w:r w:rsidR="004617F5">
          <w:rPr>
            <w:rFonts w:asciiTheme="minorHAnsi" w:eastAsiaTheme="minorEastAsia" w:hAnsiTheme="minorHAnsi" w:cstheme="minorBidi"/>
            <w:noProof/>
            <w:sz w:val="22"/>
            <w:szCs w:val="22"/>
            <w:lang w:eastAsia="en-GB"/>
          </w:rPr>
          <w:tab/>
        </w:r>
        <w:r w:rsidR="004617F5" w:rsidRPr="00186749">
          <w:rPr>
            <w:rStyle w:val="Hyperlink"/>
            <w:noProof/>
          </w:rPr>
          <w:t>Introduction</w:t>
        </w:r>
        <w:r w:rsidR="004617F5">
          <w:rPr>
            <w:noProof/>
            <w:webHidden/>
          </w:rPr>
          <w:tab/>
        </w:r>
        <w:r>
          <w:rPr>
            <w:noProof/>
            <w:webHidden/>
          </w:rPr>
          <w:fldChar w:fldCharType="begin"/>
        </w:r>
        <w:r w:rsidR="004617F5">
          <w:rPr>
            <w:noProof/>
            <w:webHidden/>
          </w:rPr>
          <w:instrText xml:space="preserve"> PAGEREF _Toc486323691 \h </w:instrText>
        </w:r>
        <w:r>
          <w:rPr>
            <w:noProof/>
            <w:webHidden/>
          </w:rPr>
        </w:r>
        <w:r>
          <w:rPr>
            <w:noProof/>
            <w:webHidden/>
          </w:rPr>
          <w:fldChar w:fldCharType="separate"/>
        </w:r>
        <w:r w:rsidR="004617F5">
          <w:rPr>
            <w:noProof/>
            <w:webHidden/>
          </w:rPr>
          <w:t>4</w:t>
        </w:r>
        <w:r>
          <w:rPr>
            <w:noProof/>
            <w:webHidden/>
          </w:rPr>
          <w:fldChar w:fldCharType="end"/>
        </w:r>
      </w:hyperlink>
    </w:p>
    <w:p w:rsidR="004617F5" w:rsidRDefault="00323779">
      <w:pPr>
        <w:pStyle w:val="TOC1"/>
        <w:tabs>
          <w:tab w:val="left" w:pos="440"/>
          <w:tab w:val="right" w:leader="dot" w:pos="9016"/>
        </w:tabs>
        <w:rPr>
          <w:rFonts w:asciiTheme="minorHAnsi" w:eastAsiaTheme="minorEastAsia" w:hAnsiTheme="minorHAnsi" w:cstheme="minorBidi"/>
          <w:noProof/>
          <w:sz w:val="22"/>
          <w:szCs w:val="22"/>
          <w:lang w:eastAsia="en-GB"/>
        </w:rPr>
      </w:pPr>
      <w:hyperlink w:anchor="_Toc486323692" w:history="1">
        <w:r w:rsidR="004617F5" w:rsidRPr="00186749">
          <w:rPr>
            <w:rStyle w:val="Hyperlink"/>
            <w:noProof/>
          </w:rPr>
          <w:t>2.</w:t>
        </w:r>
        <w:r w:rsidR="004617F5">
          <w:rPr>
            <w:rFonts w:asciiTheme="minorHAnsi" w:eastAsiaTheme="minorEastAsia" w:hAnsiTheme="minorHAnsi" w:cstheme="minorBidi"/>
            <w:noProof/>
            <w:sz w:val="22"/>
            <w:szCs w:val="22"/>
            <w:lang w:eastAsia="en-GB"/>
          </w:rPr>
          <w:tab/>
        </w:r>
        <w:r w:rsidR="004617F5" w:rsidRPr="00186749">
          <w:rPr>
            <w:rStyle w:val="Hyperlink"/>
            <w:noProof/>
          </w:rPr>
          <w:t>Data and Methods</w:t>
        </w:r>
        <w:r w:rsidR="004617F5">
          <w:rPr>
            <w:noProof/>
            <w:webHidden/>
          </w:rPr>
          <w:tab/>
        </w:r>
        <w:r w:rsidR="009F4CA4">
          <w:rPr>
            <w:noProof/>
            <w:webHidden/>
          </w:rPr>
          <w:fldChar w:fldCharType="begin"/>
        </w:r>
        <w:r w:rsidR="004617F5">
          <w:rPr>
            <w:noProof/>
            <w:webHidden/>
          </w:rPr>
          <w:instrText xml:space="preserve"> PAGEREF _Toc486323692 \h </w:instrText>
        </w:r>
        <w:r w:rsidR="009F4CA4">
          <w:rPr>
            <w:noProof/>
            <w:webHidden/>
          </w:rPr>
        </w:r>
        <w:r w:rsidR="009F4CA4">
          <w:rPr>
            <w:noProof/>
            <w:webHidden/>
          </w:rPr>
          <w:fldChar w:fldCharType="separate"/>
        </w:r>
        <w:r w:rsidR="004617F5">
          <w:rPr>
            <w:noProof/>
            <w:webHidden/>
          </w:rPr>
          <w:t>4</w:t>
        </w:r>
        <w:r w:rsidR="009F4CA4">
          <w:rPr>
            <w:noProof/>
            <w:webHidden/>
          </w:rPr>
          <w:fldChar w:fldCharType="end"/>
        </w:r>
      </w:hyperlink>
    </w:p>
    <w:p w:rsidR="004617F5" w:rsidRDefault="00323779">
      <w:pPr>
        <w:pStyle w:val="TOC1"/>
        <w:tabs>
          <w:tab w:val="left" w:pos="440"/>
          <w:tab w:val="right" w:leader="dot" w:pos="9016"/>
        </w:tabs>
        <w:rPr>
          <w:rFonts w:asciiTheme="minorHAnsi" w:eastAsiaTheme="minorEastAsia" w:hAnsiTheme="minorHAnsi" w:cstheme="minorBidi"/>
          <w:noProof/>
          <w:sz w:val="22"/>
          <w:szCs w:val="22"/>
          <w:lang w:eastAsia="en-GB"/>
        </w:rPr>
      </w:pPr>
      <w:hyperlink w:anchor="_Toc486323693" w:history="1">
        <w:r w:rsidR="004617F5" w:rsidRPr="00186749">
          <w:rPr>
            <w:rStyle w:val="Hyperlink"/>
            <w:noProof/>
          </w:rPr>
          <w:t>3.</w:t>
        </w:r>
        <w:r w:rsidR="004617F5">
          <w:rPr>
            <w:rFonts w:asciiTheme="minorHAnsi" w:eastAsiaTheme="minorEastAsia" w:hAnsiTheme="minorHAnsi" w:cstheme="minorBidi"/>
            <w:noProof/>
            <w:sz w:val="22"/>
            <w:szCs w:val="22"/>
            <w:lang w:eastAsia="en-GB"/>
          </w:rPr>
          <w:tab/>
        </w:r>
        <w:r w:rsidR="004617F5" w:rsidRPr="00186749">
          <w:rPr>
            <w:rStyle w:val="Hyperlink"/>
            <w:noProof/>
          </w:rPr>
          <w:t>Conclusions and Recommendations</w:t>
        </w:r>
        <w:r w:rsidR="004617F5">
          <w:rPr>
            <w:noProof/>
            <w:webHidden/>
          </w:rPr>
          <w:tab/>
        </w:r>
        <w:r w:rsidR="009F4CA4">
          <w:rPr>
            <w:noProof/>
            <w:webHidden/>
          </w:rPr>
          <w:fldChar w:fldCharType="begin"/>
        </w:r>
        <w:r w:rsidR="004617F5">
          <w:rPr>
            <w:noProof/>
            <w:webHidden/>
          </w:rPr>
          <w:instrText xml:space="preserve"> PAGEREF _Toc486323693 \h </w:instrText>
        </w:r>
        <w:r w:rsidR="009F4CA4">
          <w:rPr>
            <w:noProof/>
            <w:webHidden/>
          </w:rPr>
        </w:r>
        <w:r w:rsidR="009F4CA4">
          <w:rPr>
            <w:noProof/>
            <w:webHidden/>
          </w:rPr>
          <w:fldChar w:fldCharType="separate"/>
        </w:r>
        <w:r w:rsidR="004617F5">
          <w:rPr>
            <w:noProof/>
            <w:webHidden/>
          </w:rPr>
          <w:t>7</w:t>
        </w:r>
        <w:r w:rsidR="009F4CA4">
          <w:rPr>
            <w:noProof/>
            <w:webHidden/>
          </w:rPr>
          <w:fldChar w:fldCharType="end"/>
        </w:r>
      </w:hyperlink>
    </w:p>
    <w:p w:rsidR="006F1F3B" w:rsidRDefault="009F4CA4" w:rsidP="00917F77">
      <w:pPr>
        <w:rPr>
          <w:rFonts w:cs="Arial"/>
          <w:b/>
        </w:rPr>
      </w:pPr>
      <w:r>
        <w:rPr>
          <w:rFonts w:cs="Arial"/>
          <w:b/>
        </w:rPr>
        <w:fldChar w:fldCharType="end"/>
      </w:r>
    </w:p>
    <w:p w:rsidR="006F1F3B" w:rsidRDefault="006F1F3B" w:rsidP="00917F77">
      <w:pPr>
        <w:rPr>
          <w:rFonts w:cs="Arial"/>
          <w:b/>
        </w:rPr>
      </w:pPr>
    </w:p>
    <w:p w:rsidR="006F1F3B" w:rsidRDefault="006F1F3B" w:rsidP="00917F77">
      <w:pPr>
        <w:rPr>
          <w:rFonts w:cs="Arial"/>
          <w:b/>
        </w:rPr>
      </w:pPr>
      <w:r>
        <w:rPr>
          <w:rFonts w:cs="Arial"/>
          <w:b/>
        </w:rPr>
        <w:br w:type="page"/>
      </w:r>
    </w:p>
    <w:p w:rsidR="006F1F3B" w:rsidRPr="00251454" w:rsidRDefault="00730EC2" w:rsidP="00251454">
      <w:pPr>
        <w:pStyle w:val="Heading1"/>
      </w:pPr>
      <w:bookmarkStart w:id="1" w:name="_Toc486323691"/>
      <w:r w:rsidRPr="00251454">
        <w:lastRenderedPageBreak/>
        <w:t>Introduction</w:t>
      </w:r>
      <w:bookmarkEnd w:id="1"/>
    </w:p>
    <w:p w:rsidR="006F1F3B" w:rsidRDefault="006F1F3B" w:rsidP="006F1F3B"/>
    <w:p w:rsidR="006F4208" w:rsidRDefault="00917D4D" w:rsidP="006A1F81">
      <w:r>
        <w:t>1.1</w:t>
      </w:r>
      <w:r>
        <w:tab/>
      </w:r>
      <w:r w:rsidR="006F4208">
        <w:t>This report describes the linkage of Social Care Survey</w:t>
      </w:r>
      <w:r w:rsidR="0007043D">
        <w:t xml:space="preserve"> (SCS)</w:t>
      </w:r>
      <w:r w:rsidR="006F4208">
        <w:t xml:space="preserve"> to the N</w:t>
      </w:r>
      <w:r w:rsidR="0007043D">
        <w:t xml:space="preserve">ational </w:t>
      </w:r>
      <w:r w:rsidR="006F4208">
        <w:t>R</w:t>
      </w:r>
      <w:r w:rsidR="0007043D">
        <w:t xml:space="preserve">ecords of </w:t>
      </w:r>
      <w:r w:rsidR="006F4208">
        <w:t>S</w:t>
      </w:r>
      <w:r w:rsidR="0007043D">
        <w:t>cotland (NRS)</w:t>
      </w:r>
      <w:r w:rsidR="006F4208">
        <w:t xml:space="preserve"> Research Indexing Spine</w:t>
      </w:r>
      <w:r w:rsidR="00533869">
        <w:t xml:space="preserve"> for the purpose of establishing read-through indexes to be used in linkage projects under the Scottish Informatics and Linkage Collaboration (SILC) model.</w:t>
      </w:r>
      <w:r w:rsidR="006F4208">
        <w:t xml:space="preserve"> </w:t>
      </w:r>
    </w:p>
    <w:p w:rsidR="006F4208" w:rsidRDefault="006F4208" w:rsidP="006A1F81"/>
    <w:p w:rsidR="00533869" w:rsidRDefault="00090A55" w:rsidP="006A1F81">
      <w:r>
        <w:t>1.2</w:t>
      </w:r>
      <w:r>
        <w:tab/>
      </w:r>
      <w:r w:rsidR="006F4208">
        <w:t>The report describes the quality of the person identifying information (PII) supplied, the methods used to match the PII to the Spine, and the success rate of the matching in terms of linkage rates and crude estimates of the precision (</w:t>
      </w:r>
      <w:r w:rsidR="007075ED">
        <w:t>positive predictive value</w:t>
      </w:r>
      <w:r w:rsidR="006F4208">
        <w:t>) of the matches.</w:t>
      </w:r>
    </w:p>
    <w:p w:rsidR="00533869" w:rsidRDefault="00533869" w:rsidP="006A1F81"/>
    <w:p w:rsidR="006A1F81" w:rsidRDefault="00090A55" w:rsidP="006A1F81">
      <w:r>
        <w:t>1.3</w:t>
      </w:r>
      <w:r>
        <w:tab/>
      </w:r>
      <w:r w:rsidR="00533869">
        <w:t>Match rates are described in terms of breakdowns of demographic factors derived from the PII, namely Year of Birth, Gender, Deprivation Categories</w:t>
      </w:r>
      <w:r w:rsidR="006F4208">
        <w:t xml:space="preserve"> </w:t>
      </w:r>
      <w:r w:rsidR="00533869">
        <w:t>(SIMD 2016 deciles) and Council Area.</w:t>
      </w:r>
    </w:p>
    <w:p w:rsidR="00533869" w:rsidRDefault="00533869" w:rsidP="006A1F81"/>
    <w:p w:rsidR="00533869" w:rsidRDefault="00090A55" w:rsidP="006A1F81">
      <w:r>
        <w:t>1.4</w:t>
      </w:r>
      <w:r>
        <w:tab/>
      </w:r>
      <w:r w:rsidR="00533869">
        <w:t xml:space="preserve">A selection of linkage criteria options </w:t>
      </w:r>
      <w:r w:rsidR="00743841">
        <w:t>we</w:t>
      </w:r>
      <w:r w:rsidR="00533869">
        <w:t>re explored and a recommendation is made for the default criteria to be used in linkage projects.</w:t>
      </w:r>
    </w:p>
    <w:p w:rsidR="00743841" w:rsidRDefault="00743841" w:rsidP="006A1F81"/>
    <w:p w:rsidR="00743841" w:rsidRDefault="00743841" w:rsidP="006A1F81">
      <w:r>
        <w:t>1.5</w:t>
      </w:r>
      <w:r>
        <w:tab/>
        <w:t>Full results can be found in the accompanying appendix spreadsheet – “20170627 Linkage Report.xlsx”.</w:t>
      </w:r>
    </w:p>
    <w:p w:rsidR="006A1F81" w:rsidRDefault="006A1F81" w:rsidP="006A1F81">
      <w:pPr>
        <w:pStyle w:val="CommentText"/>
      </w:pPr>
    </w:p>
    <w:p w:rsidR="006F4208" w:rsidRDefault="006F4208" w:rsidP="006A1F81">
      <w:pPr>
        <w:pStyle w:val="CommentText"/>
      </w:pPr>
    </w:p>
    <w:p w:rsidR="00730EC2" w:rsidRPr="00730EC2" w:rsidRDefault="00730EC2" w:rsidP="00730EC2"/>
    <w:p w:rsidR="006F1F3B" w:rsidRDefault="00996F39" w:rsidP="00251454">
      <w:pPr>
        <w:pStyle w:val="Heading1"/>
      </w:pPr>
      <w:bookmarkStart w:id="2" w:name="_Toc486323692"/>
      <w:r>
        <w:t>Data and Methods</w:t>
      </w:r>
      <w:bookmarkEnd w:id="2"/>
    </w:p>
    <w:p w:rsidR="009C53CF" w:rsidRDefault="009C53CF" w:rsidP="009C53CF">
      <w:pPr>
        <w:rPr>
          <w:rFonts w:cs="Arial"/>
        </w:rPr>
      </w:pPr>
    </w:p>
    <w:p w:rsidR="009C53CF" w:rsidRDefault="007E1F43" w:rsidP="009C53CF">
      <w:pPr>
        <w:spacing w:after="240"/>
      </w:pPr>
      <w:r>
        <w:t>2</w:t>
      </w:r>
      <w:r w:rsidR="00996F39">
        <w:t>.1</w:t>
      </w:r>
      <w:r w:rsidR="00996F39">
        <w:tab/>
        <w:t>Data from all 32 local authorities were securely transferred to the Indexing Service by ScotXed. Each combination of home postcode, gender and date of birth per encrypted ClientID were provided as separate records, and a code representing Council Area was also included in the dataset. In total, there were 594,380 records in the dataset, pertaining to 488,185 unique ClientID. A person who was represented in more than one local authority would be given a separate ClientID.</w:t>
      </w:r>
      <w:r w:rsidR="001E6358">
        <w:t xml:space="preserve"> The coverage of the dataset was anyone on the Home Care Survey (2010-2012), Self-Directed Support Survey (2010-2012) and the Social Care Survey (2013-2016). </w:t>
      </w:r>
    </w:p>
    <w:p w:rsidR="001E6358" w:rsidRDefault="007E1F43" w:rsidP="009C53CF">
      <w:pPr>
        <w:spacing w:after="240"/>
        <w:rPr>
          <w:rFonts w:cs="Arial"/>
        </w:rPr>
      </w:pPr>
      <w:r>
        <w:rPr>
          <w:rFonts w:cs="Arial"/>
        </w:rPr>
        <w:t>2</w:t>
      </w:r>
      <w:r w:rsidR="001E6358">
        <w:rPr>
          <w:rFonts w:cs="Arial"/>
        </w:rPr>
        <w:t xml:space="preserve">.2 </w:t>
      </w:r>
      <w:r w:rsidR="001B7C53">
        <w:rPr>
          <w:rFonts w:cs="Arial"/>
        </w:rPr>
        <w:tab/>
      </w:r>
      <w:r w:rsidR="001E6358">
        <w:rPr>
          <w:rFonts w:cs="Arial"/>
        </w:rPr>
        <w:t>Postcodes from 32,938 (5.5%) of records were either missing or incomplete. Gender could not be determined on 1,225 (</w:t>
      </w:r>
      <w:r w:rsidR="00F8520C">
        <w:rPr>
          <w:rFonts w:cs="Arial"/>
        </w:rPr>
        <w:t>0</w:t>
      </w:r>
      <w:r w:rsidR="001E6358">
        <w:rPr>
          <w:rFonts w:cs="Arial"/>
        </w:rPr>
        <w:t xml:space="preserve">.2%) of records. 3,618 records were missing date of birth and 60 records had date of birth beyond 2017. A disproportionate number of records (3,183 or 0.5%) had year of birth 1899 or 1900. In comparison, a total of only 49 </w:t>
      </w:r>
      <w:r w:rsidR="005757D0">
        <w:rPr>
          <w:rFonts w:cs="Arial"/>
        </w:rPr>
        <w:t xml:space="preserve">records had year of birth between 1901-1905. More records (57,926 or 9.8%) had a January month of birth than would be expected (50,140 or 8.5%) if there was a Uniform distribution across all months of birth. The biggest data quality issue was the huge amount of records where day of birth was recorded as ‘01’.  There were 186,768 such records, representing 31.6% of the cohort (19,409 or 3.3% </w:t>
      </w:r>
      <w:r w:rsidR="0007043D">
        <w:rPr>
          <w:rFonts w:cs="Arial"/>
        </w:rPr>
        <w:t xml:space="preserve">would be </w:t>
      </w:r>
      <w:r w:rsidR="005757D0">
        <w:rPr>
          <w:rFonts w:cs="Arial"/>
        </w:rPr>
        <w:t xml:space="preserve">expected if </w:t>
      </w:r>
      <w:r w:rsidR="0007043D">
        <w:rPr>
          <w:rFonts w:cs="Arial"/>
        </w:rPr>
        <w:t xml:space="preserve">there was a </w:t>
      </w:r>
      <w:r w:rsidR="005757D0">
        <w:rPr>
          <w:rFonts w:cs="Arial"/>
        </w:rPr>
        <w:t>uniform distribution across</w:t>
      </w:r>
      <w:r w:rsidR="001B7C53">
        <w:rPr>
          <w:rFonts w:cs="Arial"/>
        </w:rPr>
        <w:t xml:space="preserve"> days of the year). Looking across council areas, 17 CAs had a disproportionate (&gt;5%) amount of day of birth =’01’, including  5 areas where nearly all records had this value in their date of birth. Two council areas also had a disproportionate number of records where day of birth defaulted to ‘15’.</w:t>
      </w:r>
    </w:p>
    <w:p w:rsidR="00FD2580" w:rsidRDefault="007E1F43" w:rsidP="009C53CF">
      <w:pPr>
        <w:spacing w:after="240"/>
        <w:rPr>
          <w:rFonts w:cs="Arial"/>
        </w:rPr>
      </w:pPr>
      <w:r>
        <w:rPr>
          <w:rFonts w:cs="Arial"/>
        </w:rPr>
        <w:lastRenderedPageBreak/>
        <w:t>2</w:t>
      </w:r>
      <w:r w:rsidR="001B7C53">
        <w:rPr>
          <w:rFonts w:cs="Arial"/>
        </w:rPr>
        <w:t>.3</w:t>
      </w:r>
      <w:r w:rsidR="001B7C53">
        <w:rPr>
          <w:rFonts w:cs="Arial"/>
        </w:rPr>
        <w:tab/>
        <w:t>The methods used to match the Social Care Survey data to the Spine was as described for linking the pupil census</w:t>
      </w:r>
      <w:r w:rsidR="00090A55">
        <w:rPr>
          <w:rFonts w:cs="Arial"/>
        </w:rPr>
        <w:t xml:space="preserve"> to the historic CHI postcode archive – see </w:t>
      </w:r>
      <w:hyperlink r:id="rId10" w:history="1">
        <w:r w:rsidR="00090A55" w:rsidRPr="00176A5C">
          <w:rPr>
            <w:rStyle w:val="Hyperlink"/>
            <w:rFonts w:cs="Arial"/>
          </w:rPr>
          <w:t>http://www.isdscotland.org/Products-and-Services/eDRIS/Docs/20150421-Linking-ScotXed-Data.pdf</w:t>
        </w:r>
      </w:hyperlink>
      <w:r w:rsidR="00090A55">
        <w:rPr>
          <w:rFonts w:cs="Arial"/>
        </w:rPr>
        <w:t xml:space="preserve"> . Those linkage methods had been further refined to match all combinations of postcode, gender, date of birth at the Scottish Candidate Number (SCN) level against the Spine and </w:t>
      </w:r>
      <w:r w:rsidR="00F8520C">
        <w:rPr>
          <w:rFonts w:cs="Arial"/>
        </w:rPr>
        <w:t xml:space="preserve">this </w:t>
      </w:r>
      <w:r w:rsidR="00090A55">
        <w:rPr>
          <w:rFonts w:cs="Arial"/>
        </w:rPr>
        <w:t xml:space="preserve">had yielded a linkage rate of 99.1% </w:t>
      </w:r>
      <w:r w:rsidR="00F8520C">
        <w:rPr>
          <w:rFonts w:cs="Arial"/>
        </w:rPr>
        <w:t xml:space="preserve">of </w:t>
      </w:r>
      <w:r w:rsidR="00090A55">
        <w:rPr>
          <w:rFonts w:cs="Arial"/>
        </w:rPr>
        <w:t>SCNs using the ‘optimal’ criteria</w:t>
      </w:r>
      <w:r w:rsidR="0007043D">
        <w:rPr>
          <w:rFonts w:cs="Arial"/>
        </w:rPr>
        <w:t xml:space="preserve"> and 94.9% as unique exact matches</w:t>
      </w:r>
      <w:r w:rsidR="00090A55">
        <w:rPr>
          <w:rFonts w:cs="Arial"/>
        </w:rPr>
        <w:t>. However, the pupil census had much more complete and better quality P</w:t>
      </w:r>
      <w:r w:rsidR="00F8520C">
        <w:rPr>
          <w:rFonts w:cs="Arial"/>
        </w:rPr>
        <w:t>I</w:t>
      </w:r>
      <w:r w:rsidR="00090A55">
        <w:rPr>
          <w:rFonts w:cs="Arial"/>
        </w:rPr>
        <w:t xml:space="preserve">I compared to the SCS cohort. Given the </w:t>
      </w:r>
      <w:r w:rsidR="0007043D">
        <w:rPr>
          <w:rFonts w:cs="Arial"/>
        </w:rPr>
        <w:t xml:space="preserve">data </w:t>
      </w:r>
      <w:r w:rsidR="00090A55">
        <w:rPr>
          <w:rFonts w:cs="Arial"/>
        </w:rPr>
        <w:t>quality issues described in 3.2</w:t>
      </w:r>
      <w:r w:rsidR="0007043D">
        <w:rPr>
          <w:rFonts w:cs="Arial"/>
        </w:rPr>
        <w:t>, much lower linkage results were anticipated.</w:t>
      </w:r>
      <w:r w:rsidR="00FD2580">
        <w:rPr>
          <w:rFonts w:cs="Arial"/>
        </w:rPr>
        <w:t xml:space="preserve"> Indeed, a pilot linkage, carried out in 2016 on 2015 SCS data produced a unique exact match rate of 87.4%.</w:t>
      </w:r>
    </w:p>
    <w:p w:rsidR="00090A55" w:rsidRDefault="007E1F43" w:rsidP="009C53CF">
      <w:pPr>
        <w:spacing w:after="240"/>
        <w:rPr>
          <w:rFonts w:cs="Arial"/>
        </w:rPr>
      </w:pPr>
      <w:r>
        <w:rPr>
          <w:rFonts w:cs="Arial"/>
        </w:rPr>
        <w:t>2</w:t>
      </w:r>
      <w:r w:rsidR="00090A55">
        <w:rPr>
          <w:rFonts w:cs="Arial"/>
        </w:rPr>
        <w:t>.4</w:t>
      </w:r>
      <w:r w:rsidR="00090A55">
        <w:rPr>
          <w:rFonts w:cs="Arial"/>
        </w:rPr>
        <w:tab/>
      </w:r>
      <w:r w:rsidR="0007043D">
        <w:rPr>
          <w:rFonts w:cs="Arial"/>
        </w:rPr>
        <w:t xml:space="preserve">Given the day of birth issues described in 3.2, the data from the 17 CAs affected </w:t>
      </w:r>
      <w:r w:rsidR="00A70892">
        <w:rPr>
          <w:rFonts w:cs="Arial"/>
        </w:rPr>
        <w:t xml:space="preserve">and having day of birth recorded as ’01’ or missing, were separated out into a sub-cohort of 175,648 (29.6%) records to be processed differently. The probabilistic linkage involved in this sub-cohort ignored the day of birth completely in </w:t>
      </w:r>
      <w:r w:rsidR="003D1ADF">
        <w:rPr>
          <w:rFonts w:cs="Arial"/>
        </w:rPr>
        <w:t xml:space="preserve">scoring the </w:t>
      </w:r>
      <w:r w:rsidR="00A70892">
        <w:rPr>
          <w:rFonts w:cs="Arial"/>
        </w:rPr>
        <w:t>pair comparisons</w:t>
      </w:r>
      <w:r w:rsidR="003D1ADF">
        <w:rPr>
          <w:rFonts w:cs="Arial"/>
        </w:rPr>
        <w:t>. Thresholds for defining the match categories and definition of ‘optimal’ linkage criteria were also scaled down accordingly.</w:t>
      </w:r>
    </w:p>
    <w:p w:rsidR="00792AF6" w:rsidRDefault="007E1F43" w:rsidP="009C53CF">
      <w:pPr>
        <w:spacing w:after="240"/>
        <w:rPr>
          <w:rFonts w:cs="Arial"/>
        </w:rPr>
      </w:pPr>
      <w:r>
        <w:rPr>
          <w:rFonts w:cs="Arial"/>
        </w:rPr>
        <w:t>2</w:t>
      </w:r>
      <w:r w:rsidR="003D1ADF">
        <w:rPr>
          <w:rFonts w:cs="Arial"/>
        </w:rPr>
        <w:t>.5</w:t>
      </w:r>
      <w:r w:rsidR="003D1ADF">
        <w:rPr>
          <w:rFonts w:cs="Arial"/>
        </w:rPr>
        <w:tab/>
        <w:t xml:space="preserve">Best matches per SCS record were aggregated at the encrypted ClientID level to </w:t>
      </w:r>
      <w:r w:rsidR="00CA2800">
        <w:rPr>
          <w:rFonts w:cs="Arial"/>
        </w:rPr>
        <w:t>assign to th</w:t>
      </w:r>
      <w:r w:rsidR="003D1ADF">
        <w:rPr>
          <w:rFonts w:cs="Arial"/>
        </w:rPr>
        <w:t xml:space="preserve">e </w:t>
      </w:r>
      <w:r w:rsidR="00792AF6">
        <w:rPr>
          <w:rFonts w:cs="Arial"/>
        </w:rPr>
        <w:t>SpineID</w:t>
      </w:r>
      <w:r w:rsidR="003D1ADF">
        <w:rPr>
          <w:rFonts w:cs="Arial"/>
        </w:rPr>
        <w:t xml:space="preserve"> with the </w:t>
      </w:r>
      <w:r w:rsidR="00792AF6">
        <w:rPr>
          <w:rFonts w:cs="Arial"/>
        </w:rPr>
        <w:t>best match category</w:t>
      </w:r>
      <w:r w:rsidR="003D1ADF">
        <w:rPr>
          <w:rFonts w:cs="Arial"/>
        </w:rPr>
        <w:t xml:space="preserve">. </w:t>
      </w:r>
      <w:r w:rsidR="00792AF6">
        <w:rPr>
          <w:rFonts w:cs="Arial"/>
        </w:rPr>
        <w:t>77.3% of best matches came from SCS records which were processed with f</w:t>
      </w:r>
      <w:r w:rsidR="00FD2580">
        <w:rPr>
          <w:rFonts w:cs="Arial"/>
        </w:rPr>
        <w:t>u</w:t>
      </w:r>
      <w:r w:rsidR="00792AF6">
        <w:rPr>
          <w:rFonts w:cs="Arial"/>
        </w:rPr>
        <w:t>ll date of birth.</w:t>
      </w:r>
    </w:p>
    <w:p w:rsidR="003D1ADF" w:rsidRDefault="004D23CD" w:rsidP="009C53CF">
      <w:pPr>
        <w:spacing w:after="240"/>
        <w:rPr>
          <w:rFonts w:cs="Arial"/>
        </w:rPr>
      </w:pPr>
      <w:r>
        <w:rPr>
          <w:noProof/>
          <w:lang w:eastAsia="en-GB"/>
        </w:rPr>
        <w:drawing>
          <wp:inline distT="0" distB="0" distL="0" distR="0">
            <wp:extent cx="5724525" cy="58102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24525" cy="581025"/>
                    </a:xfrm>
                    <a:prstGeom prst="rect">
                      <a:avLst/>
                    </a:prstGeom>
                    <a:noFill/>
                    <a:ln w="9525">
                      <a:noFill/>
                      <a:miter lim="800000"/>
                      <a:headEnd/>
                      <a:tailEnd/>
                    </a:ln>
                  </pic:spPr>
                </pic:pic>
              </a:graphicData>
            </a:graphic>
          </wp:inline>
        </w:drawing>
      </w:r>
      <w:r w:rsidR="003D1ADF">
        <w:rPr>
          <w:rFonts w:cs="Arial"/>
        </w:rPr>
        <w:t xml:space="preserve"> </w:t>
      </w:r>
    </w:p>
    <w:p w:rsidR="001B7C53" w:rsidRDefault="001B7C53" w:rsidP="009C53CF">
      <w:pPr>
        <w:spacing w:after="240"/>
        <w:rPr>
          <w:rFonts w:cs="Arial"/>
        </w:rPr>
      </w:pPr>
    </w:p>
    <w:p w:rsidR="00530D16" w:rsidRDefault="007E1F43" w:rsidP="009C53CF">
      <w:pPr>
        <w:spacing w:after="240"/>
        <w:rPr>
          <w:rFonts w:cs="Arial"/>
        </w:rPr>
      </w:pPr>
      <w:r>
        <w:rPr>
          <w:rFonts w:cs="Arial"/>
        </w:rPr>
        <w:t>2</w:t>
      </w:r>
      <w:r w:rsidR="00FD2580">
        <w:rPr>
          <w:rFonts w:cs="Arial"/>
        </w:rPr>
        <w:t>.6</w:t>
      </w:r>
      <w:r w:rsidR="00FD2580">
        <w:rPr>
          <w:rFonts w:cs="Arial"/>
        </w:rPr>
        <w:tab/>
      </w:r>
      <w:r w:rsidR="00CC43C3">
        <w:rPr>
          <w:rFonts w:cs="Arial"/>
        </w:rPr>
        <w:t xml:space="preserve">Crude precision estimates were calculated by applying the match category specific estimates observed in the ScotXed – CHI linkage, to the frequency distribution of matches in this linkage. The workings for this can be seen in the appendix spreadsheet – worksheet “Best match workings”. This shows that while the ScotXed “optimal” match criteria provides the most consistent match rates between records processed with full date of birth (95.3%) and records processed with partial date of birth (94.8%), the estimated precision is much lower in the partial DOB sub-cohort (91.4% vs </w:t>
      </w:r>
      <w:r w:rsidR="00530D16">
        <w:rPr>
          <w:rFonts w:cs="Arial"/>
        </w:rPr>
        <w:t xml:space="preserve">98.3%). This is due to the large proportion of best matches which had an equally likely rival SpineID match where day of birth was not included as a matching variable. For example, 10% of these matches were category ‘E’ exact matches, but by definition for this match category, there was an alternative Spine record which would also exact match to that SCS ClientID. </w:t>
      </w:r>
    </w:p>
    <w:p w:rsidR="001B7C53" w:rsidRDefault="007E1F43" w:rsidP="009C53CF">
      <w:pPr>
        <w:spacing w:after="240"/>
        <w:rPr>
          <w:rFonts w:cs="Arial"/>
        </w:rPr>
      </w:pPr>
      <w:r>
        <w:rPr>
          <w:rFonts w:cs="Arial"/>
        </w:rPr>
        <w:t>2</w:t>
      </w:r>
      <w:r w:rsidR="00530D16">
        <w:rPr>
          <w:rFonts w:cs="Arial"/>
        </w:rPr>
        <w:t>.7</w:t>
      </w:r>
      <w:r w:rsidR="00530D16">
        <w:rPr>
          <w:rFonts w:cs="Arial"/>
        </w:rPr>
        <w:tab/>
        <w:t xml:space="preserve">Given this lack of confidence in the matching ability in the absence of day of birth, our recommendation is that </w:t>
      </w:r>
      <w:r w:rsidR="00D551D8">
        <w:rPr>
          <w:rFonts w:cs="Arial"/>
        </w:rPr>
        <w:t>best matches made without this variable be restricted to unique exact matches only. These give a linkage rate of 74.5% for these cases but potentially a precision estimate of 99.78%. Where we do have full date of birth, our recommendation is to use the optimal linkage criteria as per the ScotXed pupil census matching. Taking this “calibrated” approach, the overall combined linkage results in a match rate of 90.6%</w:t>
      </w:r>
      <w:r w:rsidR="00FF797F">
        <w:rPr>
          <w:rFonts w:cs="Arial"/>
        </w:rPr>
        <w:t xml:space="preserve"> (442,085 matched records)</w:t>
      </w:r>
      <w:r w:rsidR="00D551D8">
        <w:rPr>
          <w:rFonts w:cs="Arial"/>
        </w:rPr>
        <w:t xml:space="preserve"> and a</w:t>
      </w:r>
      <w:r w:rsidR="00743841">
        <w:rPr>
          <w:rFonts w:cs="Arial"/>
        </w:rPr>
        <w:t xml:space="preserve"> crudely</w:t>
      </w:r>
      <w:r w:rsidR="00D551D8">
        <w:rPr>
          <w:rFonts w:cs="Arial"/>
        </w:rPr>
        <w:t xml:space="preserve"> estimated precision of up to 98.6%.</w:t>
      </w:r>
    </w:p>
    <w:p w:rsidR="00FD2580" w:rsidRDefault="004D23CD" w:rsidP="009C53CF">
      <w:pPr>
        <w:spacing w:after="240"/>
      </w:pPr>
      <w:r>
        <w:rPr>
          <w:noProof/>
          <w:lang w:eastAsia="en-GB"/>
        </w:rPr>
        <w:lastRenderedPageBreak/>
        <w:drawing>
          <wp:inline distT="0" distB="0" distL="0" distR="0">
            <wp:extent cx="5724525" cy="1104900"/>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24525" cy="1104900"/>
                    </a:xfrm>
                    <a:prstGeom prst="rect">
                      <a:avLst/>
                    </a:prstGeom>
                    <a:noFill/>
                    <a:ln w="9525">
                      <a:noFill/>
                      <a:miter lim="800000"/>
                      <a:headEnd/>
                      <a:tailEnd/>
                    </a:ln>
                  </pic:spPr>
                </pic:pic>
              </a:graphicData>
            </a:graphic>
          </wp:inline>
        </w:drawing>
      </w:r>
    </w:p>
    <w:p w:rsidR="00D551D8" w:rsidRDefault="00D551D8" w:rsidP="009C53CF">
      <w:pPr>
        <w:spacing w:after="240"/>
      </w:pPr>
    </w:p>
    <w:p w:rsidR="00D551D8" w:rsidRDefault="007E1F43" w:rsidP="009C53CF">
      <w:pPr>
        <w:spacing w:after="240"/>
      </w:pPr>
      <w:r>
        <w:t>2</w:t>
      </w:r>
      <w:r w:rsidR="00D551D8">
        <w:t xml:space="preserve">.8 </w:t>
      </w:r>
      <w:r w:rsidR="00D551D8">
        <w:tab/>
        <w:t>The match rates reported above refer to linkage against the Spine. Not every person on the Spine has a CHI number. Encouragingly for the purposes of linkage between Social Care and Health data,</w:t>
      </w:r>
      <w:r w:rsidR="00FF797F">
        <w:t xml:space="preserve"> there is very little attrition (losing only 520 cases) </w:t>
      </w:r>
      <w:r w:rsidR="00D551D8">
        <w:t>from the Spine match rate (90.6%) and the CHI match rate (90.5%).</w:t>
      </w:r>
    </w:p>
    <w:p w:rsidR="00D551D8" w:rsidRDefault="007E1F43" w:rsidP="009C53CF">
      <w:pPr>
        <w:spacing w:after="240"/>
      </w:pPr>
      <w:r>
        <w:t>2</w:t>
      </w:r>
      <w:r w:rsidR="00F20C30">
        <w:t>.9</w:t>
      </w:r>
      <w:r w:rsidR="00F20C30">
        <w:tab/>
      </w:r>
      <w:r w:rsidR="00FF797F">
        <w:t xml:space="preserve">The Council Areas with the highest match rates are Angus and Dumfries &amp; Galloway (both 98.5%). </w:t>
      </w:r>
      <w:r w:rsidR="00CA6C6F">
        <w:t xml:space="preserve">Clackmannanshire Council had a match rate of just 1%. This was due, not only, to all Dates of Birth being recorded to Year and Month only, but also because Clacks postcodes were truncated to 6 </w:t>
      </w:r>
      <w:r w:rsidR="009F2CBA">
        <w:t xml:space="preserve">of the </w:t>
      </w:r>
      <w:r w:rsidR="00743841">
        <w:t xml:space="preserve">full </w:t>
      </w:r>
      <w:r w:rsidR="009F2CBA">
        <w:t xml:space="preserve">7 </w:t>
      </w:r>
      <w:r w:rsidR="00CA6C6F">
        <w:t>characters.</w:t>
      </w:r>
      <w:r w:rsidR="009F2CBA">
        <w:t xml:space="preserve"> The Council Area with the next lowest match rate was North Lanarkshire (76.7%).</w:t>
      </w:r>
    </w:p>
    <w:p w:rsidR="00F20C30" w:rsidRDefault="007E1F43" w:rsidP="00F20C30">
      <w:pPr>
        <w:spacing w:after="240"/>
      </w:pPr>
      <w:r>
        <w:t>2</w:t>
      </w:r>
      <w:r w:rsidR="00F20C30">
        <w:t xml:space="preserve">.10 </w:t>
      </w:r>
      <w:r w:rsidR="00F20C30">
        <w:tab/>
      </w:r>
      <w:r w:rsidR="00CF3B98">
        <w:t xml:space="preserve">As noted in section 3.2, there </w:t>
      </w:r>
      <w:r w:rsidR="006D36BD">
        <w:t xml:space="preserve">was an over-representation of people born in the year 1899 and 1900, which probably implies that most of these people have an incorrect year of birth. The match rates for these people were </w:t>
      </w:r>
      <w:r w:rsidR="008A5AFC">
        <w:t>accordingly low at 29.3% (1899) and 12.0% (1900). The match rate for people born between 1901 and 1905 was 65.2% and this rate increases up to a percentage in the mid-eighties for people born before 1914. From then on, there is a fairly consistent match rate in the range 87% to 93% for people born between 1914 and 1985. There is a slight decrease in match rate between 1986 and 199</w:t>
      </w:r>
      <w:r w:rsidR="006A7C9A">
        <w:t>1</w:t>
      </w:r>
      <w:r w:rsidR="008A5AFC">
        <w:t>, with a trough of 83.9% in 1988</w:t>
      </w:r>
      <w:r w:rsidR="006A7C9A">
        <w:t xml:space="preserve"> born people, and then the match rate picks up again. From 2012 births onwards the match rate decreases sharply to just over 50% in 2014. Where there was a missing or invalid (born post-2017) year of birth, only 0.1% of these cases could be linked.</w:t>
      </w:r>
    </w:p>
    <w:p w:rsidR="00CF3B98" w:rsidRDefault="004D23CD" w:rsidP="00F20C30">
      <w:pPr>
        <w:spacing w:after="240"/>
      </w:pPr>
      <w:r>
        <w:rPr>
          <w:noProof/>
          <w:lang w:eastAsia="en-GB"/>
        </w:rPr>
        <w:drawing>
          <wp:inline distT="0" distB="0" distL="0" distR="0">
            <wp:extent cx="4581525" cy="27527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581525" cy="2752725"/>
                    </a:xfrm>
                    <a:prstGeom prst="rect">
                      <a:avLst/>
                    </a:prstGeom>
                    <a:noFill/>
                    <a:ln w="9525">
                      <a:noFill/>
                      <a:miter lim="800000"/>
                      <a:headEnd/>
                      <a:tailEnd/>
                    </a:ln>
                  </pic:spPr>
                </pic:pic>
              </a:graphicData>
            </a:graphic>
          </wp:inline>
        </w:drawing>
      </w:r>
    </w:p>
    <w:p w:rsidR="00F20C30" w:rsidRDefault="007E1F43" w:rsidP="00F20C30">
      <w:pPr>
        <w:spacing w:after="240"/>
      </w:pPr>
      <w:r>
        <w:t>2</w:t>
      </w:r>
      <w:r w:rsidR="00F20C30">
        <w:t>.11</w:t>
      </w:r>
      <w:r w:rsidR="00F20C30" w:rsidRPr="00F20C30">
        <w:t xml:space="preserve"> </w:t>
      </w:r>
      <w:r w:rsidR="00F20C30">
        <w:t xml:space="preserve"> </w:t>
      </w:r>
      <w:r w:rsidR="00F20C30">
        <w:tab/>
      </w:r>
      <w:r w:rsidR="006A7C9A">
        <w:t>The match rates among males was 90.4% and was 91.0% in females. None of the 1,186 people with unknown gender could be matched.</w:t>
      </w:r>
    </w:p>
    <w:p w:rsidR="00F20C30" w:rsidRDefault="007E1F43" w:rsidP="00F20C30">
      <w:pPr>
        <w:spacing w:after="240"/>
      </w:pPr>
      <w:r>
        <w:lastRenderedPageBreak/>
        <w:t>2</w:t>
      </w:r>
      <w:r w:rsidR="00F20C30">
        <w:t>.12</w:t>
      </w:r>
      <w:r w:rsidR="00F20C30">
        <w:tab/>
      </w:r>
      <w:r w:rsidR="006A7C9A">
        <w:t xml:space="preserve">There was no discernible association </w:t>
      </w:r>
      <w:r w:rsidR="00035F42">
        <w:t xml:space="preserve">between match rate and SIMD2016 deciles with people belonging to deciles 2-10 consistently being in the range 93.2% to 93.9%. However, a larger proportion (94.4%) of the most deprived category of people (decile 1) could be successfully matched. Interestingly, this category of area deprivation had the lowest unique exact match rate (87.0%) and there was an obvious trend between lower deprviation and increasing exact matches, peaking at 90.6% in decile 9. </w:t>
      </w:r>
      <w:r w:rsidR="00743841">
        <w:t xml:space="preserve">Only 19.9% of the people who couldn’t be </w:t>
      </w:r>
      <w:r w:rsidR="00A743D9">
        <w:t>derived</w:t>
      </w:r>
      <w:r w:rsidR="00743841">
        <w:t xml:space="preserve"> a deprivation category could be linked to the spine.</w:t>
      </w:r>
    </w:p>
    <w:p w:rsidR="00F20C30" w:rsidRDefault="00F20C30" w:rsidP="00F20C30">
      <w:pPr>
        <w:spacing w:after="240"/>
      </w:pPr>
    </w:p>
    <w:p w:rsidR="00F20C30" w:rsidRDefault="00F20C30" w:rsidP="00F20C30">
      <w:pPr>
        <w:spacing w:after="240"/>
      </w:pPr>
    </w:p>
    <w:p w:rsidR="007E1F43" w:rsidRDefault="007E1F43" w:rsidP="007E1F43">
      <w:pPr>
        <w:spacing w:after="240"/>
        <w:rPr>
          <w:rFonts w:cs="Arial"/>
        </w:rPr>
      </w:pPr>
    </w:p>
    <w:p w:rsidR="007E1F43" w:rsidRDefault="007E1F43" w:rsidP="007E1F43">
      <w:pPr>
        <w:pStyle w:val="Heading1"/>
      </w:pPr>
      <w:bookmarkStart w:id="3" w:name="_Toc486323693"/>
      <w:r>
        <w:t>Conclusions and Recommendations</w:t>
      </w:r>
      <w:bookmarkEnd w:id="3"/>
    </w:p>
    <w:p w:rsidR="007E1F43" w:rsidRDefault="007E1F43" w:rsidP="007E1F43"/>
    <w:p w:rsidR="007E1F43" w:rsidRDefault="007E1F43" w:rsidP="007E1F43">
      <w:r>
        <w:t>3.1</w:t>
      </w:r>
      <w:r>
        <w:tab/>
        <w:t xml:space="preserve">Due to the variability in the quality of the PII provided by different local authorities, 29.6% of records had to be processed separately without day of the month of birth. Our recommended linkage criteria yields a linkage rate, at the council area personID level, of 90.6% to the Spine (90.5% to a CHI number). </w:t>
      </w:r>
    </w:p>
    <w:p w:rsidR="004617F5" w:rsidRDefault="004617F5" w:rsidP="007E1F43"/>
    <w:p w:rsidR="004617F5" w:rsidRDefault="004617F5" w:rsidP="007E1F43">
      <w:r>
        <w:t>3.2</w:t>
      </w:r>
      <w:r>
        <w:tab/>
        <w:t>The Indexing Team will hold the read-through to SpineID in a lookup file along with the match categories, linkage weights, full date of birth indicator. This means that researchers can prescribe linkage criteria, other than that recommended in this report, in order to meet the needs of their own  research study.</w:t>
      </w:r>
    </w:p>
    <w:p w:rsidR="007E1F43" w:rsidRDefault="007E1F43" w:rsidP="007E1F43"/>
    <w:p w:rsidR="007E1F43" w:rsidRDefault="007E1F43" w:rsidP="007E1F43">
      <w:r>
        <w:t>3.</w:t>
      </w:r>
      <w:r w:rsidR="004617F5">
        <w:t>3</w:t>
      </w:r>
      <w:r>
        <w:tab/>
        <w:t>Data from one</w:t>
      </w:r>
      <w:r w:rsidR="00A743D9">
        <w:t xml:space="preserve"> specific</w:t>
      </w:r>
      <w:r>
        <w:t xml:space="preserve"> council area should be explicitly excluded in linkage studies due to a negligible match rate.</w:t>
      </w:r>
      <w:r w:rsidRPr="006C00FF">
        <w:t xml:space="preserve"> </w:t>
      </w:r>
      <w:r>
        <w:t>Linkage rates vary (range 76.7% to 97.9%) across the remaining local authorities and researchers should be aware of these variances when reporting and interpreting results.</w:t>
      </w:r>
    </w:p>
    <w:p w:rsidR="007E1F43" w:rsidRDefault="007E1F43" w:rsidP="007E1F43"/>
    <w:p w:rsidR="007E1F43" w:rsidRDefault="007E1F43" w:rsidP="007E1F43">
      <w:r>
        <w:t>3.</w:t>
      </w:r>
      <w:r w:rsidR="004617F5">
        <w:t>4</w:t>
      </w:r>
      <w:r>
        <w:tab/>
        <w:t>Consideration should be given</w:t>
      </w:r>
      <w:r w:rsidR="004617F5">
        <w:t xml:space="preserve"> by SCS data controllers,</w:t>
      </w:r>
      <w:r>
        <w:t xml:space="preserve"> to obtaining named data </w:t>
      </w:r>
      <w:r w:rsidR="004617F5">
        <w:t xml:space="preserve">for linkage </w:t>
      </w:r>
      <w:r>
        <w:t>from selected pilot local authorities</w:t>
      </w:r>
      <w:r w:rsidR="004617F5">
        <w:t>. This would</w:t>
      </w:r>
      <w:r>
        <w:t xml:space="preserve"> allow a more robust estimate of precision in this linkage to be calculated.</w:t>
      </w:r>
    </w:p>
    <w:p w:rsidR="00F20C30" w:rsidRPr="009C53CF" w:rsidRDefault="00F20C30" w:rsidP="009C53CF">
      <w:pPr>
        <w:spacing w:after="240"/>
        <w:rPr>
          <w:rFonts w:cs="Arial"/>
        </w:rPr>
      </w:pPr>
    </w:p>
    <w:sectPr w:rsidR="00F20C30" w:rsidRPr="009C53CF" w:rsidSect="00AB54FF">
      <w:headerReference w:type="default" r:id="rId14"/>
      <w:footerReference w:type="default" r:id="rId15"/>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3779" w:rsidRDefault="00323779">
      <w:r>
        <w:separator/>
      </w:r>
    </w:p>
  </w:endnote>
  <w:endnote w:type="continuationSeparator" w:id="0">
    <w:p w:rsidR="00323779" w:rsidRDefault="00323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D4D" w:rsidRPr="0067486A" w:rsidRDefault="004D23CD" w:rsidP="006D1A49">
    <w:pPr>
      <w:pStyle w:val="Footer"/>
      <w:tabs>
        <w:tab w:val="clear" w:pos="4153"/>
        <w:tab w:val="clear" w:pos="8306"/>
        <w:tab w:val="center" w:pos="4500"/>
        <w:tab w:val="right" w:pos="9000"/>
      </w:tabs>
      <w:ind w:left="-851"/>
      <w:rPr>
        <w:sz w:val="20"/>
      </w:rPr>
    </w:pPr>
    <w:r>
      <w:rPr>
        <w:noProof/>
        <w:lang w:eastAsia="en-GB"/>
      </w:rPr>
      <w:drawing>
        <wp:anchor distT="0" distB="0" distL="114300" distR="114300" simplePos="0" relativeHeight="251658240" behindDoc="1" locked="0" layoutInCell="1" allowOverlap="1">
          <wp:simplePos x="0" y="0"/>
          <wp:positionH relativeFrom="column">
            <wp:posOffset>-554355</wp:posOffset>
          </wp:positionH>
          <wp:positionV relativeFrom="paragraph">
            <wp:posOffset>-87630</wp:posOffset>
          </wp:positionV>
          <wp:extent cx="3152775" cy="123825"/>
          <wp:effectExtent l="19050" t="0" r="9525" b="0"/>
          <wp:wrapNone/>
          <wp:docPr id="2" name="Picture 2" descr="NRSLette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RSLetterFooter"/>
                  <pic:cNvPicPr>
                    <a:picLocks noChangeAspect="1" noChangeArrowheads="1"/>
                  </pic:cNvPicPr>
                </pic:nvPicPr>
                <pic:blipFill>
                  <a:blip r:embed="rId1"/>
                  <a:srcRect/>
                  <a:stretch>
                    <a:fillRect/>
                  </a:stretch>
                </pic:blipFill>
                <pic:spPr bwMode="auto">
                  <a:xfrm>
                    <a:off x="0" y="0"/>
                    <a:ext cx="3152775" cy="12382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1E0" w:firstRow="1" w:lastRow="1" w:firstColumn="1" w:lastColumn="1" w:noHBand="0" w:noVBand="0"/>
    </w:tblPr>
    <w:tblGrid>
      <w:gridCol w:w="3080"/>
      <w:gridCol w:w="3081"/>
      <w:gridCol w:w="1507"/>
      <w:gridCol w:w="1574"/>
    </w:tblGrid>
    <w:tr w:rsidR="00917D4D" w:rsidTr="00961B9D">
      <w:tc>
        <w:tcPr>
          <w:tcW w:w="3080" w:type="dxa"/>
          <w:shd w:val="clear" w:color="auto" w:fill="auto"/>
        </w:tcPr>
        <w:p w:rsidR="00917D4D" w:rsidRPr="00961B9D" w:rsidRDefault="00917D4D" w:rsidP="00A743D9">
          <w:pPr>
            <w:pStyle w:val="Footer"/>
            <w:tabs>
              <w:tab w:val="clear" w:pos="4153"/>
              <w:tab w:val="clear" w:pos="8306"/>
              <w:tab w:val="center" w:pos="4500"/>
              <w:tab w:val="right" w:pos="9000"/>
            </w:tabs>
            <w:jc w:val="both"/>
            <w:rPr>
              <w:sz w:val="20"/>
            </w:rPr>
          </w:pPr>
          <w:r w:rsidRPr="00961B9D">
            <w:rPr>
              <w:sz w:val="20"/>
            </w:rPr>
            <w:t xml:space="preserve">Author:  </w:t>
          </w:r>
          <w:r w:rsidR="00A743D9">
            <w:rPr>
              <w:sz w:val="20"/>
            </w:rPr>
            <w:t>David Clark</w:t>
          </w:r>
        </w:p>
      </w:tc>
      <w:tc>
        <w:tcPr>
          <w:tcW w:w="3081" w:type="dxa"/>
          <w:shd w:val="clear" w:color="auto" w:fill="auto"/>
        </w:tcPr>
        <w:p w:rsidR="00917D4D" w:rsidRPr="00961B9D" w:rsidRDefault="00917D4D" w:rsidP="00961B9D">
          <w:pPr>
            <w:pStyle w:val="Footer"/>
            <w:tabs>
              <w:tab w:val="clear" w:pos="4153"/>
              <w:tab w:val="clear" w:pos="8306"/>
              <w:tab w:val="center" w:pos="4500"/>
              <w:tab w:val="right" w:pos="9000"/>
            </w:tabs>
            <w:jc w:val="center"/>
            <w:rPr>
              <w:sz w:val="20"/>
            </w:rPr>
          </w:pPr>
          <w:r w:rsidRPr="00961B9D">
            <w:rPr>
              <w:sz w:val="20"/>
            </w:rPr>
            <w:t xml:space="preserve">Page </w:t>
          </w:r>
          <w:r w:rsidR="009F4CA4" w:rsidRPr="00961B9D">
            <w:rPr>
              <w:rStyle w:val="PageNumber"/>
              <w:sz w:val="20"/>
            </w:rPr>
            <w:fldChar w:fldCharType="begin"/>
          </w:r>
          <w:r w:rsidRPr="00961B9D">
            <w:rPr>
              <w:rStyle w:val="PageNumber"/>
              <w:sz w:val="20"/>
            </w:rPr>
            <w:instrText xml:space="preserve"> PAGE </w:instrText>
          </w:r>
          <w:r w:rsidR="009F4CA4" w:rsidRPr="00961B9D">
            <w:rPr>
              <w:rStyle w:val="PageNumber"/>
              <w:sz w:val="20"/>
            </w:rPr>
            <w:fldChar w:fldCharType="separate"/>
          </w:r>
          <w:r w:rsidR="00EA4D83">
            <w:rPr>
              <w:rStyle w:val="PageNumber"/>
              <w:noProof/>
              <w:sz w:val="20"/>
            </w:rPr>
            <w:t>4</w:t>
          </w:r>
          <w:r w:rsidR="009F4CA4" w:rsidRPr="00961B9D">
            <w:rPr>
              <w:rStyle w:val="PageNumber"/>
              <w:sz w:val="20"/>
            </w:rPr>
            <w:fldChar w:fldCharType="end"/>
          </w:r>
          <w:r w:rsidRPr="00961B9D">
            <w:rPr>
              <w:rStyle w:val="PageNumber"/>
              <w:sz w:val="20"/>
            </w:rPr>
            <w:t xml:space="preserve"> of </w:t>
          </w:r>
          <w:r w:rsidR="009F4CA4" w:rsidRPr="00961B9D">
            <w:rPr>
              <w:rStyle w:val="PageNumber"/>
              <w:sz w:val="20"/>
            </w:rPr>
            <w:fldChar w:fldCharType="begin"/>
          </w:r>
          <w:r w:rsidRPr="00961B9D">
            <w:rPr>
              <w:rStyle w:val="PageNumber"/>
              <w:sz w:val="20"/>
            </w:rPr>
            <w:instrText xml:space="preserve"> NUMPAGES </w:instrText>
          </w:r>
          <w:r w:rsidR="009F4CA4" w:rsidRPr="00961B9D">
            <w:rPr>
              <w:rStyle w:val="PageNumber"/>
              <w:sz w:val="20"/>
            </w:rPr>
            <w:fldChar w:fldCharType="separate"/>
          </w:r>
          <w:r w:rsidR="00EA4D83">
            <w:rPr>
              <w:rStyle w:val="PageNumber"/>
              <w:noProof/>
              <w:sz w:val="20"/>
            </w:rPr>
            <w:t>7</w:t>
          </w:r>
          <w:r w:rsidR="009F4CA4" w:rsidRPr="00961B9D">
            <w:rPr>
              <w:rStyle w:val="PageNumber"/>
              <w:sz w:val="20"/>
            </w:rPr>
            <w:fldChar w:fldCharType="end"/>
          </w:r>
        </w:p>
      </w:tc>
      <w:tc>
        <w:tcPr>
          <w:tcW w:w="3081" w:type="dxa"/>
          <w:gridSpan w:val="2"/>
          <w:shd w:val="clear" w:color="auto" w:fill="auto"/>
        </w:tcPr>
        <w:p w:rsidR="00917D4D" w:rsidRPr="00961B9D" w:rsidRDefault="00917D4D" w:rsidP="00961B9D">
          <w:pPr>
            <w:pStyle w:val="Footer"/>
            <w:tabs>
              <w:tab w:val="clear" w:pos="4153"/>
              <w:tab w:val="clear" w:pos="8306"/>
              <w:tab w:val="center" w:pos="4500"/>
              <w:tab w:val="right" w:pos="9000"/>
            </w:tabs>
            <w:jc w:val="right"/>
            <w:rPr>
              <w:sz w:val="20"/>
            </w:rPr>
          </w:pPr>
          <w:r w:rsidRPr="00961B9D">
            <w:rPr>
              <w:sz w:val="20"/>
            </w:rPr>
            <w:t xml:space="preserve">Date last saved: </w:t>
          </w:r>
          <w:r w:rsidR="009F4CA4" w:rsidRPr="00961B9D">
            <w:rPr>
              <w:sz w:val="20"/>
            </w:rPr>
            <w:fldChar w:fldCharType="begin"/>
          </w:r>
          <w:r w:rsidRPr="00961B9D">
            <w:rPr>
              <w:sz w:val="20"/>
            </w:rPr>
            <w:instrText xml:space="preserve"> SAVEDATE  \@ "dd/MM/yyyy"  \* MERGEFORMAT </w:instrText>
          </w:r>
          <w:r w:rsidR="009F4CA4" w:rsidRPr="00961B9D">
            <w:rPr>
              <w:sz w:val="20"/>
            </w:rPr>
            <w:fldChar w:fldCharType="separate"/>
          </w:r>
          <w:r w:rsidR="00EA4D83">
            <w:rPr>
              <w:noProof/>
              <w:sz w:val="20"/>
            </w:rPr>
            <w:t>07/12/2017</w:t>
          </w:r>
          <w:r w:rsidR="009F4CA4" w:rsidRPr="00961B9D">
            <w:rPr>
              <w:sz w:val="20"/>
            </w:rPr>
            <w:fldChar w:fldCharType="end"/>
          </w:r>
          <w:r w:rsidRPr="00961B9D">
            <w:rPr>
              <w:sz w:val="20"/>
            </w:rPr>
            <w:t xml:space="preserve">  </w:t>
          </w:r>
        </w:p>
      </w:tc>
    </w:tr>
    <w:tr w:rsidR="00917D4D" w:rsidRPr="006A1F81" w:rsidTr="00961B9D">
      <w:tc>
        <w:tcPr>
          <w:tcW w:w="7668" w:type="dxa"/>
          <w:gridSpan w:val="3"/>
          <w:shd w:val="clear" w:color="auto" w:fill="auto"/>
        </w:tcPr>
        <w:p w:rsidR="00917D4D" w:rsidRPr="00961B9D" w:rsidRDefault="00917D4D" w:rsidP="00A743D9">
          <w:pPr>
            <w:pStyle w:val="Footer"/>
            <w:tabs>
              <w:tab w:val="clear" w:pos="4153"/>
              <w:tab w:val="clear" w:pos="8306"/>
              <w:tab w:val="center" w:pos="4500"/>
              <w:tab w:val="right" w:pos="9000"/>
            </w:tabs>
            <w:rPr>
              <w:sz w:val="20"/>
            </w:rPr>
          </w:pPr>
          <w:r w:rsidRPr="00961B9D">
            <w:rPr>
              <w:sz w:val="20"/>
            </w:rPr>
            <w:t xml:space="preserve">File location: </w:t>
          </w:r>
          <w:r w:rsidR="00A743D9" w:rsidRPr="00A743D9">
            <w:rPr>
              <w:sz w:val="20"/>
            </w:rPr>
            <w:t>\Studies Pre-2017\2017.02.03 - Social Care Survey Readthru</w:t>
          </w:r>
          <w:r w:rsidR="00A743D9">
            <w:rPr>
              <w:sz w:val="20"/>
            </w:rPr>
            <w:t>\</w:t>
          </w:r>
        </w:p>
      </w:tc>
      <w:tc>
        <w:tcPr>
          <w:tcW w:w="1574" w:type="dxa"/>
          <w:shd w:val="clear" w:color="auto" w:fill="auto"/>
        </w:tcPr>
        <w:p w:rsidR="00917D4D" w:rsidRPr="00961B9D" w:rsidRDefault="00917D4D" w:rsidP="00A743D9">
          <w:pPr>
            <w:pStyle w:val="Footer"/>
            <w:tabs>
              <w:tab w:val="clear" w:pos="4153"/>
              <w:tab w:val="clear" w:pos="8306"/>
              <w:tab w:val="center" w:pos="4500"/>
              <w:tab w:val="right" w:pos="9000"/>
            </w:tabs>
            <w:jc w:val="right"/>
            <w:rPr>
              <w:sz w:val="20"/>
            </w:rPr>
          </w:pPr>
          <w:r w:rsidRPr="00961B9D">
            <w:rPr>
              <w:sz w:val="20"/>
            </w:rPr>
            <w:t>Version</w:t>
          </w:r>
          <w:r w:rsidR="00A743D9">
            <w:rPr>
              <w:sz w:val="20"/>
            </w:rPr>
            <w:t>: 0.1</w:t>
          </w:r>
          <w:r w:rsidRPr="00961B9D">
            <w:rPr>
              <w:sz w:val="20"/>
            </w:rPr>
            <w:t xml:space="preserve"> </w:t>
          </w:r>
        </w:p>
      </w:tc>
    </w:tr>
  </w:tbl>
  <w:p w:rsidR="00917D4D" w:rsidRPr="0067486A" w:rsidRDefault="00917D4D" w:rsidP="0067486A">
    <w:pPr>
      <w:pStyle w:val="Footer"/>
      <w:tabs>
        <w:tab w:val="clear" w:pos="4153"/>
        <w:tab w:val="clear" w:pos="8306"/>
        <w:tab w:val="center" w:pos="4500"/>
        <w:tab w:val="right" w:pos="9000"/>
      </w:tabs>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3779" w:rsidRDefault="00323779">
      <w:r>
        <w:separator/>
      </w:r>
    </w:p>
  </w:footnote>
  <w:footnote w:type="continuationSeparator" w:id="0">
    <w:p w:rsidR="00323779" w:rsidRDefault="003237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D4D" w:rsidRPr="0067486A" w:rsidRDefault="004D23CD" w:rsidP="0067486A">
    <w:pPr>
      <w:pStyle w:val="Header"/>
      <w:tabs>
        <w:tab w:val="clear" w:pos="4153"/>
        <w:tab w:val="clear" w:pos="8306"/>
        <w:tab w:val="center" w:pos="4500"/>
        <w:tab w:val="right" w:pos="9000"/>
      </w:tabs>
      <w:rPr>
        <w:sz w:val="20"/>
      </w:rPr>
    </w:pPr>
    <w:r>
      <w:rPr>
        <w:noProof/>
        <w:sz w:val="20"/>
        <w:lang w:eastAsia="en-GB"/>
      </w:rPr>
      <w:drawing>
        <wp:anchor distT="0" distB="0" distL="114300" distR="114300" simplePos="0" relativeHeight="251657216" behindDoc="0" locked="0" layoutInCell="1" allowOverlap="1">
          <wp:simplePos x="0" y="0"/>
          <wp:positionH relativeFrom="column">
            <wp:posOffset>-554355</wp:posOffset>
          </wp:positionH>
          <wp:positionV relativeFrom="paragraph">
            <wp:posOffset>-97155</wp:posOffset>
          </wp:positionV>
          <wp:extent cx="2019300" cy="571500"/>
          <wp:effectExtent l="19050" t="0" r="0" b="0"/>
          <wp:wrapNone/>
          <wp:docPr id="1" name="Picture 1" descr="NRS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RSLetterHead"/>
                  <pic:cNvPicPr>
                    <a:picLocks noChangeAspect="1" noChangeArrowheads="1"/>
                  </pic:cNvPicPr>
                </pic:nvPicPr>
                <pic:blipFill>
                  <a:blip r:embed="rId1"/>
                  <a:srcRect/>
                  <a:stretch>
                    <a:fillRect/>
                  </a:stretch>
                </pic:blipFill>
                <pic:spPr bwMode="auto">
                  <a:xfrm>
                    <a:off x="0" y="0"/>
                    <a:ext cx="2019300" cy="571500"/>
                  </a:xfrm>
                  <a:prstGeom prst="rect">
                    <a:avLst/>
                  </a:prstGeom>
                  <a:noFill/>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2943"/>
      <w:gridCol w:w="4583"/>
      <w:gridCol w:w="1574"/>
    </w:tblGrid>
    <w:tr w:rsidR="00917D4D" w:rsidTr="00961B9D">
      <w:tc>
        <w:tcPr>
          <w:tcW w:w="2943" w:type="dxa"/>
          <w:shd w:val="clear" w:color="auto" w:fill="auto"/>
        </w:tcPr>
        <w:p w:rsidR="00917D4D" w:rsidRPr="00961B9D" w:rsidRDefault="003B6EEC" w:rsidP="00961B9D">
          <w:pPr>
            <w:pStyle w:val="Header"/>
            <w:tabs>
              <w:tab w:val="clear" w:pos="4153"/>
              <w:tab w:val="clear" w:pos="8306"/>
              <w:tab w:val="center" w:pos="4500"/>
              <w:tab w:val="right" w:pos="9000"/>
            </w:tabs>
            <w:rPr>
              <w:sz w:val="20"/>
            </w:rPr>
          </w:pPr>
          <w:r w:rsidRPr="00961B9D">
            <w:rPr>
              <w:sz w:val="20"/>
            </w:rPr>
            <w:t>N</w:t>
          </w:r>
          <w:r w:rsidR="006D1A49" w:rsidRPr="00961B9D">
            <w:rPr>
              <w:sz w:val="20"/>
            </w:rPr>
            <w:t>ational Records of Scotland</w:t>
          </w:r>
        </w:p>
      </w:tc>
      <w:tc>
        <w:tcPr>
          <w:tcW w:w="4583" w:type="dxa"/>
          <w:shd w:val="clear" w:color="auto" w:fill="auto"/>
        </w:tcPr>
        <w:p w:rsidR="00917D4D" w:rsidRPr="00961B9D" w:rsidRDefault="00A743D9" w:rsidP="00961B9D">
          <w:pPr>
            <w:pStyle w:val="Header"/>
            <w:tabs>
              <w:tab w:val="clear" w:pos="4153"/>
              <w:tab w:val="clear" w:pos="8306"/>
              <w:tab w:val="center" w:pos="4500"/>
              <w:tab w:val="right" w:pos="9000"/>
            </w:tabs>
            <w:jc w:val="center"/>
            <w:rPr>
              <w:sz w:val="20"/>
            </w:rPr>
          </w:pPr>
          <w:r>
            <w:rPr>
              <w:sz w:val="20"/>
            </w:rPr>
            <w:t>SCS Linkage Report</w:t>
          </w:r>
        </w:p>
      </w:tc>
      <w:tc>
        <w:tcPr>
          <w:tcW w:w="1574" w:type="dxa"/>
          <w:shd w:val="clear" w:color="auto" w:fill="auto"/>
        </w:tcPr>
        <w:p w:rsidR="00917D4D" w:rsidRPr="00961B9D" w:rsidRDefault="00A743D9" w:rsidP="00961B9D">
          <w:pPr>
            <w:pStyle w:val="Header"/>
            <w:tabs>
              <w:tab w:val="clear" w:pos="4153"/>
              <w:tab w:val="clear" w:pos="8306"/>
              <w:tab w:val="center" w:pos="4500"/>
              <w:tab w:val="right" w:pos="9000"/>
            </w:tabs>
            <w:jc w:val="both"/>
            <w:rPr>
              <w:sz w:val="20"/>
            </w:rPr>
          </w:pPr>
          <w:r>
            <w:rPr>
              <w:sz w:val="20"/>
            </w:rPr>
            <w:t>June 2017</w:t>
          </w:r>
        </w:p>
      </w:tc>
    </w:tr>
  </w:tbl>
  <w:p w:rsidR="00917D4D" w:rsidRPr="0067486A" w:rsidRDefault="00917D4D" w:rsidP="0067486A">
    <w:pPr>
      <w:pStyle w:val="Header"/>
      <w:tabs>
        <w:tab w:val="clear" w:pos="4153"/>
        <w:tab w:val="clear" w:pos="8306"/>
        <w:tab w:val="center" w:pos="4500"/>
        <w:tab w:val="right" w:pos="9000"/>
      </w:tabs>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CB227FEE"/>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122"/>
    <w:rsid w:val="00035F42"/>
    <w:rsid w:val="0007043D"/>
    <w:rsid w:val="00090A55"/>
    <w:rsid w:val="00157346"/>
    <w:rsid w:val="00163AC7"/>
    <w:rsid w:val="00192DC7"/>
    <w:rsid w:val="001B7C53"/>
    <w:rsid w:val="001E6358"/>
    <w:rsid w:val="00251454"/>
    <w:rsid w:val="00252E9D"/>
    <w:rsid w:val="00253945"/>
    <w:rsid w:val="00323779"/>
    <w:rsid w:val="00397B63"/>
    <w:rsid w:val="003B6EEC"/>
    <w:rsid w:val="003D1ADF"/>
    <w:rsid w:val="003F2479"/>
    <w:rsid w:val="00403122"/>
    <w:rsid w:val="00427F0A"/>
    <w:rsid w:val="004617F5"/>
    <w:rsid w:val="004D23CD"/>
    <w:rsid w:val="00530D16"/>
    <w:rsid w:val="00533869"/>
    <w:rsid w:val="005757D0"/>
    <w:rsid w:val="0058630C"/>
    <w:rsid w:val="005A7207"/>
    <w:rsid w:val="005D21D1"/>
    <w:rsid w:val="00621E1B"/>
    <w:rsid w:val="0065066A"/>
    <w:rsid w:val="0067486A"/>
    <w:rsid w:val="00692038"/>
    <w:rsid w:val="006A1F81"/>
    <w:rsid w:val="006A7C9A"/>
    <w:rsid w:val="006C00FF"/>
    <w:rsid w:val="006D1A49"/>
    <w:rsid w:val="006D36BD"/>
    <w:rsid w:val="006E6CD1"/>
    <w:rsid w:val="006F1F3B"/>
    <w:rsid w:val="006F4208"/>
    <w:rsid w:val="006F74D5"/>
    <w:rsid w:val="007075ED"/>
    <w:rsid w:val="00730EC2"/>
    <w:rsid w:val="00743841"/>
    <w:rsid w:val="0078002B"/>
    <w:rsid w:val="007910F3"/>
    <w:rsid w:val="00792AF6"/>
    <w:rsid w:val="007E1F43"/>
    <w:rsid w:val="008A5AFC"/>
    <w:rsid w:val="008B6E5C"/>
    <w:rsid w:val="00917D4D"/>
    <w:rsid w:val="00917F77"/>
    <w:rsid w:val="009231FB"/>
    <w:rsid w:val="00952710"/>
    <w:rsid w:val="00961B9D"/>
    <w:rsid w:val="00996F39"/>
    <w:rsid w:val="009C53CF"/>
    <w:rsid w:val="009E0FF1"/>
    <w:rsid w:val="009E17F1"/>
    <w:rsid w:val="009E3679"/>
    <w:rsid w:val="009F2CBA"/>
    <w:rsid w:val="009F4CA4"/>
    <w:rsid w:val="009F71B8"/>
    <w:rsid w:val="00A56EBA"/>
    <w:rsid w:val="00A70892"/>
    <w:rsid w:val="00A743D9"/>
    <w:rsid w:val="00A90A53"/>
    <w:rsid w:val="00AB54FF"/>
    <w:rsid w:val="00AE01CB"/>
    <w:rsid w:val="00BB1E16"/>
    <w:rsid w:val="00C16075"/>
    <w:rsid w:val="00C86FBA"/>
    <w:rsid w:val="00CA2800"/>
    <w:rsid w:val="00CA6C6F"/>
    <w:rsid w:val="00CB2E7D"/>
    <w:rsid w:val="00CC43C3"/>
    <w:rsid w:val="00CF3B98"/>
    <w:rsid w:val="00D04427"/>
    <w:rsid w:val="00D11AB7"/>
    <w:rsid w:val="00D551D8"/>
    <w:rsid w:val="00DF5CCE"/>
    <w:rsid w:val="00E04EA4"/>
    <w:rsid w:val="00E05721"/>
    <w:rsid w:val="00E3599D"/>
    <w:rsid w:val="00E36759"/>
    <w:rsid w:val="00E4067A"/>
    <w:rsid w:val="00EA4D83"/>
    <w:rsid w:val="00F05736"/>
    <w:rsid w:val="00F20C30"/>
    <w:rsid w:val="00F55B7E"/>
    <w:rsid w:val="00F8520C"/>
    <w:rsid w:val="00FD2580"/>
    <w:rsid w:val="00FF79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894D89D-5BB7-454C-B201-E295486E9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A1F81"/>
    <w:pPr>
      <w:tabs>
        <w:tab w:val="left" w:pos="720"/>
        <w:tab w:val="left" w:pos="1440"/>
        <w:tab w:val="left" w:pos="2160"/>
        <w:tab w:val="left" w:pos="2880"/>
        <w:tab w:val="left" w:pos="4680"/>
        <w:tab w:val="left" w:pos="5400"/>
        <w:tab w:val="right" w:pos="9000"/>
      </w:tabs>
      <w:spacing w:line="240" w:lineRule="atLeast"/>
    </w:pPr>
    <w:rPr>
      <w:rFonts w:ascii="Arial" w:hAnsi="Arial"/>
      <w:sz w:val="24"/>
      <w:lang w:eastAsia="en-US"/>
    </w:rPr>
  </w:style>
  <w:style w:type="paragraph" w:styleId="Heading1">
    <w:name w:val="heading 1"/>
    <w:aliases w:val="Outline1"/>
    <w:basedOn w:val="Normal"/>
    <w:next w:val="Normal"/>
    <w:qFormat/>
    <w:rsid w:val="00251454"/>
    <w:pPr>
      <w:numPr>
        <w:numId w:val="4"/>
      </w:numPr>
      <w:outlineLvl w:val="0"/>
    </w:pPr>
    <w:rPr>
      <w:b/>
      <w:bCs/>
      <w:sz w:val="28"/>
      <w:szCs w:val="28"/>
    </w:rPr>
  </w:style>
  <w:style w:type="paragraph" w:styleId="Heading2">
    <w:name w:val="heading 2"/>
    <w:aliases w:val="Outline2"/>
    <w:basedOn w:val="Normal"/>
    <w:next w:val="Normal"/>
    <w:qFormat/>
    <w:rsid w:val="00157346"/>
    <w:pPr>
      <w:numPr>
        <w:ilvl w:val="1"/>
        <w:numId w:val="4"/>
      </w:numPr>
      <w:ind w:left="720"/>
      <w:outlineLvl w:val="1"/>
    </w:pPr>
    <w:rPr>
      <w:kern w:val="24"/>
    </w:rPr>
  </w:style>
  <w:style w:type="paragraph" w:styleId="Heading3">
    <w:name w:val="heading 3"/>
    <w:aliases w:val="Outline3"/>
    <w:basedOn w:val="Normal"/>
    <w:next w:val="Normal"/>
    <w:qFormat/>
    <w:rsid w:val="00157346"/>
    <w:pPr>
      <w:numPr>
        <w:ilvl w:val="2"/>
        <w:numId w:val="4"/>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table" w:styleId="TableGrid">
    <w:name w:val="Table Grid"/>
    <w:basedOn w:val="TableNormal"/>
    <w:rsid w:val="00BB1E16"/>
    <w:pPr>
      <w:tabs>
        <w:tab w:val="left" w:pos="720"/>
        <w:tab w:val="left" w:pos="1440"/>
        <w:tab w:val="left" w:pos="2160"/>
        <w:tab w:val="left" w:pos="2880"/>
        <w:tab w:val="left" w:pos="4680"/>
        <w:tab w:val="left" w:pos="5400"/>
        <w:tab w:val="right" w:pos="9000"/>
      </w:tabs>
      <w:spacing w:line="24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BB1E16"/>
  </w:style>
  <w:style w:type="paragraph" w:styleId="Title">
    <w:name w:val="Title"/>
    <w:basedOn w:val="Normal"/>
    <w:qFormat/>
    <w:rsid w:val="009E3679"/>
    <w:pPr>
      <w:tabs>
        <w:tab w:val="clear" w:pos="720"/>
        <w:tab w:val="clear" w:pos="1440"/>
        <w:tab w:val="clear" w:pos="2160"/>
        <w:tab w:val="clear" w:pos="2880"/>
        <w:tab w:val="clear" w:pos="4680"/>
        <w:tab w:val="clear" w:pos="5400"/>
        <w:tab w:val="clear" w:pos="9000"/>
      </w:tabs>
      <w:spacing w:line="240" w:lineRule="auto"/>
      <w:jc w:val="center"/>
    </w:pPr>
    <w:rPr>
      <w:rFonts w:cs="Arial"/>
      <w:bCs/>
      <w:color w:val="000000"/>
      <w:szCs w:val="24"/>
      <w:lang w:eastAsia="en-GB"/>
    </w:rPr>
  </w:style>
  <w:style w:type="paragraph" w:styleId="TOC1">
    <w:name w:val="toc 1"/>
    <w:basedOn w:val="Normal"/>
    <w:next w:val="Normal"/>
    <w:autoRedefine/>
    <w:uiPriority w:val="39"/>
    <w:rsid w:val="009C53CF"/>
    <w:pPr>
      <w:tabs>
        <w:tab w:val="clear" w:pos="720"/>
        <w:tab w:val="clear" w:pos="1440"/>
        <w:tab w:val="clear" w:pos="2160"/>
        <w:tab w:val="clear" w:pos="2880"/>
        <w:tab w:val="clear" w:pos="4680"/>
        <w:tab w:val="clear" w:pos="5400"/>
        <w:tab w:val="clear" w:pos="9000"/>
      </w:tabs>
    </w:pPr>
  </w:style>
  <w:style w:type="character" w:styleId="Hyperlink">
    <w:name w:val="Hyperlink"/>
    <w:uiPriority w:val="99"/>
    <w:rsid w:val="009C53CF"/>
    <w:rPr>
      <w:color w:val="0000FF"/>
      <w:u w:val="single"/>
    </w:rPr>
  </w:style>
  <w:style w:type="character" w:styleId="CommentReference">
    <w:name w:val="annotation reference"/>
    <w:semiHidden/>
    <w:rsid w:val="00C16075"/>
    <w:rPr>
      <w:sz w:val="16"/>
      <w:szCs w:val="16"/>
    </w:rPr>
  </w:style>
  <w:style w:type="paragraph" w:styleId="CommentText">
    <w:name w:val="annotation text"/>
    <w:basedOn w:val="Normal"/>
    <w:semiHidden/>
    <w:rsid w:val="00C16075"/>
    <w:rPr>
      <w:sz w:val="20"/>
    </w:rPr>
  </w:style>
  <w:style w:type="paragraph" w:styleId="CommentSubject">
    <w:name w:val="annotation subject"/>
    <w:basedOn w:val="CommentText"/>
    <w:next w:val="CommentText"/>
    <w:semiHidden/>
    <w:rsid w:val="00C16075"/>
    <w:rPr>
      <w:b/>
      <w:bCs/>
    </w:rPr>
  </w:style>
  <w:style w:type="paragraph" w:styleId="BalloonText">
    <w:name w:val="Balloon Text"/>
    <w:basedOn w:val="Normal"/>
    <w:semiHidden/>
    <w:rsid w:val="00C16075"/>
    <w:rPr>
      <w:rFonts w:ascii="Tahoma" w:hAnsi="Tahoma" w:cs="Tahoma"/>
      <w:sz w:val="16"/>
      <w:szCs w:val="16"/>
    </w:rPr>
  </w:style>
  <w:style w:type="paragraph" w:customStyle="1" w:styleId="Default">
    <w:name w:val="Default"/>
    <w:rsid w:val="00917D4D"/>
    <w:pPr>
      <w:autoSpaceDE w:val="0"/>
      <w:autoSpaceDN w:val="0"/>
      <w:adjustRightInd w:val="0"/>
    </w:pPr>
    <w:rPr>
      <w:rFonts w:ascii="Arial" w:hAnsi="Arial" w:cs="Arial"/>
      <w:color w:val="000000"/>
      <w:sz w:val="24"/>
      <w:szCs w:val="24"/>
    </w:rPr>
  </w:style>
  <w:style w:type="paragraph" w:customStyle="1" w:styleId="StyleDefault18ptBoldCentered">
    <w:name w:val="Style Default + 18 pt Bold Centered"/>
    <w:basedOn w:val="Default"/>
    <w:rsid w:val="006E6CD1"/>
    <w:pPr>
      <w:jc w:val="center"/>
    </w:pPr>
    <w:rPr>
      <w:rFonts w:cs="Times New Roman"/>
      <w:b/>
      <w:bCs/>
      <w:color w:val="auto"/>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875854">
      <w:bodyDiv w:val="1"/>
      <w:marLeft w:val="0"/>
      <w:marRight w:val="0"/>
      <w:marTop w:val="0"/>
      <w:marBottom w:val="0"/>
      <w:divBdr>
        <w:top w:val="none" w:sz="0" w:space="0" w:color="auto"/>
        <w:left w:val="none" w:sz="0" w:space="0" w:color="auto"/>
        <w:bottom w:val="none" w:sz="0" w:space="0" w:color="auto"/>
        <w:right w:val="none" w:sz="0" w:space="0" w:color="auto"/>
      </w:divBdr>
    </w:div>
    <w:div w:id="129991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isdscotland.org/Products-and-Services/eDRIS/Docs/20150421-Linking-ScotXed-Data.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56CA0-A2A5-41EA-8470-ADBE2F244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1554</Words>
  <Characters>8859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Report - General.dot</vt:lpstr>
    </vt:vector>
  </TitlesOfParts>
  <Company>Scottish Executive</Company>
  <LinksUpToDate>false</LinksUpToDate>
  <CharactersWithSpaces>10393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 General.dot</dc:title>
  <dc:subject>NRS - Ladywell House - General Report</dc:subject>
  <dc:creator>Z610673</dc:creator>
  <cp:lastModifiedBy>David Henderson</cp:lastModifiedBy>
  <cp:revision>2</cp:revision>
  <cp:lastPrinted>2006-05-23T08:54:00Z</cp:lastPrinted>
  <dcterms:created xsi:type="dcterms:W3CDTF">2017-12-08T17:30:00Z</dcterms:created>
  <dcterms:modified xsi:type="dcterms:W3CDTF">2017-12-08T17:30:00Z</dcterms:modified>
  <cp:category>Letter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Number">
    <vt:lpwstr>1</vt:lpwstr>
  </property>
  <property fmtid="{D5CDD505-2E9C-101B-9397-08002B2CF9AE}" pid="3" name="Document number">
    <vt:lpwstr>R288899</vt:lpwstr>
  </property>
</Properties>
</file>