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F36" w:rsidRPr="004B2F36" w:rsidRDefault="004B2F36" w:rsidP="000F6CF8">
      <w:pPr>
        <w:rPr>
          <w:b/>
          <w:sz w:val="24"/>
        </w:rPr>
      </w:pPr>
      <w:r w:rsidRPr="004B2F36">
        <w:rPr>
          <w:b/>
          <w:sz w:val="24"/>
        </w:rPr>
        <w:t>Using CAPM to Evaluate the Performance of L</w:t>
      </w:r>
      <w:r w:rsidR="00BE5534">
        <w:rPr>
          <w:b/>
          <w:sz w:val="24"/>
        </w:rPr>
        <w:t xml:space="preserve">isted </w:t>
      </w:r>
      <w:r w:rsidRPr="004B2F36">
        <w:rPr>
          <w:b/>
          <w:sz w:val="24"/>
        </w:rPr>
        <w:t>I</w:t>
      </w:r>
      <w:r w:rsidR="00BE5534">
        <w:rPr>
          <w:b/>
          <w:sz w:val="24"/>
        </w:rPr>
        <w:t xml:space="preserve">nvestment </w:t>
      </w:r>
      <w:r w:rsidRPr="004B2F36">
        <w:rPr>
          <w:b/>
          <w:sz w:val="24"/>
        </w:rPr>
        <w:t>C</w:t>
      </w:r>
      <w:r w:rsidR="00BE5534">
        <w:rPr>
          <w:b/>
          <w:sz w:val="24"/>
        </w:rPr>
        <w:t>ompanies</w:t>
      </w:r>
      <w:r w:rsidRPr="004B2F36">
        <w:rPr>
          <w:b/>
          <w:sz w:val="24"/>
        </w:rPr>
        <w:t xml:space="preserve"> </w:t>
      </w:r>
      <w:r w:rsidR="00BE5534">
        <w:rPr>
          <w:b/>
          <w:sz w:val="24"/>
        </w:rPr>
        <w:t>with</w:t>
      </w:r>
      <w:r w:rsidR="007F2B5F">
        <w:rPr>
          <w:b/>
          <w:sz w:val="24"/>
        </w:rPr>
        <w:t xml:space="preserve"> R</w:t>
      </w:r>
    </w:p>
    <w:p w:rsidR="00BE5534" w:rsidRPr="00BE5534" w:rsidRDefault="00BE5534" w:rsidP="000F6CF8">
      <w:pPr>
        <w:rPr>
          <w:i/>
        </w:rPr>
      </w:pPr>
      <w:r w:rsidRPr="00BE5534">
        <w:rPr>
          <w:i/>
        </w:rPr>
        <w:t xml:space="preserve">The main reason </w:t>
      </w:r>
      <w:r>
        <w:rPr>
          <w:i/>
        </w:rPr>
        <w:t>an investor would choose</w:t>
      </w:r>
      <w:r w:rsidRPr="00BE5534">
        <w:rPr>
          <w:i/>
        </w:rPr>
        <w:t xml:space="preserve"> </w:t>
      </w:r>
      <w:r>
        <w:rPr>
          <w:i/>
        </w:rPr>
        <w:t xml:space="preserve">to invest in </w:t>
      </w:r>
      <w:r w:rsidRPr="00BE5534">
        <w:rPr>
          <w:i/>
        </w:rPr>
        <w:t xml:space="preserve">LIC </w:t>
      </w:r>
      <w:r>
        <w:rPr>
          <w:i/>
        </w:rPr>
        <w:t>securities is to</w:t>
      </w:r>
      <w:r w:rsidRPr="00BE5534">
        <w:rPr>
          <w:i/>
        </w:rPr>
        <w:t xml:space="preserve"> chase the return</w:t>
      </w:r>
      <w:r>
        <w:rPr>
          <w:i/>
        </w:rPr>
        <w:t xml:space="preserve">s that </w:t>
      </w:r>
      <w:r w:rsidRPr="00BE5534">
        <w:rPr>
          <w:i/>
        </w:rPr>
        <w:t>a</w:t>
      </w:r>
      <w:r>
        <w:rPr>
          <w:i/>
        </w:rPr>
        <w:t>re higher than that of a market</w:t>
      </w:r>
      <w:r w:rsidRPr="00BE5534">
        <w:rPr>
          <w:i/>
        </w:rPr>
        <w:t xml:space="preserve"> benchmark</w:t>
      </w:r>
      <w:r>
        <w:rPr>
          <w:i/>
        </w:rPr>
        <w:t xml:space="preserve"> (alpha returns</w:t>
      </w:r>
      <w:r w:rsidRPr="00BE5534">
        <w:rPr>
          <w:i/>
        </w:rPr>
        <w:t>).</w:t>
      </w:r>
      <w:r>
        <w:rPr>
          <w:i/>
        </w:rPr>
        <w:t xml:space="preserve"> We analyse the performance of ASX Listed Investment Companies (LICs) over the past to determine whether such an investment is worthwhile.</w:t>
      </w:r>
    </w:p>
    <w:p w:rsidR="0074185B" w:rsidRDefault="00181BAE" w:rsidP="000F6CF8">
      <w:r>
        <w:t xml:space="preserve">The return on an investment </w:t>
      </w:r>
      <w:r w:rsidR="00BE5534">
        <w:t>should</w:t>
      </w:r>
      <w:r>
        <w:t xml:space="preserve"> compensate</w:t>
      </w:r>
      <w:r w:rsidR="0074185B">
        <w:t xml:space="preserve"> </w:t>
      </w:r>
      <w:r>
        <w:t xml:space="preserve">an investor for the time value of the </w:t>
      </w:r>
      <w:r w:rsidR="00BE5534">
        <w:t>capital</w:t>
      </w:r>
      <w:r>
        <w:t xml:space="preserve"> they have invested</w:t>
      </w:r>
      <w:r w:rsidR="00BE5534">
        <w:t xml:space="preserve">, as well as </w:t>
      </w:r>
      <w:r>
        <w:t xml:space="preserve">the risk that their investment may be lost and not returned. The Capital Asset Pricing Model (CAPM) is widely used in finance as a means of determining the level of compensation an investor </w:t>
      </w:r>
      <w:r w:rsidR="00BE5534">
        <w:t>should expect to receive from an</w:t>
      </w:r>
      <w:r>
        <w:t xml:space="preserve"> investment given </w:t>
      </w:r>
      <w:r w:rsidR="00C94CCF">
        <w:t xml:space="preserve">the level of risk associated with holding </w:t>
      </w:r>
      <w:r w:rsidR="00BE5534">
        <w:t>that particular</w:t>
      </w:r>
      <w:r w:rsidR="00C94CCF">
        <w:t xml:space="preserve"> asset </w:t>
      </w:r>
      <w:r w:rsidR="00BE5534">
        <w:t>rather than</w:t>
      </w:r>
      <w:r w:rsidR="00C94CCF">
        <w:t xml:space="preserve"> </w:t>
      </w:r>
      <w:r w:rsidR="00BE5534">
        <w:t xml:space="preserve">holding </w:t>
      </w:r>
      <w:r w:rsidR="00C94CCF">
        <w:t>a “risk-free” asset</w:t>
      </w:r>
      <w:r w:rsidR="00BE5534">
        <w:t>, such as sovereign government bonds</w:t>
      </w:r>
      <w:r w:rsidR="00C94CCF">
        <w:t>.</w:t>
      </w:r>
    </w:p>
    <w:p w:rsidR="00181BAE" w:rsidRPr="00C94CCF" w:rsidRDefault="00181BAE" w:rsidP="000F6CF8">
      <w:pPr>
        <w:rPr>
          <w:i/>
        </w:rPr>
      </w:pPr>
      <w:r w:rsidRPr="00C94CCF">
        <w:rPr>
          <w:i/>
        </w:rPr>
        <w:t>Types of risk</w:t>
      </w:r>
    </w:p>
    <w:p w:rsidR="00181BAE" w:rsidRPr="00C74C36" w:rsidRDefault="00C94CCF" w:rsidP="000F6CF8">
      <w:r w:rsidRPr="00C94CCF">
        <w:rPr>
          <w:b/>
        </w:rPr>
        <w:t xml:space="preserve">Idiosyncratic (Unsystematic) risk </w:t>
      </w:r>
      <w:r w:rsidR="00216BD6">
        <w:rPr>
          <w:b/>
        </w:rPr>
        <w:t>–</w:t>
      </w:r>
      <w:r w:rsidRPr="00C94CCF">
        <w:rPr>
          <w:b/>
        </w:rPr>
        <w:t xml:space="preserve"> </w:t>
      </w:r>
      <w:r w:rsidR="00C74C36" w:rsidRPr="00C74C36">
        <w:t>Refers to</w:t>
      </w:r>
      <w:r w:rsidR="00C74C36">
        <w:t xml:space="preserve"> risk that is unique to that particular asset. Idiosyncratic risk can be reduc</w:t>
      </w:r>
      <w:r w:rsidR="00B1730C">
        <w:t xml:space="preserve">ed through diversification and maintaining a well-constructed portfolio </w:t>
      </w:r>
      <w:r w:rsidR="00B1730C" w:rsidRPr="00B1730C">
        <w:t>[</w:t>
      </w:r>
      <w:proofErr w:type="spellStart"/>
      <w:r w:rsidR="00B1730C" w:rsidRPr="00B1730C">
        <w:t>Investopedia</w:t>
      </w:r>
      <w:proofErr w:type="spellEnd"/>
      <w:r w:rsidR="00B1730C" w:rsidRPr="00B1730C">
        <w:t xml:space="preserve"> 2019a]. </w:t>
      </w:r>
      <w:hyperlink r:id="rId4" w:history="1">
        <w:r w:rsidR="00B1730C">
          <w:rPr>
            <w:rStyle w:val="Hyperlink"/>
          </w:rPr>
          <w:t>https://www.investopedia.com/terms/u/unsystematicrisk.asp</w:t>
        </w:r>
      </w:hyperlink>
    </w:p>
    <w:p w:rsidR="00216BD6" w:rsidRPr="00216BD6" w:rsidRDefault="00C74C36" w:rsidP="000F6CF8">
      <w:pPr>
        <w:rPr>
          <w:color w:val="FF0000"/>
        </w:rPr>
      </w:pPr>
      <w:r w:rsidRPr="00C94CCF">
        <w:rPr>
          <w:b/>
        </w:rPr>
        <w:t xml:space="preserve">Systematic risk </w:t>
      </w:r>
      <w:r>
        <w:rPr>
          <w:b/>
        </w:rPr>
        <w:t>–</w:t>
      </w:r>
      <w:r w:rsidRPr="00C94CCF">
        <w:rPr>
          <w:b/>
        </w:rPr>
        <w:t xml:space="preserve"> </w:t>
      </w:r>
      <w:r>
        <w:t xml:space="preserve">Refers to market-wide risk, which cannot be </w:t>
      </w:r>
      <w:r w:rsidR="00B1730C">
        <w:t xml:space="preserve">reduced through portfolio </w:t>
      </w:r>
      <w:r>
        <w:t>diversifi</w:t>
      </w:r>
      <w:r w:rsidR="00B1730C">
        <w:t>cation.</w:t>
      </w:r>
      <w:r>
        <w:t xml:space="preserve"> </w:t>
      </w:r>
      <w:r w:rsidR="00B1730C">
        <w:t>Although an investor can build a portfolio that limits their exposure to systematic risk, the CAPM theory suggests this will come with a trade-off of the returns they can expect to receiv</w:t>
      </w:r>
      <w:r w:rsidR="00B1730C" w:rsidRPr="00B1730C">
        <w:t xml:space="preserve">e </w:t>
      </w:r>
      <w:r w:rsidR="00216BD6" w:rsidRPr="00B1730C">
        <w:t>[</w:t>
      </w:r>
      <w:proofErr w:type="spellStart"/>
      <w:r w:rsidR="00B1730C" w:rsidRPr="00B1730C">
        <w:t>Investopedia</w:t>
      </w:r>
      <w:proofErr w:type="spellEnd"/>
      <w:r w:rsidR="00B1730C" w:rsidRPr="00B1730C">
        <w:t xml:space="preserve"> 2019b</w:t>
      </w:r>
      <w:r w:rsidR="00216BD6" w:rsidRPr="00B1730C">
        <w:t>]</w:t>
      </w:r>
      <w:r w:rsidR="00B1730C" w:rsidRPr="00B1730C">
        <w:t xml:space="preserve">. </w:t>
      </w:r>
      <w:hyperlink r:id="rId5" w:history="1">
        <w:r w:rsidR="00B1730C">
          <w:rPr>
            <w:rStyle w:val="Hyperlink"/>
          </w:rPr>
          <w:t>https://www.investopedia.com/terms/s/systematicrisk.asp</w:t>
        </w:r>
      </w:hyperlink>
    </w:p>
    <w:p w:rsidR="00E5198F" w:rsidRPr="00770CB3" w:rsidRDefault="00E5198F" w:rsidP="00E5198F">
      <w:pPr>
        <w:rPr>
          <w:i/>
        </w:rPr>
      </w:pPr>
      <w:r>
        <w:rPr>
          <w:i/>
        </w:rPr>
        <w:t>CAPM and calculating the expected return of holding an asset</w:t>
      </w:r>
    </w:p>
    <w:p w:rsidR="00770CB3" w:rsidRDefault="00C94CCF" w:rsidP="000F6CF8">
      <w:r>
        <w:t>Since it is possible to diversify investments in such a way as to eliminate idiosyncratic risk, returns on investments do not compensate an investor for holding this risk. Therefore it is essential th</w:t>
      </w:r>
      <w:r w:rsidR="00E5198F">
        <w:t>at an investor diversifies their</w:t>
      </w:r>
      <w:r>
        <w:t xml:space="preserve"> investments to avoid carrying risk that they will not be compensated for.</w:t>
      </w:r>
      <w:r w:rsidR="00770CB3">
        <w:t xml:space="preserve"> </w:t>
      </w:r>
      <w:r w:rsidR="00770CB3" w:rsidRPr="00E5198F">
        <w:rPr>
          <w:i/>
          <w:sz w:val="18"/>
        </w:rPr>
        <w:t xml:space="preserve">*How this </w:t>
      </w:r>
      <w:r w:rsidR="00E5198F" w:rsidRPr="00E5198F">
        <w:rPr>
          <w:i/>
          <w:sz w:val="18"/>
        </w:rPr>
        <w:t xml:space="preserve">diversification </w:t>
      </w:r>
      <w:r w:rsidR="00770CB3" w:rsidRPr="00E5198F">
        <w:rPr>
          <w:i/>
          <w:sz w:val="18"/>
        </w:rPr>
        <w:t>can be done is beyond the scope of this article, however in a f</w:t>
      </w:r>
      <w:r w:rsidR="00E5198F" w:rsidRPr="00E5198F">
        <w:rPr>
          <w:i/>
          <w:sz w:val="18"/>
        </w:rPr>
        <w:t>uture article I will discuss Mo</w:t>
      </w:r>
      <w:r w:rsidR="00770CB3" w:rsidRPr="00E5198F">
        <w:rPr>
          <w:i/>
          <w:sz w:val="18"/>
        </w:rPr>
        <w:t>de</w:t>
      </w:r>
      <w:r w:rsidR="00E5198F" w:rsidRPr="00E5198F">
        <w:rPr>
          <w:i/>
          <w:sz w:val="18"/>
        </w:rPr>
        <w:t>r</w:t>
      </w:r>
      <w:r w:rsidR="00770CB3" w:rsidRPr="00E5198F">
        <w:rPr>
          <w:i/>
          <w:sz w:val="18"/>
        </w:rPr>
        <w:t xml:space="preserve">n Portfolio Theory which </w:t>
      </w:r>
      <w:r w:rsidR="00E5198F" w:rsidRPr="00E5198F">
        <w:rPr>
          <w:i/>
          <w:sz w:val="18"/>
        </w:rPr>
        <w:t>enables the development of a portfolio of assets designed to</w:t>
      </w:r>
      <w:r w:rsidR="00770CB3" w:rsidRPr="00E5198F">
        <w:rPr>
          <w:i/>
          <w:sz w:val="18"/>
        </w:rPr>
        <w:t xml:space="preserve"> eliminate idiosyncratic risk through asset diversification</w:t>
      </w:r>
      <w:r w:rsidR="00E5198F" w:rsidRPr="00E5198F">
        <w:rPr>
          <w:i/>
          <w:sz w:val="18"/>
        </w:rPr>
        <w:t xml:space="preserve"> and obtain an appropriate level of exposure to systematic risk based on personal risk tolerance preferences</w:t>
      </w:r>
      <w:r w:rsidR="00770CB3" w:rsidRPr="00E5198F">
        <w:rPr>
          <w:i/>
          <w:sz w:val="18"/>
        </w:rPr>
        <w:t>.</w:t>
      </w:r>
    </w:p>
    <w:p w:rsidR="000F6CF8" w:rsidRDefault="00770CB3" w:rsidP="000F6CF8">
      <w:r>
        <w:t xml:space="preserve">The </w:t>
      </w:r>
      <w:r w:rsidR="000F6CF8">
        <w:t xml:space="preserve">CAPM </w:t>
      </w:r>
      <w:r>
        <w:t>methodology describes</w:t>
      </w:r>
      <w:r w:rsidR="000F6CF8">
        <w:t xml:space="preserve"> the relationship between the </w:t>
      </w:r>
      <w:r w:rsidR="000F6CF8" w:rsidRPr="000F6CF8">
        <w:rPr>
          <w:b/>
        </w:rPr>
        <w:t>expected return</w:t>
      </w:r>
      <w:r w:rsidR="000F6CF8">
        <w:t xml:space="preserve"> of an asset and its exposure to </w:t>
      </w:r>
      <w:r w:rsidR="000F6CF8" w:rsidRPr="000F6CF8">
        <w:rPr>
          <w:b/>
        </w:rPr>
        <w:t>systematic</w:t>
      </w:r>
      <w:r w:rsidR="000F6CF8">
        <w:rPr>
          <w:b/>
        </w:rPr>
        <w:t xml:space="preserve"> </w:t>
      </w:r>
      <w:r w:rsidR="000F6CF8" w:rsidRPr="000F6CF8">
        <w:rPr>
          <w:b/>
        </w:rPr>
        <w:t>risk</w:t>
      </w:r>
      <w:r w:rsidR="000F6CF8">
        <w:t>.</w:t>
      </w:r>
      <w:r>
        <w:t xml:space="preserve"> </w:t>
      </w:r>
      <w:r w:rsidR="000F6CF8">
        <w:t>To calculate the expected return of an asset given its risk</w:t>
      </w:r>
      <w:r w:rsidR="00E5198F">
        <w:t>,</w:t>
      </w:r>
      <w:r w:rsidR="000F6CF8">
        <w:t xml:space="preserve"> </w:t>
      </w:r>
      <w:r w:rsidR="00A96DE9">
        <w:t>by way of CAPM</w:t>
      </w:r>
      <w:r w:rsidR="00E5198F">
        <w:t>,</w:t>
      </w:r>
      <w:r w:rsidR="00A96DE9">
        <w:t xml:space="preserve"> the following </w:t>
      </w:r>
      <w:r w:rsidR="00386B3E">
        <w:t>equation</w:t>
      </w:r>
      <w:r w:rsidR="00A96DE9">
        <w:t xml:space="preserve"> is used</w:t>
      </w:r>
      <w:r w:rsidR="000F6CF8">
        <w:t>:</w:t>
      </w:r>
    </w:p>
    <w:p w:rsidR="002C5BAA" w:rsidRDefault="002C5BAA" w:rsidP="000F6CF8"/>
    <w:p w:rsidR="000F6CF8" w:rsidRDefault="00924C07" w:rsidP="00924C07">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r w:rsidR="00A45942">
        <w:rPr>
          <w:rFonts w:eastAsiaTheme="minorEastAsia"/>
        </w:rPr>
        <w:t xml:space="preserve">        </w:t>
      </w:r>
      <w:r>
        <w:rPr>
          <w:rFonts w:eastAsiaTheme="minorEastAsia"/>
        </w:rPr>
        <w:t xml:space="preserve">                 [1]</w:t>
      </w:r>
    </w:p>
    <w:p w:rsidR="00A96DE9" w:rsidRPr="002C5BAA" w:rsidRDefault="00A96DE9" w:rsidP="000F6CF8">
      <w:pPr>
        <w:rPr>
          <w:b/>
        </w:rPr>
      </w:pPr>
      <w:r w:rsidRPr="002C5BAA">
        <w:rPr>
          <w:b/>
        </w:rPr>
        <w:t>Where:</w:t>
      </w:r>
    </w:p>
    <w:p w:rsidR="00A96DE9" w:rsidRDefault="000F6CF8" w:rsidP="000F6CF8">
      <w:pPr>
        <w:rPr>
          <w:rFonts w:eastAsiaTheme="minorEastAsia"/>
        </w:rPr>
      </w:pPr>
      <w:r>
        <w:t>​</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A96DE9">
        <w:rPr>
          <w:rFonts w:eastAsiaTheme="minorEastAsia"/>
        </w:rPr>
        <w:t xml:space="preserve"> - is the return of the asset or portfolio</w:t>
      </w:r>
    </w:p>
    <w:p w:rsidR="00A96DE9" w:rsidRDefault="00A96DE9" w:rsidP="000F6C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is the return on a “risk-free” asset, such as government bonds</w:t>
      </w:r>
    </w:p>
    <w:p w:rsidR="00A96DE9" w:rsidRDefault="00A96DE9" w:rsidP="000F6C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oMath>
      <w:r>
        <w:rPr>
          <w:rFonts w:eastAsiaTheme="minorEastAsia"/>
        </w:rPr>
        <w:t xml:space="preserve"> - is the “beta” o</w:t>
      </w:r>
      <w:r w:rsidR="00B1730C">
        <w:rPr>
          <w:rFonts w:eastAsiaTheme="minorEastAsia"/>
        </w:rPr>
        <w:t>f the asset. It is a measure of</w:t>
      </w:r>
      <w:r>
        <w:rPr>
          <w:rFonts w:eastAsiaTheme="minorEastAsia"/>
        </w:rPr>
        <w:t xml:space="preserve"> systematic risk</w:t>
      </w:r>
      <w:r w:rsidR="0074185B">
        <w:rPr>
          <w:rFonts w:eastAsiaTheme="minorEastAsia"/>
        </w:rPr>
        <w:t xml:space="preserve"> </w:t>
      </w:r>
      <w:r w:rsidR="00B1730C">
        <w:rPr>
          <w:rFonts w:eastAsiaTheme="minorEastAsia"/>
        </w:rPr>
        <w:t xml:space="preserve">exposure of an </w:t>
      </w:r>
      <w:r w:rsidR="0074185B">
        <w:rPr>
          <w:rFonts w:eastAsiaTheme="minorEastAsia"/>
        </w:rPr>
        <w:t>asset or portfolio</w:t>
      </w:r>
      <w:r w:rsidR="00D7460E">
        <w:rPr>
          <w:rFonts w:eastAsiaTheme="minorEastAsia"/>
        </w:rPr>
        <w:t xml:space="preserve"> </w:t>
      </w:r>
    </w:p>
    <w:p w:rsidR="0074185B" w:rsidRDefault="0074185B" w:rsidP="000F6CF8">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b/>
        </w:rPr>
        <w:t xml:space="preserve"> </w:t>
      </w:r>
      <w:r w:rsidR="002C5BAA">
        <w:rPr>
          <w:rFonts w:eastAsiaTheme="minorEastAsia"/>
        </w:rPr>
        <w:t>-</w:t>
      </w:r>
      <w:r>
        <w:rPr>
          <w:rFonts w:eastAsiaTheme="minorEastAsia"/>
          <w:b/>
        </w:rPr>
        <w:t xml:space="preserve"> </w:t>
      </w:r>
      <w:r w:rsidRPr="0074185B">
        <w:rPr>
          <w:rFonts w:eastAsiaTheme="minorEastAsia"/>
        </w:rPr>
        <w:t xml:space="preserve">is the </w:t>
      </w:r>
      <w:r>
        <w:rPr>
          <w:rFonts w:eastAsiaTheme="minorEastAsia"/>
        </w:rPr>
        <w:t xml:space="preserve">return of the market or market tracking </w:t>
      </w:r>
      <w:r w:rsidR="00E5198F">
        <w:rPr>
          <w:rFonts w:eastAsiaTheme="minorEastAsia"/>
        </w:rPr>
        <w:t>index</w:t>
      </w:r>
    </w:p>
    <w:p w:rsidR="0074185B" w:rsidRDefault="0074185B" w:rsidP="000F6CF8">
      <w:pPr>
        <w:rPr>
          <w:rFonts w:eastAsiaTheme="minorEastAsia"/>
        </w:rPr>
      </w:pPr>
      <m:oMath>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r w:rsidR="002C5BAA">
        <w:rPr>
          <w:rFonts w:eastAsiaTheme="minorEastAsia"/>
        </w:rPr>
        <w:t>-</w:t>
      </w:r>
      <w:r>
        <w:rPr>
          <w:rFonts w:eastAsiaTheme="minorEastAsia"/>
        </w:rPr>
        <w:t xml:space="preserve"> is known as the “market </w:t>
      </w:r>
      <w:r w:rsidR="0033154E">
        <w:rPr>
          <w:rFonts w:eastAsiaTheme="minorEastAsia"/>
        </w:rPr>
        <w:t xml:space="preserve">risk premium”. It indicates the </w:t>
      </w:r>
      <w:r>
        <w:rPr>
          <w:rFonts w:eastAsiaTheme="minorEastAsia"/>
        </w:rPr>
        <w:t xml:space="preserve">return </w:t>
      </w:r>
      <w:r w:rsidR="0033154E">
        <w:rPr>
          <w:rFonts w:eastAsiaTheme="minorEastAsia"/>
        </w:rPr>
        <w:t xml:space="preserve">on a market replicating portfolio </w:t>
      </w:r>
      <w:r>
        <w:rPr>
          <w:rFonts w:eastAsiaTheme="minorEastAsia"/>
        </w:rPr>
        <w:t>on top of the return</w:t>
      </w:r>
      <w:r w:rsidR="0033154E">
        <w:rPr>
          <w:rFonts w:eastAsiaTheme="minorEastAsia"/>
        </w:rPr>
        <w:t xml:space="preserve"> that</w:t>
      </w:r>
      <w:r>
        <w:rPr>
          <w:rFonts w:eastAsiaTheme="minorEastAsia"/>
        </w:rPr>
        <w:t xml:space="preserve"> could otherwise have </w:t>
      </w:r>
      <w:r w:rsidR="0033154E">
        <w:rPr>
          <w:rFonts w:eastAsiaTheme="minorEastAsia"/>
        </w:rPr>
        <w:t xml:space="preserve">been </w:t>
      </w:r>
      <w:r>
        <w:rPr>
          <w:rFonts w:eastAsiaTheme="minorEastAsia"/>
        </w:rPr>
        <w:t>obtained from holding the “risk-free” asset.</w:t>
      </w:r>
    </w:p>
    <w:p w:rsidR="002F7030" w:rsidRDefault="002F7030" w:rsidP="000F6CF8">
      <w:pPr>
        <w:rPr>
          <w:rFonts w:eastAsiaTheme="minorEastAsia"/>
        </w:rPr>
      </w:pPr>
      <w:r>
        <w:rPr>
          <w:rFonts w:eastAsiaTheme="minorEastAsia"/>
        </w:rPr>
        <w:lastRenderedPageBreak/>
        <w:t>(</w:t>
      </w:r>
      <w:proofErr w:type="spellStart"/>
      <w:r>
        <w:rPr>
          <w:rFonts w:eastAsiaTheme="minorEastAsia"/>
        </w:rPr>
        <w:t>Investopedia</w:t>
      </w:r>
      <w:proofErr w:type="spellEnd"/>
      <w:r>
        <w:rPr>
          <w:rFonts w:eastAsiaTheme="minorEastAsia"/>
        </w:rPr>
        <w:t xml:space="preserve"> 2020) </w:t>
      </w:r>
      <w:hyperlink r:id="rId6" w:history="1">
        <w:r>
          <w:rPr>
            <w:rStyle w:val="Hyperlink"/>
          </w:rPr>
          <w:t>https://www.investopedia.com/terms/c/capm.asp</w:t>
        </w:r>
      </w:hyperlink>
    </w:p>
    <w:p w:rsidR="00386B3E" w:rsidRDefault="00386B3E" w:rsidP="000F6CF8">
      <w:pPr>
        <w:rPr>
          <w:rFonts w:eastAsiaTheme="minorEastAsia"/>
        </w:rPr>
      </w:pPr>
      <w:r>
        <w:rPr>
          <w:rFonts w:eastAsiaTheme="minorEastAsia"/>
        </w:rPr>
        <w:t xml:space="preserve">By manipulating this equation, we can utilise financial asset data </w:t>
      </w:r>
      <w:r w:rsidR="00302A45">
        <w:rPr>
          <w:rFonts w:eastAsiaTheme="minorEastAsia"/>
        </w:rPr>
        <w:t xml:space="preserve">and regression analysis </w:t>
      </w:r>
      <w:r>
        <w:rPr>
          <w:rFonts w:eastAsiaTheme="minorEastAsia"/>
        </w:rPr>
        <w:t xml:space="preserve">to evaluate </w:t>
      </w:r>
      <w:r w:rsidR="00924C07">
        <w:rPr>
          <w:rFonts w:eastAsiaTheme="minorEastAsia"/>
        </w:rPr>
        <w:t xml:space="preserve">firstly </w:t>
      </w:r>
      <w:r>
        <w:rPr>
          <w:rFonts w:eastAsiaTheme="minorEastAsia"/>
        </w:rPr>
        <w:t xml:space="preserve">whether the CAPM theory holds up in practice and </w:t>
      </w:r>
      <w:r w:rsidR="00924C07">
        <w:rPr>
          <w:rFonts w:eastAsiaTheme="minorEastAsia"/>
        </w:rPr>
        <w:t xml:space="preserve">secondly </w:t>
      </w:r>
      <w:r>
        <w:rPr>
          <w:rFonts w:eastAsiaTheme="minorEastAsia"/>
        </w:rPr>
        <w:t xml:space="preserve">to </w:t>
      </w:r>
      <w:r w:rsidR="00924C07">
        <w:rPr>
          <w:rFonts w:eastAsiaTheme="minorEastAsia"/>
        </w:rPr>
        <w:t>evaluate</w:t>
      </w:r>
      <w:r>
        <w:rPr>
          <w:rFonts w:eastAsiaTheme="minorEastAsia"/>
        </w:rPr>
        <w:t xml:space="preserve"> the performance of </w:t>
      </w:r>
      <w:r w:rsidR="00924C07">
        <w:rPr>
          <w:rFonts w:eastAsiaTheme="minorEastAsia"/>
        </w:rPr>
        <w:t>particular</w:t>
      </w:r>
      <w:r>
        <w:rPr>
          <w:rFonts w:eastAsiaTheme="minorEastAsia"/>
        </w:rPr>
        <w:t xml:space="preserve"> financial assets.</w:t>
      </w:r>
    </w:p>
    <w:p w:rsidR="000F6CF8" w:rsidRPr="00D7460E" w:rsidRDefault="00924C07" w:rsidP="000F6CF8">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A</m:t>
            </m:r>
            <m:r>
              <w:rPr>
                <w:rFonts w:ascii="Cambria Math" w:eastAsiaTheme="minorEastAsia" w:hAnsi="Cambria Math"/>
              </w:rPr>
              <m:t>t</m:t>
            </m:r>
          </m:sub>
        </m:sSub>
      </m:oMath>
      <w:r>
        <w:rPr>
          <w:rFonts w:eastAsiaTheme="minorEastAsia"/>
        </w:rPr>
        <w:t xml:space="preserve">           </w:t>
      </w:r>
      <w:r w:rsidR="002C5BAA">
        <w:rPr>
          <w:rFonts w:eastAsiaTheme="minorEastAsia"/>
        </w:rPr>
        <w:t xml:space="preserve">            </w:t>
      </w:r>
      <w:r>
        <w:rPr>
          <w:rFonts w:eastAsiaTheme="minorEastAsia"/>
        </w:rPr>
        <w:t xml:space="preserve">           [2]</w:t>
      </w:r>
    </w:p>
    <w:p w:rsidR="000F4445" w:rsidRPr="000F4445" w:rsidRDefault="00924C07" w:rsidP="000F6CF8">
      <w:pPr>
        <w:rPr>
          <w:rFonts w:eastAsiaTheme="minorEastAsia"/>
        </w:rPr>
      </w:pPr>
      <w:r>
        <w:rPr>
          <w:rFonts w:eastAsiaTheme="minorEastAsia"/>
        </w:rPr>
        <w:t>In equation [2]</w:t>
      </w:r>
      <w:r w:rsidR="00302A45">
        <w:rPr>
          <w:rFonts w:eastAsiaTheme="minorEastAsia"/>
        </w:rPr>
        <w:t xml:space="preserve"> we have subtracted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302A45">
        <w:rPr>
          <w:rFonts w:eastAsiaTheme="minorEastAsia"/>
        </w:rPr>
        <w:t xml:space="preserve"> from both sides to get </w:t>
      </w:r>
      <m:oMath>
        <m:sSub>
          <m:sSubPr>
            <m:ctrlPr>
              <w:rPr>
                <w:rFonts w:ascii="Cambria Math" w:hAnsi="Cambria Math"/>
                <w:i/>
              </w:rPr>
            </m:ctrlPr>
          </m:sSubPr>
          <m:e>
            <m:r>
              <w:rPr>
                <w:rFonts w:ascii="Cambria Math" w:hAnsi="Cambria Math"/>
              </w:rPr>
              <m:t>(ER</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sidR="000F4445">
        <w:rPr>
          <w:rFonts w:eastAsiaTheme="minorEastAsia"/>
        </w:rPr>
        <w:t xml:space="preserve"> </w:t>
      </w:r>
      <w:r>
        <w:rPr>
          <w:rFonts w:eastAsiaTheme="minorEastAsia"/>
        </w:rPr>
        <w:t xml:space="preserve">on the left </w:t>
      </w:r>
      <w:r w:rsidR="000F4445">
        <w:rPr>
          <w:rFonts w:eastAsiaTheme="minorEastAsia"/>
        </w:rPr>
        <w:t>which indicates the historical return</w:t>
      </w:r>
      <w:r>
        <w:rPr>
          <w:rFonts w:eastAsiaTheme="minorEastAsia"/>
        </w:rPr>
        <w:t>s</w:t>
      </w:r>
      <w:r w:rsidR="000F4445">
        <w:rPr>
          <w:rFonts w:eastAsiaTheme="minorEastAsia"/>
        </w:rPr>
        <w:t xml:space="preserve"> an investor would have received from</w:t>
      </w:r>
      <w:r>
        <w:rPr>
          <w:rFonts w:eastAsiaTheme="minorEastAsia"/>
        </w:rPr>
        <w:t xml:space="preserve"> holding a “risky”</w:t>
      </w:r>
      <w:r w:rsidR="000F4445">
        <w:rPr>
          <w:rFonts w:eastAsiaTheme="minorEastAsia"/>
        </w:rPr>
        <w:t xml:space="preserve"> asset</w:t>
      </w:r>
      <w:r>
        <w:rPr>
          <w:rFonts w:eastAsiaTheme="minorEastAsia"/>
        </w:rPr>
        <w:t>,</w:t>
      </w:r>
      <w:r w:rsidR="000F4445">
        <w:rPr>
          <w:rFonts w:eastAsiaTheme="minorEastAsia"/>
        </w:rPr>
        <w:t xml:space="preserve"> in excess of the returns from holding the “risk-free” asset. We have also introduced two new variables, namely </w:t>
      </w:r>
      <w:r>
        <w:rPr>
          <w:rFonts w:eastAsiaTheme="minorEastAsia"/>
        </w:rPr>
        <w:t>alpha</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Pr>
          <w:rFonts w:eastAsiaTheme="minorEastAsia"/>
        </w:rPr>
        <w:t>,</w:t>
      </w:r>
      <w:r w:rsidR="000F4445">
        <w:rPr>
          <w:rFonts w:eastAsiaTheme="minorEastAsia"/>
        </w:rPr>
        <w:t xml:space="preserve"> and </w:t>
      </w:r>
      <w:r>
        <w:rPr>
          <w:rFonts w:eastAsiaTheme="minorEastAsia"/>
        </w:rPr>
        <w:t xml:space="preserve">the regression error term,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0F4445">
        <w:rPr>
          <w:rFonts w:eastAsiaTheme="minorEastAsia"/>
        </w:rPr>
        <w:t>.</w:t>
      </w:r>
    </w:p>
    <w:p w:rsidR="00302A45" w:rsidRDefault="000F4445" w:rsidP="000F6C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Pr>
          <w:rFonts w:eastAsiaTheme="minorEastAsia"/>
        </w:rPr>
        <w:t xml:space="preserve"> - represents the “alpha” return</w:t>
      </w:r>
      <w:r w:rsidR="00D7460E">
        <w:rPr>
          <w:rFonts w:eastAsiaTheme="minorEastAsia"/>
        </w:rPr>
        <w:t xml:space="preserve"> of the asset. </w:t>
      </w:r>
      <w:r w:rsidR="00924C07">
        <w:rPr>
          <w:rFonts w:eastAsiaTheme="minorEastAsia"/>
        </w:rPr>
        <w:t xml:space="preserve">It is a measure of the return on an investment that may be obtained through active management. </w:t>
      </w:r>
      <w:r w:rsidR="00D7460E">
        <w:rPr>
          <w:rFonts w:eastAsiaTheme="minorEastAsia"/>
        </w:rPr>
        <w:t>Under the Efficient Markets Hypothesis</w:t>
      </w:r>
      <w:r w:rsidR="00924C07">
        <w:rPr>
          <w:rFonts w:eastAsiaTheme="minorEastAsia"/>
        </w:rPr>
        <w:t>,</w:t>
      </w:r>
      <w:r w:rsidR="00D7460E">
        <w:rPr>
          <w:rFonts w:eastAsiaTheme="minorEastAsia"/>
        </w:rPr>
        <w:t xml:space="preserve"> and for the CAPM to hold</w:t>
      </w:r>
      <w:r w:rsidR="00924C07">
        <w:rPr>
          <w:rFonts w:eastAsiaTheme="minorEastAsia"/>
        </w:rPr>
        <w:t xml:space="preserve"> in practice</w:t>
      </w:r>
      <w:r w:rsidR="00D7460E">
        <w:rPr>
          <w:rFonts w:eastAsiaTheme="minorEastAsia"/>
        </w:rPr>
        <w:t xml:space="preserve">, </w:t>
      </w:r>
      <w:r w:rsidR="00924C07">
        <w:rPr>
          <w:rFonts w:eastAsiaTheme="minorEastAsia"/>
        </w:rPr>
        <w:t>new information is expected to be immediately represented within the price of an asset</w:t>
      </w:r>
      <w:r w:rsidR="009F1601">
        <w:rPr>
          <w:rFonts w:eastAsiaTheme="minorEastAsia"/>
        </w:rPr>
        <w:t>.</w:t>
      </w:r>
      <w:r w:rsidR="00924C07">
        <w:rPr>
          <w:rFonts w:eastAsiaTheme="minorEastAsia"/>
        </w:rPr>
        <w:t xml:space="preserve"> Therefore </w:t>
      </w:r>
      <w:r w:rsidR="009B7800">
        <w:rPr>
          <w:rFonts w:eastAsiaTheme="minorEastAsia"/>
        </w:rPr>
        <w:t>our hypothesis is that</w:t>
      </w:r>
      <w:r w:rsidR="00924C07">
        <w:rPr>
          <w:rFonts w:eastAsiaTheme="minorEastAsia"/>
        </w:rPr>
        <w:t xml:space="preserve"> active management of investments </w:t>
      </w:r>
      <w:r w:rsidR="009B7800">
        <w:rPr>
          <w:rFonts w:eastAsiaTheme="minorEastAsia"/>
        </w:rPr>
        <w:t>should</w:t>
      </w:r>
      <w:r w:rsidR="00924C07">
        <w:rPr>
          <w:rFonts w:eastAsiaTheme="minorEastAsia"/>
        </w:rPr>
        <w:t xml:space="preserve"> </w:t>
      </w:r>
      <w:r w:rsidR="009B7800">
        <w:rPr>
          <w:rFonts w:eastAsiaTheme="minorEastAsia"/>
        </w:rPr>
        <w:t xml:space="preserve">not </w:t>
      </w:r>
      <w:r w:rsidR="00924C07">
        <w:rPr>
          <w:rFonts w:eastAsiaTheme="minorEastAsia"/>
        </w:rPr>
        <w:t xml:space="preserve">yield </w:t>
      </w:r>
      <w:r w:rsidR="009B7800">
        <w:rPr>
          <w:rFonts w:eastAsiaTheme="minorEastAsia"/>
        </w:rPr>
        <w:t>alpha</w:t>
      </w:r>
      <w:r w:rsidR="00924C07">
        <w:rPr>
          <w:rFonts w:eastAsiaTheme="minorEastAsia"/>
        </w:rPr>
        <w:t xml:space="preserve"> returns</w:t>
      </w:r>
      <w:r w:rsidR="009B7800">
        <w:rPr>
          <w:rFonts w:eastAsiaTheme="minorEastAsia"/>
        </w:rPr>
        <w:t>,</w:t>
      </w:r>
      <w:r w:rsidR="00924C07">
        <w:rPr>
          <w:rFonts w:eastAsiaTheme="minorEastAsia"/>
        </w:rPr>
        <w:t xml:space="preserve"> and </w:t>
      </w:r>
      <w:r w:rsidR="009B7800">
        <w:rPr>
          <w:rFonts w:eastAsiaTheme="minorEastAsia"/>
        </w:rPr>
        <w:t xml:space="preserve">we expect </w:t>
      </w:r>
      <w:r w:rsidR="00924C07">
        <w:rPr>
          <w:rFonts w:eastAsiaTheme="minorEastAsia"/>
        </w:rPr>
        <w:t xml:space="preserve">our analysis to return a value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sidR="00924C07">
        <w:rPr>
          <w:rFonts w:eastAsiaTheme="minorEastAsia"/>
        </w:rPr>
        <w:t xml:space="preserve"> that is statistically indifferent from zero</w:t>
      </w:r>
      <w:r w:rsidR="009B7800">
        <w:rPr>
          <w:rFonts w:eastAsiaTheme="minorEastAsia"/>
        </w:rPr>
        <w:t>.</w:t>
      </w:r>
    </w:p>
    <w:p w:rsidR="00D7460E" w:rsidRPr="009B7800" w:rsidRDefault="00D7460E" w:rsidP="000F6C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eastAsiaTheme="minorEastAsia"/>
        </w:rPr>
        <w:t xml:space="preserve"> – represents the error term of our regression</w:t>
      </w:r>
      <w:r w:rsidR="009B7800">
        <w:rPr>
          <w:rFonts w:eastAsiaTheme="minorEastAsia"/>
        </w:rPr>
        <w:t xml:space="preserve"> model</w:t>
      </w:r>
      <w:r>
        <w:rPr>
          <w:rFonts w:eastAsiaTheme="minorEastAsia"/>
        </w:rPr>
        <w:t xml:space="preserve">. Under traditional linear regression assumptions the conditional expectation of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eastAsiaTheme="minorEastAsia"/>
        </w:rPr>
        <w:t xml:space="preserve"> </w:t>
      </w:r>
      <w:r w:rsidR="009B7800">
        <w:rPr>
          <w:rFonts w:eastAsiaTheme="minorEastAsia"/>
        </w:rPr>
        <w:t xml:space="preserve">is </w:t>
      </w:r>
      <w:r>
        <w:rPr>
          <w:rFonts w:eastAsiaTheme="minorEastAsia"/>
        </w:rPr>
        <w:t>equal to zero</w:t>
      </w:r>
      <w:r w:rsidR="009F1601">
        <w:rPr>
          <w:rFonts w:eastAsiaTheme="minorEastAsia"/>
        </w:rPr>
        <w:t>.</w:t>
      </w:r>
    </w:p>
    <w:p w:rsidR="00F910E3" w:rsidRDefault="00F910E3" w:rsidP="00F910E3">
      <w:r>
        <w:t>This methodology follows from Jensen (1968) in which the performance of US mutual funds was systematically examined to determine whether any were able to “outperform the market”</w:t>
      </w:r>
      <w:r w:rsidR="00811989">
        <w:t xml:space="preserve"> [</w:t>
      </w:r>
      <w:hyperlink r:id="rId7" w:history="1">
        <w:r>
          <w:rPr>
            <w:rStyle w:val="Hyperlink"/>
          </w:rPr>
          <w:t>file:///C:/Users/dtunks/Downloads/Financial%20Econometrics%20Textbook%20-%20Brooks.pdf</w:t>
        </w:r>
      </w:hyperlink>
      <w:r>
        <w:t xml:space="preserve"> (pp. 67-81)</w:t>
      </w:r>
      <w:r w:rsidR="00811989">
        <w:t xml:space="preserve">]. </w:t>
      </w:r>
    </w:p>
    <w:p w:rsidR="004D311A" w:rsidRDefault="004D311A" w:rsidP="009B7800">
      <w:pPr>
        <w:rPr>
          <w:b/>
        </w:rPr>
      </w:pPr>
    </w:p>
    <w:p w:rsidR="009B7800" w:rsidRDefault="009B7800" w:rsidP="009B7800">
      <w:pPr>
        <w:rPr>
          <w:b/>
        </w:rPr>
      </w:pPr>
      <w:r>
        <w:rPr>
          <w:b/>
        </w:rPr>
        <w:t>Using CAPM to Evaluate the Performance of LICs currently available on the ASX</w:t>
      </w:r>
    </w:p>
    <w:p w:rsidR="00F46527" w:rsidRDefault="006312FA" w:rsidP="000F6CF8">
      <w:pPr>
        <w:rPr>
          <w:rFonts w:eastAsiaTheme="minorEastAsia"/>
        </w:rPr>
      </w:pPr>
      <w:r w:rsidRPr="006312FA">
        <w:rPr>
          <w:i/>
        </w:rPr>
        <w:t>Listed Investment Comp</w:t>
      </w:r>
      <w:r>
        <w:rPr>
          <w:i/>
        </w:rPr>
        <w:t>an</w:t>
      </w:r>
      <w:r w:rsidRPr="006312FA">
        <w:rPr>
          <w:i/>
        </w:rPr>
        <w:t>ies (LICs)</w:t>
      </w:r>
      <w:r w:rsidR="009B7800">
        <w:rPr>
          <w:i/>
        </w:rPr>
        <w:t xml:space="preserve"> - </w:t>
      </w:r>
      <w:r w:rsidR="000F6CF8">
        <w:t>A</w:t>
      </w:r>
      <w:r w:rsidR="0005556E">
        <w:t xml:space="preserve"> LIC</w:t>
      </w:r>
      <w:r w:rsidR="000F6CF8">
        <w:t xml:space="preserve"> is similar to a Managed</w:t>
      </w:r>
      <w:r>
        <w:t xml:space="preserve"> Mutual</w:t>
      </w:r>
      <w:r w:rsidR="000F6CF8">
        <w:t xml:space="preserve"> Fund</w:t>
      </w:r>
      <w:r>
        <w:t xml:space="preserve">, however </w:t>
      </w:r>
      <w:r w:rsidR="000F6CF8">
        <w:t xml:space="preserve">investors </w:t>
      </w:r>
      <w:r>
        <w:t>are able to</w:t>
      </w:r>
      <w:r w:rsidR="000F6CF8">
        <w:t xml:space="preserve"> buy and sell shares in a LIC just like ordinary shares</w:t>
      </w:r>
      <w:r w:rsidR="009B7800">
        <w:t xml:space="preserve"> on a stock exchange</w:t>
      </w:r>
      <w:r w:rsidR="000F6CF8">
        <w:t>.</w:t>
      </w:r>
      <w:r>
        <w:t xml:space="preserve"> As such, historical pricing data is readily available online</w:t>
      </w:r>
      <w:r w:rsidR="009B7800">
        <w:t xml:space="preserve"> and can be easily sourced to conduct our analysis</w:t>
      </w:r>
      <w:r>
        <w:t xml:space="preserve">. Generally, the aim of holding LIC securities is to gain access to the skills and expertise of the LIC managers who utilise </w:t>
      </w:r>
      <w:r w:rsidRPr="009B7800">
        <w:rPr>
          <w:u w:val="single"/>
        </w:rPr>
        <w:t>active</w:t>
      </w:r>
      <w:r>
        <w:t xml:space="preserve"> investment strategies to outperform a defined </w:t>
      </w:r>
      <w:r w:rsidR="00BD57CC">
        <w:t>benchmark</w:t>
      </w:r>
      <w:r>
        <w:t xml:space="preserve">. For holding LIC </w:t>
      </w:r>
      <w:r w:rsidR="0005556E">
        <w:t>securities, investors are charged a management fee in the range of 1.0-1.5% per annum</w:t>
      </w:r>
      <w:r w:rsidR="00D93F6A" w:rsidRPr="0005556E">
        <w:t>.</w:t>
      </w:r>
      <w:r w:rsidR="00D93F6A">
        <w:rPr>
          <w:rFonts w:eastAsiaTheme="minorEastAsia"/>
          <w:i/>
        </w:rPr>
        <w:t xml:space="preserve"> </w:t>
      </w:r>
      <w:r w:rsidR="00BD57CC">
        <w:rPr>
          <w:rFonts w:eastAsiaTheme="minorEastAsia"/>
        </w:rPr>
        <w:t xml:space="preserve">It is also not uncommon for </w:t>
      </w:r>
      <w:r w:rsidR="00AE0795">
        <w:rPr>
          <w:rFonts w:eastAsiaTheme="minorEastAsia"/>
        </w:rPr>
        <w:t>LICs</w:t>
      </w:r>
      <w:r w:rsidR="00BD57CC">
        <w:rPr>
          <w:rFonts w:eastAsiaTheme="minorEastAsia"/>
        </w:rPr>
        <w:t xml:space="preserve"> to charge performance fees when returns are above the defined benchmark</w:t>
      </w:r>
      <w:r w:rsidR="00C777D6">
        <w:rPr>
          <w:rFonts w:eastAsiaTheme="minorEastAsia"/>
        </w:rPr>
        <w:t>, typically 10-20% of the return above that of the benchmark</w:t>
      </w:r>
      <w:r w:rsidR="00AE0795">
        <w:rPr>
          <w:rFonts w:eastAsiaTheme="minorEastAsia"/>
        </w:rPr>
        <w:t xml:space="preserve"> (</w:t>
      </w:r>
      <w:proofErr w:type="spellStart"/>
      <w:r w:rsidR="00AE0795">
        <w:rPr>
          <w:rFonts w:eastAsiaTheme="minorEastAsia"/>
        </w:rPr>
        <w:t>Firstlinks</w:t>
      </w:r>
      <w:proofErr w:type="spellEnd"/>
      <w:r w:rsidR="00AE0795">
        <w:rPr>
          <w:rFonts w:eastAsiaTheme="minorEastAsia"/>
        </w:rPr>
        <w:t xml:space="preserve"> 2016) </w:t>
      </w:r>
      <w:hyperlink r:id="rId8" w:history="1">
        <w:r w:rsidR="00AE0795">
          <w:rPr>
            <w:rStyle w:val="Hyperlink"/>
          </w:rPr>
          <w:t>https://www.firstlinks.com.au/understanding-lic-fee-structures</w:t>
        </w:r>
      </w:hyperlink>
      <w:r w:rsidR="00BD57CC">
        <w:rPr>
          <w:rFonts w:eastAsiaTheme="minorEastAsia"/>
        </w:rPr>
        <w:t xml:space="preserve">. </w:t>
      </w:r>
    </w:p>
    <w:p w:rsidR="0005556E" w:rsidRPr="009A7735" w:rsidRDefault="0005556E" w:rsidP="000F6CF8">
      <w:pPr>
        <w:rPr>
          <w:b/>
        </w:rPr>
      </w:pPr>
      <w:r>
        <w:rPr>
          <w:rFonts w:eastAsiaTheme="minorEastAsia"/>
          <w:i/>
        </w:rPr>
        <w:t>Passive</w:t>
      </w:r>
      <w:r w:rsidRPr="0005556E">
        <w:rPr>
          <w:rFonts w:eastAsiaTheme="minorEastAsia"/>
          <w:i/>
        </w:rPr>
        <w:t xml:space="preserve"> Exchange Traded Funds (ETFs)</w:t>
      </w:r>
      <w:r w:rsidR="009B7800">
        <w:rPr>
          <w:rFonts w:eastAsiaTheme="minorEastAsia"/>
          <w:i/>
        </w:rPr>
        <w:t xml:space="preserve"> - </w:t>
      </w:r>
      <w:r w:rsidRPr="0005556E">
        <w:t>Unlike</w:t>
      </w:r>
      <w:r>
        <w:t xml:space="preserve"> the actively managed LICs, the aim of a passively managed ETF is t</w:t>
      </w:r>
      <w:r w:rsidRPr="004D311A">
        <w:t xml:space="preserve">o replicate the performance of defined benchmark, such as a market index </w:t>
      </w:r>
      <w:r w:rsidR="004D311A" w:rsidRPr="004D311A">
        <w:t xml:space="preserve">(ASXETFS.com 2019) </w:t>
      </w:r>
      <w:hyperlink r:id="rId9" w:history="1">
        <w:r w:rsidR="004D311A" w:rsidRPr="0015685C">
          <w:rPr>
            <w:rStyle w:val="Hyperlink"/>
          </w:rPr>
          <w:t>https://www.asxetfs.com</w:t>
        </w:r>
      </w:hyperlink>
      <w:r w:rsidR="004D311A" w:rsidRPr="004D311A">
        <w:t>.</w:t>
      </w:r>
      <w:r w:rsidR="004D311A">
        <w:t xml:space="preserve"> </w:t>
      </w:r>
      <w:r>
        <w:t xml:space="preserve">The fees an investor can expect to pay for holding a passive ETF </w:t>
      </w:r>
      <w:r w:rsidR="004D311A">
        <w:t>are</w:t>
      </w:r>
      <w:r>
        <w:t xml:space="preserve"> generally just a fraction of those charged by actively managed LICs. For example, our analysis </w:t>
      </w:r>
      <w:r w:rsidR="009A7735">
        <w:t>uses the</w:t>
      </w:r>
      <w:r>
        <w:t xml:space="preserve"> </w:t>
      </w:r>
      <w:r w:rsidR="009A7735" w:rsidRPr="00811989">
        <w:rPr>
          <w:rFonts w:eastAsiaTheme="minorEastAsia"/>
        </w:rPr>
        <w:t>Vanguard Australian Shares Index ETF (VAS)</w:t>
      </w:r>
      <w:r w:rsidR="009A7735">
        <w:rPr>
          <w:rFonts w:eastAsiaTheme="minorEastAsia"/>
        </w:rPr>
        <w:t xml:space="preserve"> </w:t>
      </w:r>
      <w:r w:rsidR="009A7735">
        <w:t xml:space="preserve">which </w:t>
      </w:r>
      <w:r w:rsidR="009A7735" w:rsidRPr="009A7735">
        <w:t>seeks to track the return of the S&amp;P/ASX 300 Index before taking into account fees</w:t>
      </w:r>
      <w:r w:rsidR="004D311A">
        <w:t xml:space="preserve">, </w:t>
      </w:r>
      <w:r w:rsidR="009A7735">
        <w:t>which as</w:t>
      </w:r>
      <w:r w:rsidR="004D311A">
        <w:t xml:space="preserve"> of May 2020 are 0.1% per annum (Vanguard 2020)</w:t>
      </w:r>
      <w:r w:rsidR="009A7735">
        <w:t xml:space="preserve">. </w:t>
      </w:r>
      <w:hyperlink r:id="rId10" w:history="1">
        <w:r w:rsidR="004D311A" w:rsidRPr="0015685C">
          <w:rPr>
            <w:rStyle w:val="Hyperlink"/>
          </w:rPr>
          <w:t>https://www.vanguardinvestments.com.au/retail/ret/investments/product.html#/fundDetail/etf/portId=8205/?overview</w:t>
        </w:r>
      </w:hyperlink>
    </w:p>
    <w:p w:rsidR="00017059" w:rsidRDefault="004D311A" w:rsidP="000F6CF8">
      <w:r w:rsidRPr="004D311A">
        <w:rPr>
          <w:i/>
        </w:rPr>
        <w:lastRenderedPageBreak/>
        <w:t>Why would an investor prefer an LIC over a passive ETF?</w:t>
      </w:r>
      <w:r>
        <w:t xml:space="preserve"> - </w:t>
      </w:r>
      <w:r w:rsidR="009A7735">
        <w:t xml:space="preserve">Using the CAPM terminology introduced above, the </w:t>
      </w:r>
      <w:r w:rsidR="000F6CF8">
        <w:t xml:space="preserve">main reason </w:t>
      </w:r>
      <w:r w:rsidR="009A7735">
        <w:t xml:space="preserve">for an investor choosing a LIC investment over a passive ETF is the belief that the active investment strategies employed by the LIC managers will yield </w:t>
      </w:r>
      <w:r w:rsidR="00017059">
        <w:t>“</w:t>
      </w:r>
      <w:r w:rsidR="009A7735">
        <w:t>a</w:t>
      </w:r>
      <w:r w:rsidR="000F6CF8">
        <w:t>lpha</w:t>
      </w:r>
      <w:r w:rsidR="00017059">
        <w:t>”</w:t>
      </w:r>
      <w:r w:rsidR="000F6CF8">
        <w:t xml:space="preserve"> </w:t>
      </w:r>
      <w:r w:rsidR="009A7735">
        <w:t>returns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sidR="00017059">
        <w:rPr>
          <w:rFonts w:eastAsiaTheme="minorEastAsia"/>
        </w:rPr>
        <w:t xml:space="preserve"> &gt; 0</w:t>
      </w:r>
      <w:r w:rsidR="000F6CF8">
        <w:t>)</w:t>
      </w:r>
      <w:r w:rsidR="009A7735">
        <w:t xml:space="preserve"> whilst minimising risk exposure</w:t>
      </w:r>
      <w:r w:rsidR="00C52F7C" w:rsidRPr="0005556E">
        <w:t>.</w:t>
      </w:r>
    </w:p>
    <w:p w:rsidR="004D311A" w:rsidRPr="004D311A" w:rsidRDefault="004D311A" w:rsidP="000F6CF8">
      <w:pPr>
        <w:rPr>
          <w:i/>
        </w:rPr>
      </w:pPr>
      <w:r>
        <w:rPr>
          <w:i/>
        </w:rPr>
        <w:t>Example Analysis</w:t>
      </w:r>
      <w:r w:rsidRPr="004D311A">
        <w:rPr>
          <w:i/>
        </w:rPr>
        <w:t xml:space="preserve"> - Evaluating the Performance of LICs over the past 5 years</w:t>
      </w:r>
    </w:p>
    <w:p w:rsidR="000F6CF8" w:rsidRPr="004D311A" w:rsidRDefault="00017059" w:rsidP="000F6CF8">
      <w:pPr>
        <w:rPr>
          <w:rFonts w:eastAsiaTheme="minorEastAsia"/>
        </w:rPr>
      </w:pPr>
      <w:r>
        <w:t xml:space="preserve">The following sections will utilise the CAPM methodology of Jensen (1968) to examine the historical performance of Australian LICs by obtaining estimates for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Pr>
          <w:rFonts w:eastAsiaTheme="minorEastAsia"/>
        </w:rPr>
        <w:t xml:space="preserve"> 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oMath>
      <w:r>
        <w:rPr>
          <w:rFonts w:eastAsiaTheme="minorEastAsia"/>
        </w:rPr>
        <w:t xml:space="preserve"> parameters</w:t>
      </w:r>
      <w:r w:rsidR="004D311A">
        <w:rPr>
          <w:rFonts w:eastAsiaTheme="minorEastAsia"/>
        </w:rPr>
        <w:t xml:space="preserve"> of each security</w:t>
      </w:r>
      <w:r>
        <w:rPr>
          <w:rFonts w:eastAsiaTheme="minorEastAsia"/>
        </w:rPr>
        <w:t xml:space="preserve">. Further, we will use our findings to evaluate the potential for </w:t>
      </w:r>
      <w:r w:rsidR="005F1B34">
        <w:rPr>
          <w:rFonts w:eastAsiaTheme="minorEastAsia"/>
        </w:rPr>
        <w:t>building portfolios</w:t>
      </w:r>
      <w:r>
        <w:rPr>
          <w:rFonts w:eastAsiaTheme="minorEastAsia"/>
        </w:rPr>
        <w:t xml:space="preserve"> </w:t>
      </w:r>
      <w:r w:rsidR="005F1B34">
        <w:rPr>
          <w:rFonts w:eastAsiaTheme="minorEastAsia"/>
        </w:rPr>
        <w:t xml:space="preserve">to replicate the returns of the LIC </w:t>
      </w:r>
      <w:r>
        <w:rPr>
          <w:rFonts w:eastAsiaTheme="minorEastAsia"/>
        </w:rPr>
        <w:t xml:space="preserve">assets using a </w:t>
      </w:r>
      <w:r w:rsidR="005F1B34">
        <w:rPr>
          <w:rFonts w:eastAsiaTheme="minorEastAsia"/>
        </w:rPr>
        <w:t>combination</w:t>
      </w:r>
      <w:r>
        <w:rPr>
          <w:rFonts w:eastAsiaTheme="minorEastAsia"/>
        </w:rPr>
        <w:t xml:space="preserve"> of a passive index tracking exchange traded fund (ETF), namely the </w:t>
      </w:r>
      <w:r w:rsidRPr="00811989">
        <w:rPr>
          <w:rFonts w:eastAsiaTheme="minorEastAsia"/>
        </w:rPr>
        <w:t>Vanguard Australian Shares Index ETF (VAS)</w:t>
      </w:r>
      <w:r>
        <w:rPr>
          <w:rFonts w:eastAsiaTheme="minorEastAsia"/>
        </w:rPr>
        <w:t xml:space="preserve">, and Australian </w:t>
      </w:r>
      <w:r w:rsidRPr="00972607">
        <w:rPr>
          <w:rFonts w:eastAsiaTheme="minorEastAsia"/>
        </w:rPr>
        <w:t>Commonwealth Government bond</w:t>
      </w:r>
      <w:r>
        <w:rPr>
          <w:rFonts w:eastAsiaTheme="minorEastAsia"/>
        </w:rPr>
        <w:t>s.</w:t>
      </w:r>
    </w:p>
    <w:p w:rsidR="00731EF3" w:rsidRDefault="00D93F6A" w:rsidP="004B2F36">
      <w:r>
        <w:t xml:space="preserve">The first order of business for our analysis is to obtain the </w:t>
      </w:r>
      <w:r w:rsidR="00731EF3">
        <w:t xml:space="preserve">required data. </w:t>
      </w:r>
      <w:r w:rsidR="00CF6803">
        <w:t xml:space="preserve">We have decided to use monthly returns data for the past 5 years as this is a common timeframe and </w:t>
      </w:r>
      <w:r w:rsidR="007166E8">
        <w:t>frequency</w:t>
      </w:r>
      <w:r w:rsidR="00CF6803">
        <w:t xml:space="preserve"> </w:t>
      </w:r>
      <w:r w:rsidR="005F1B34">
        <w:t xml:space="preserve">for calculating CAPM parameters, </w:t>
      </w:r>
      <w:r w:rsidR="005F1B34" w:rsidRPr="005F1B34">
        <w:rPr>
          <w:sz w:val="18"/>
        </w:rPr>
        <w:t>*this is currently the timeframe and frequency used for the beta calculation on Yahoo (Au)</w:t>
      </w:r>
      <w:r w:rsidR="00CF6803" w:rsidRPr="00CF6803">
        <w:t xml:space="preserve"> </w:t>
      </w:r>
      <w:r w:rsidR="00CF6803">
        <w:t>however the analysis and code can be easily adapted to</w:t>
      </w:r>
      <w:r w:rsidR="00462B6A">
        <w:t xml:space="preserve"> accommodate alternate timeframes and </w:t>
      </w:r>
      <w:r w:rsidR="007166E8">
        <w:t>frequency</w:t>
      </w:r>
      <w:r w:rsidR="00CF6803" w:rsidRPr="00CF6803">
        <w:t>.</w:t>
      </w:r>
      <w:r w:rsidR="00515C84">
        <w:t xml:space="preserve"> </w:t>
      </w:r>
      <w:r w:rsidR="00515C84">
        <w:t>For our analysis we have used returns data from 2015-06-01 through 2020-03-01.</w:t>
      </w:r>
    </w:p>
    <w:p w:rsidR="00A4567B" w:rsidRDefault="00731EF3" w:rsidP="004B2F36">
      <w:pPr>
        <w:rPr>
          <w:b/>
        </w:rPr>
      </w:pPr>
      <w:r w:rsidRPr="00731EF3">
        <w:rPr>
          <w:i/>
        </w:rPr>
        <w:t xml:space="preserve">LIC </w:t>
      </w:r>
      <w:r w:rsidR="00A4567B">
        <w:rPr>
          <w:i/>
        </w:rPr>
        <w:t>List</w:t>
      </w:r>
      <w:r w:rsidR="005F1B34">
        <w:rPr>
          <w:i/>
        </w:rPr>
        <w:t xml:space="preserve"> - </w:t>
      </w:r>
      <w:r>
        <w:t xml:space="preserve">A list of current LICs trading on the ASX was obtained from </w:t>
      </w:r>
      <w:hyperlink r:id="rId11" w:history="1">
        <w:r>
          <w:rPr>
            <w:rStyle w:val="Hyperlink"/>
          </w:rPr>
          <w:t>https://www.asxlics.com/</w:t>
        </w:r>
      </w:hyperlink>
      <w:r w:rsidR="00A4567B">
        <w:t>, imported to R as a data frame and cleaned</w:t>
      </w:r>
      <w:r w:rsidRPr="00A4567B">
        <w:t>.</w:t>
      </w:r>
    </w:p>
    <w:p w:rsidR="00A4567B" w:rsidRDefault="00A4567B" w:rsidP="00A4567B">
      <w:pPr>
        <w:rPr>
          <w:color w:val="ED7D31" w:themeColor="accent2"/>
        </w:rPr>
      </w:pPr>
      <w:r w:rsidRPr="00731EF3">
        <w:rPr>
          <w:color w:val="ED7D31" w:themeColor="accent2"/>
        </w:rPr>
        <w:t>[INSERT CODE]</w:t>
      </w:r>
    </w:p>
    <w:p w:rsidR="00731EF3" w:rsidRDefault="00731EF3" w:rsidP="004B2F36">
      <w:pPr>
        <w:rPr>
          <w:color w:val="ED7D31" w:themeColor="accent2"/>
        </w:rPr>
      </w:pPr>
      <w:r w:rsidRPr="00731EF3">
        <w:rPr>
          <w:i/>
        </w:rPr>
        <w:t>Risk-free rate data</w:t>
      </w:r>
      <w:r w:rsidR="005F1B34">
        <w:rPr>
          <w:i/>
        </w:rPr>
        <w:t xml:space="preserve"> - </w:t>
      </w:r>
      <w:r>
        <w:t>Sovereign government bonds are widely used in f</w:t>
      </w:r>
      <w:r w:rsidR="005F1B34">
        <w:t>inance as “risk-free” assets (</w:t>
      </w:r>
      <w:proofErr w:type="spellStart"/>
      <w:r w:rsidR="005F1B34">
        <w:t>Investopedia</w:t>
      </w:r>
      <w:proofErr w:type="spellEnd"/>
      <w:r w:rsidR="005F1B34">
        <w:t xml:space="preserve"> 2020) </w:t>
      </w:r>
      <w:hyperlink r:id="rId12" w:history="1">
        <w:r w:rsidR="005F1B34">
          <w:rPr>
            <w:rStyle w:val="Hyperlink"/>
          </w:rPr>
          <w:t>https://www.investopedia.com/terms/r/riskfreeasset.asp</w:t>
        </w:r>
      </w:hyperlink>
      <w:r w:rsidR="005F1B34">
        <w:t xml:space="preserve">. </w:t>
      </w:r>
      <w:r>
        <w:t xml:space="preserve">For our analysis we will be using the yield data on </w:t>
      </w:r>
      <w:r>
        <w:rPr>
          <w:rFonts w:eastAsiaTheme="minorEastAsia"/>
        </w:rPr>
        <w:t xml:space="preserve">Australian </w:t>
      </w:r>
      <w:r w:rsidRPr="00972607">
        <w:rPr>
          <w:rFonts w:eastAsiaTheme="minorEastAsia"/>
        </w:rPr>
        <w:t>Commonwealth Government bond</w:t>
      </w:r>
      <w:r>
        <w:rPr>
          <w:rFonts w:eastAsiaTheme="minorEastAsia"/>
        </w:rPr>
        <w:t>s with 5 years to maturity.</w:t>
      </w:r>
      <w:r w:rsidR="00462B6A">
        <w:rPr>
          <w:rFonts w:eastAsiaTheme="minorEastAsia"/>
        </w:rPr>
        <w:t xml:space="preserve"> *The 5-year timeframe was chosen simply as it paired nicely with the 5 year timeframe selected for data collection.</w:t>
      </w:r>
      <w:r>
        <w:rPr>
          <w:rFonts w:eastAsiaTheme="minorEastAsia"/>
        </w:rPr>
        <w:t xml:space="preserve"> This data can be sourced from the </w:t>
      </w:r>
      <w:hyperlink r:id="rId13" w:anchor="interest-rates" w:history="1">
        <w:r w:rsidRPr="00731EF3">
          <w:rPr>
            <w:rStyle w:val="Hyperlink"/>
            <w:rFonts w:eastAsiaTheme="minorEastAsia"/>
          </w:rPr>
          <w:t>Reserve Bank of Australia</w:t>
        </w:r>
      </w:hyperlink>
      <w:r>
        <w:rPr>
          <w:rFonts w:eastAsiaTheme="minorEastAsia"/>
        </w:rPr>
        <w:t xml:space="preserve">’s webpage. </w:t>
      </w:r>
      <w:r w:rsidRPr="005F1B34">
        <w:rPr>
          <w:rFonts w:eastAsiaTheme="minorEastAsia"/>
          <w:sz w:val="18"/>
        </w:rPr>
        <w:t>*</w:t>
      </w:r>
      <w:r w:rsidR="008653A5" w:rsidRPr="005F1B34">
        <w:rPr>
          <w:rFonts w:eastAsiaTheme="minorEastAsia"/>
          <w:sz w:val="18"/>
        </w:rPr>
        <w:t>*</w:t>
      </w:r>
      <w:r w:rsidRPr="005F1B34">
        <w:rPr>
          <w:rFonts w:eastAsiaTheme="minorEastAsia"/>
          <w:sz w:val="18"/>
        </w:rPr>
        <w:t>Prior to importing this data into R, we quickly formatted the dates to YYYY-MM-DD in Excel.</w:t>
      </w:r>
      <w:r w:rsidRPr="005F1B34">
        <w:rPr>
          <w:color w:val="ED7D31" w:themeColor="accent2"/>
          <w:sz w:val="18"/>
        </w:rPr>
        <w:t xml:space="preserve"> </w:t>
      </w:r>
    </w:p>
    <w:p w:rsidR="00731EF3" w:rsidRPr="00731EF3" w:rsidRDefault="00731EF3" w:rsidP="004B2F36">
      <w:pPr>
        <w:rPr>
          <w:b/>
        </w:rPr>
      </w:pPr>
      <w:r w:rsidRPr="00731EF3">
        <w:rPr>
          <w:color w:val="ED7D31" w:themeColor="accent2"/>
        </w:rPr>
        <w:t>[INSERT CODE]</w:t>
      </w:r>
    </w:p>
    <w:p w:rsidR="00731EF3" w:rsidRDefault="00A4567B" w:rsidP="004B2F36">
      <w:r>
        <w:rPr>
          <w:i/>
        </w:rPr>
        <w:t>Benchmark</w:t>
      </w:r>
      <w:r w:rsidR="00731EF3" w:rsidRPr="00731EF3">
        <w:rPr>
          <w:i/>
        </w:rPr>
        <w:t xml:space="preserve"> Index Data</w:t>
      </w:r>
      <w:r w:rsidR="005F1B34">
        <w:rPr>
          <w:i/>
        </w:rPr>
        <w:t xml:space="preserve"> - </w:t>
      </w:r>
      <w:r w:rsidR="00731EF3">
        <w:t xml:space="preserve">We have elected to use pricing data for the </w:t>
      </w:r>
      <w:r w:rsidR="00CD188C">
        <w:t>passively managed</w:t>
      </w:r>
      <w:r w:rsidR="00731EF3">
        <w:t xml:space="preserve"> </w:t>
      </w:r>
      <w:hyperlink r:id="rId14" w:anchor="/fundDetail/etf/portId=8205/?overview" w:history="1">
        <w:r w:rsidR="00CD188C" w:rsidRPr="00CD188C">
          <w:rPr>
            <w:rStyle w:val="Hyperlink"/>
            <w:rFonts w:eastAsiaTheme="minorEastAsia"/>
          </w:rPr>
          <w:t>Vanguard Australian Shares Index ETF (VAS)</w:t>
        </w:r>
      </w:hyperlink>
      <w:r w:rsidR="00CD188C">
        <w:rPr>
          <w:rFonts w:eastAsiaTheme="minorEastAsia"/>
        </w:rPr>
        <w:t xml:space="preserve"> as a proxy for the market returns. The fund </w:t>
      </w:r>
      <w:r w:rsidR="00CD188C" w:rsidRPr="009A7735">
        <w:t>seeks to track the return of the S&amp;P/ASX 300 Index</w:t>
      </w:r>
      <w:r w:rsidR="005F1B34">
        <w:t>, therefore</w:t>
      </w:r>
      <w:r w:rsidR="00CD188C">
        <w:t xml:space="preserve"> we would </w:t>
      </w:r>
      <w:r w:rsidR="005F1B34">
        <w:t>expect</w:t>
      </w:r>
      <w:r w:rsidR="00CD188C">
        <w:t xml:space="preserve"> obtain comparable results if we were to explicitly use</w:t>
      </w:r>
      <w:r w:rsidR="005F1B34">
        <w:t xml:space="preserve"> direct price data of</w:t>
      </w:r>
      <w:r w:rsidR="00CD188C">
        <w:t xml:space="preserve"> that market index or</w:t>
      </w:r>
      <w:r w:rsidR="005F1B34">
        <w:t>, to a lesser extent,</w:t>
      </w:r>
      <w:r w:rsidR="00CD188C">
        <w:t xml:space="preserve"> another </w:t>
      </w:r>
      <w:r w:rsidR="005F1B34">
        <w:t xml:space="preserve">index </w:t>
      </w:r>
      <w:r w:rsidR="00CD188C">
        <w:t>such as th</w:t>
      </w:r>
      <w:r w:rsidR="00515C84">
        <w:t>e All Ordinaries or S&amp;P/ASX 200</w:t>
      </w:r>
      <w:r w:rsidR="00CD188C">
        <w:t xml:space="preserve">. The reason for using the </w:t>
      </w:r>
      <w:r w:rsidR="00515C84">
        <w:t xml:space="preserve">Vanguard </w:t>
      </w:r>
      <w:r w:rsidR="00CD188C">
        <w:t xml:space="preserve">ETF data is that it will enable us to readily produce replication portfolios following our initial </w:t>
      </w:r>
      <w:r w:rsidR="00515C84">
        <w:t xml:space="preserve">CAPM </w:t>
      </w:r>
      <w:r w:rsidR="00CD188C">
        <w:t>modelling.</w:t>
      </w:r>
      <w:r w:rsidR="007337BC">
        <w:t xml:space="preserve"> Historical price data for VAS was obtained from </w:t>
      </w:r>
      <w:hyperlink r:id="rId15" w:history="1">
        <w:r w:rsidR="007337BC" w:rsidRPr="007337BC">
          <w:rPr>
            <w:rStyle w:val="Hyperlink"/>
          </w:rPr>
          <w:t>Yahoo Finance</w:t>
        </w:r>
      </w:hyperlink>
      <w:r w:rsidR="007337BC">
        <w:t>.</w:t>
      </w:r>
      <w:r w:rsidR="00515C84">
        <w:t xml:space="preserve"> We use</w:t>
      </w:r>
      <w:r w:rsidR="00A7090B">
        <w:t xml:space="preserve"> “Adj. Close” price data as this data series is adjusted for dividend distributions and enables our analysis to consider the dividend </w:t>
      </w:r>
      <w:proofErr w:type="spellStart"/>
      <w:r w:rsidR="00A7090B">
        <w:t>cashflows</w:t>
      </w:r>
      <w:proofErr w:type="spellEnd"/>
      <w:r w:rsidR="00A7090B">
        <w:t xml:space="preserve"> an investor would have been entitled to, as well as the</w:t>
      </w:r>
      <w:r w:rsidR="00A7090B" w:rsidRPr="00A7090B">
        <w:t xml:space="preserve"> </w:t>
      </w:r>
      <w:r w:rsidR="00A7090B">
        <w:t>capital gains</w:t>
      </w:r>
      <w:r w:rsidR="00515C84">
        <w:t xml:space="preserve"> return</w:t>
      </w:r>
      <w:r w:rsidR="00A7090B">
        <w:t>.</w:t>
      </w:r>
    </w:p>
    <w:p w:rsidR="007337BC" w:rsidRPr="00731EF3" w:rsidRDefault="007337BC" w:rsidP="007337BC">
      <w:pPr>
        <w:rPr>
          <w:b/>
        </w:rPr>
      </w:pPr>
      <w:r w:rsidRPr="00731EF3">
        <w:rPr>
          <w:color w:val="ED7D31" w:themeColor="accent2"/>
        </w:rPr>
        <w:t>[INSERT CODE]</w:t>
      </w:r>
    </w:p>
    <w:p w:rsidR="00A4567B" w:rsidRPr="00A4567B" w:rsidRDefault="00A4567B" w:rsidP="00A4567B">
      <w:r w:rsidRPr="00A4567B">
        <w:rPr>
          <w:i/>
        </w:rPr>
        <w:t>LIC Data</w:t>
      </w:r>
      <w:r w:rsidR="00515C84">
        <w:rPr>
          <w:i/>
        </w:rPr>
        <w:t xml:space="preserve"> - </w:t>
      </w:r>
      <w:r w:rsidR="00515C84">
        <w:t>The</w:t>
      </w:r>
      <w:r w:rsidRPr="007337BC">
        <w:t xml:space="preserve"> list</w:t>
      </w:r>
      <w:r>
        <w:t xml:space="preserve"> of LICs was then used to obtain h</w:t>
      </w:r>
      <w:r w:rsidR="00515C84">
        <w:t>istorical pricing data for each</w:t>
      </w:r>
      <w:r>
        <w:t xml:space="preserve"> from </w:t>
      </w:r>
      <w:hyperlink r:id="rId16" w:history="1">
        <w:r w:rsidRPr="007337BC">
          <w:rPr>
            <w:rStyle w:val="Hyperlink"/>
          </w:rPr>
          <w:t>Yahoo Finance</w:t>
        </w:r>
      </w:hyperlink>
      <w:r>
        <w:t xml:space="preserve">. Again </w:t>
      </w:r>
      <w:r w:rsidR="00A7090B">
        <w:t xml:space="preserve">“Adj. Close” price data is used. </w:t>
      </w:r>
      <w:r>
        <w:t>Using R</w:t>
      </w:r>
      <w:r w:rsidR="00A7090B">
        <w:t>,</w:t>
      </w:r>
      <w:r>
        <w:t xml:space="preserve"> the data was compiled into a single </w:t>
      </w:r>
      <w:proofErr w:type="spellStart"/>
      <w:r>
        <w:t>xts</w:t>
      </w:r>
      <w:proofErr w:type="spellEnd"/>
      <w:r>
        <w:t xml:space="preserve"> object along with the risk-free data and benchmark data, then trimmed. </w:t>
      </w:r>
    </w:p>
    <w:p w:rsidR="00A4567B" w:rsidRDefault="00A4567B" w:rsidP="004B2F36">
      <w:pPr>
        <w:rPr>
          <w:color w:val="ED7D31" w:themeColor="accent2"/>
        </w:rPr>
      </w:pPr>
      <w:r w:rsidRPr="00731EF3">
        <w:rPr>
          <w:color w:val="ED7D31" w:themeColor="accent2"/>
        </w:rPr>
        <w:t>[INSERT CODE]</w:t>
      </w:r>
    </w:p>
    <w:p w:rsidR="00C9241D" w:rsidRDefault="006F7297" w:rsidP="004B2F36">
      <w:pPr>
        <w:rPr>
          <w:rFonts w:eastAsiaTheme="minorEastAsia"/>
        </w:rPr>
      </w:pPr>
      <w:r w:rsidRPr="006F7297">
        <w:rPr>
          <w:i/>
        </w:rPr>
        <w:t>Generating the CAPM Variables</w:t>
      </w:r>
      <w:r w:rsidR="00515C84">
        <w:rPr>
          <w:i/>
        </w:rPr>
        <w:t xml:space="preserve"> - </w:t>
      </w:r>
      <w:r>
        <w:t>As indicated above, the CAPM regression analysis requires us to calculate the “Excess Returns”</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w:r>
        <w:rPr>
          <w:rFonts w:eastAsiaTheme="minorEastAsia"/>
        </w:rPr>
        <w:t xml:space="preserve">, for each LIC and the “Market Risk Premium”, </w:t>
      </w:r>
      <m:oMath>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w:r>
        <w:rPr>
          <w:rFonts w:eastAsiaTheme="minorEastAsia"/>
        </w:rPr>
        <w:t>. We calculate these into a new data frame called “capm.data” in case we wish to export and save the data.</w:t>
      </w:r>
    </w:p>
    <w:p w:rsidR="00A22321" w:rsidRPr="00A22321" w:rsidRDefault="00A22321" w:rsidP="004B2F36">
      <w:pPr>
        <w:rPr>
          <w:rFonts w:eastAsiaTheme="minorEastAsia"/>
        </w:rPr>
      </w:pPr>
      <m:oMathPara>
        <m:oMath>
          <m:r>
            <w:rPr>
              <w:rFonts w:ascii="Cambria Math" w:hAnsi="Cambria Math"/>
            </w:rPr>
            <m:t xml:space="preserve">Excess Returns:   </m:t>
          </m:r>
          <m:sSub>
            <m:sSubPr>
              <m:ctrlPr>
                <w:rPr>
                  <w:rFonts w:ascii="Cambria Math" w:hAnsi="Cambria Math"/>
                  <w:i/>
                </w:rPr>
              </m:ctrlPr>
            </m:sSubPr>
            <m:e>
              <m:r>
                <w:rPr>
                  <w:rFonts w:ascii="Cambria Math" w:hAnsi="Cambria Math"/>
                </w:rPr>
                <m:t>ER</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m:oMathPara>
    </w:p>
    <w:p w:rsidR="00A22321" w:rsidRDefault="00A22321" w:rsidP="00A22321">
      <w:pPr>
        <w:rPr>
          <w:rFonts w:eastAsiaTheme="minorEastAsia"/>
        </w:rPr>
      </w:pPr>
      <m:oMathPara>
        <m:oMath>
          <m:r>
            <w:rPr>
              <w:rFonts w:ascii="Cambria Math" w:hAnsi="Cambria Math"/>
            </w:rPr>
            <m:t>Market Risk Premium</m:t>
          </m:r>
          <m:r>
            <w:rPr>
              <w:rFonts w:ascii="Cambria Math" w:hAnsi="Cambria Math"/>
            </w:rPr>
            <m:t xml:space="preserve">:   </m:t>
          </m:r>
          <m:sSub>
            <m:sSubPr>
              <m:ctrlPr>
                <w:rPr>
                  <w:rFonts w:ascii="Cambria Math" w:hAnsi="Cambria Math"/>
                  <w:i/>
                </w:rPr>
              </m:ctrlPr>
            </m:sSubPr>
            <m:e>
              <m:r>
                <w:rPr>
                  <w:rFonts w:ascii="Cambria Math" w:hAnsi="Cambria Math"/>
                </w:rPr>
                <m:t>ER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m:oMathPara>
    </w:p>
    <w:p w:rsidR="00A22321" w:rsidRDefault="00A22321" w:rsidP="004B2F36">
      <w:pPr>
        <w:rPr>
          <w:rFonts w:eastAsiaTheme="minorEastAsia"/>
        </w:rPr>
      </w:pPr>
    </w:p>
    <w:p w:rsidR="006F7297" w:rsidRDefault="006F7297" w:rsidP="006F7297">
      <w:pPr>
        <w:rPr>
          <w:color w:val="ED7D31" w:themeColor="accent2"/>
        </w:rPr>
      </w:pPr>
      <w:r w:rsidRPr="00731EF3">
        <w:rPr>
          <w:color w:val="ED7D31" w:themeColor="accent2"/>
        </w:rPr>
        <w:t>[INSERT CODE]</w:t>
      </w:r>
    </w:p>
    <w:p w:rsidR="006F7297" w:rsidRDefault="006F7297" w:rsidP="004B2F36">
      <w:pPr>
        <w:rPr>
          <w:rFonts w:eastAsiaTheme="minorEastAsia"/>
          <w:i/>
        </w:rPr>
      </w:pPr>
      <w:r w:rsidRPr="00CF6803">
        <w:rPr>
          <w:i/>
        </w:rPr>
        <w:t xml:space="preserve">Calculating the CAPM Parameters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sidR="00CF6803" w:rsidRPr="00CF6803">
        <w:rPr>
          <w:rFonts w:eastAsiaTheme="minorEastAsia"/>
          <w: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oMath>
    </w:p>
    <w:p w:rsidR="006B75F2" w:rsidRDefault="00CF6803" w:rsidP="004B2F36">
      <w:pPr>
        <w:rPr>
          <w:rFonts w:eastAsiaTheme="minorEastAsia"/>
        </w:rPr>
      </w:pPr>
      <w:r>
        <w:rPr>
          <w:rFonts w:eastAsiaTheme="minorEastAsia"/>
        </w:rPr>
        <w:t xml:space="preserve">Having </w:t>
      </w:r>
      <w:r w:rsidR="00515C84">
        <w:rPr>
          <w:rFonts w:eastAsiaTheme="minorEastAsia"/>
        </w:rPr>
        <w:t>compiled</w:t>
      </w:r>
      <w:r>
        <w:rPr>
          <w:rFonts w:eastAsiaTheme="minorEastAsia"/>
        </w:rPr>
        <w:t xml:space="preserve"> our data, we are now ready to calculate the CAPM parameters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sidRPr="00CF6803">
        <w:rPr>
          <w:rFonts w:eastAsiaTheme="minorEastAsia"/>
        </w:rPr>
        <w:t xml:space="preserve"> </w:t>
      </w:r>
      <w:proofErr w:type="gramStart"/>
      <w:r w:rsidRPr="00CF6803">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oMath>
      <w:r>
        <w:rPr>
          <w:rFonts w:eastAsiaTheme="minorEastAsia"/>
        </w:rPr>
        <w:t xml:space="preserve">. To do so, we use a series of linear regressions with the </w:t>
      </w:r>
      <w:r>
        <w:t>“Excess Returns”</w:t>
      </w:r>
      <w:proofErr w:type="gramStart"/>
      <w:r>
        <w:t xml:space="preserve">, </w:t>
      </w:r>
      <w:proofErr w:type="gramEnd"/>
      <m:oMath>
        <m:sSub>
          <m:sSubPr>
            <m:ctrlPr>
              <w:rPr>
                <w:rFonts w:ascii="Cambria Math" w:hAnsi="Cambria Math"/>
                <w:i/>
              </w:rPr>
            </m:ctrlPr>
          </m:sSubPr>
          <m:e>
            <m:r>
              <w:rPr>
                <w:rFonts w:ascii="Cambria Math" w:hAnsi="Cambria Math"/>
              </w:rPr>
              <m:t>ER</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w:r>
        <w:rPr>
          <w:rFonts w:eastAsiaTheme="minorEastAsia"/>
        </w:rPr>
        <w:t xml:space="preserve">, of our LICs as our dependent variables and the “Market Risk Premium”, </w:t>
      </w:r>
      <m:oMath>
        <m:sSub>
          <m:sSubPr>
            <m:ctrlPr>
              <w:rPr>
                <w:rFonts w:ascii="Cambria Math" w:hAnsi="Cambria Math"/>
                <w:i/>
              </w:rPr>
            </m:ctrlPr>
          </m:sSubPr>
          <m:e>
            <m:r>
              <w:rPr>
                <w:rFonts w:ascii="Cambria Math" w:hAnsi="Cambria Math"/>
              </w:rPr>
              <m:t>ER</m:t>
            </m:r>
          </m:e>
          <m:sub>
            <m:r>
              <w:rPr>
                <w:rFonts w:ascii="Cambria Math" w:hAnsi="Cambria Math"/>
              </w:rPr>
              <m:t>M</m:t>
            </m:r>
            <m:r>
              <w:rPr>
                <w:rFonts w:ascii="Cambria Math" w:hAnsi="Cambria Math"/>
              </w:rPr>
              <m:t>t</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w:r>
        <w:rPr>
          <w:rFonts w:eastAsiaTheme="minorEastAsia"/>
        </w:rPr>
        <w:t xml:space="preserve">, as our explanatory variable. </w:t>
      </w:r>
      <w:r w:rsidR="007166E8">
        <w:rPr>
          <w:rFonts w:eastAsiaTheme="minorEastAsia"/>
        </w:rPr>
        <w:t>It is important to note that</w:t>
      </w:r>
      <w:r>
        <w:rPr>
          <w:rFonts w:eastAsiaTheme="minorEastAsia"/>
        </w:rPr>
        <w:t xml:space="preserve"> not all of our LICs have data for the entire 5 year period,</w:t>
      </w:r>
      <w:r w:rsidR="007166E8">
        <w:rPr>
          <w:rFonts w:eastAsiaTheme="minorEastAsia"/>
        </w:rPr>
        <w:t xml:space="preserve"> and as such some of the parameters will be less precisely estimated given the fewer data points available. </w:t>
      </w:r>
      <w:r w:rsidR="007166E8" w:rsidRPr="00515C84">
        <w:rPr>
          <w:rFonts w:eastAsiaTheme="minorEastAsia"/>
          <w:sz w:val="20"/>
        </w:rPr>
        <w:t>*Again, one may prefer to adjust the timeframe and frequency to alleviate this issue.</w:t>
      </w:r>
      <w:r w:rsidR="007166E8">
        <w:rPr>
          <w:rFonts w:eastAsiaTheme="minorEastAsia"/>
        </w:rPr>
        <w:t xml:space="preserve"> The below code calculates the parameters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sidR="007166E8" w:rsidRPr="00CF680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oMath>
      <w:r w:rsidR="007166E8">
        <w:rPr>
          <w:rFonts w:eastAsiaTheme="minorEastAsia"/>
        </w:rPr>
        <w:t>, as well as using</w:t>
      </w:r>
      <w:r w:rsidR="006B75F2">
        <w:rPr>
          <w:rFonts w:eastAsiaTheme="minorEastAsia"/>
        </w:rPr>
        <w:t xml:space="preserve"> a t-test function to produce </w:t>
      </w:r>
      <w:r w:rsidR="007166E8">
        <w:rPr>
          <w:rFonts w:eastAsiaTheme="minorEastAsia"/>
        </w:rPr>
        <w:t>their p-values so we can</w:t>
      </w:r>
      <w:r w:rsidR="006B75F2">
        <w:rPr>
          <w:rFonts w:eastAsiaTheme="minorEastAsia"/>
        </w:rPr>
        <w:t xml:space="preserve"> have some idea of how accurately the parameters have been estimated. </w:t>
      </w:r>
    </w:p>
    <w:p w:rsidR="00142E8A" w:rsidRDefault="00142E8A" w:rsidP="00142E8A">
      <w:pPr>
        <w:rPr>
          <w:color w:val="ED7D31" w:themeColor="accent2"/>
        </w:rPr>
      </w:pPr>
      <w:r w:rsidRPr="00731EF3">
        <w:rPr>
          <w:color w:val="ED7D31" w:themeColor="accent2"/>
        </w:rPr>
        <w:t xml:space="preserve">[INSERT </w:t>
      </w:r>
      <w:r>
        <w:rPr>
          <w:color w:val="ED7D31" w:themeColor="accent2"/>
        </w:rPr>
        <w:t xml:space="preserve">t-test function </w:t>
      </w:r>
      <w:r w:rsidRPr="00731EF3">
        <w:rPr>
          <w:color w:val="ED7D31" w:themeColor="accent2"/>
        </w:rPr>
        <w:t>CODE]</w:t>
      </w:r>
    </w:p>
    <w:p w:rsidR="00142E8A" w:rsidRDefault="00142E8A" w:rsidP="00142E8A">
      <w:pPr>
        <w:rPr>
          <w:color w:val="ED7D31" w:themeColor="accent2"/>
        </w:rPr>
      </w:pPr>
      <w:r w:rsidRPr="00731EF3">
        <w:rPr>
          <w:color w:val="ED7D31" w:themeColor="accent2"/>
        </w:rPr>
        <w:t>[</w:t>
      </w:r>
      <w:r>
        <w:rPr>
          <w:color w:val="ED7D31" w:themeColor="accent2"/>
        </w:rPr>
        <w:t xml:space="preserve">INSERT </w:t>
      </w:r>
      <w:r w:rsidRPr="00731EF3">
        <w:rPr>
          <w:color w:val="ED7D31" w:themeColor="accent2"/>
        </w:rPr>
        <w:t>CODE]</w:t>
      </w:r>
    </w:p>
    <w:p w:rsidR="00CF6803" w:rsidRDefault="006B75F2" w:rsidP="004B2F36">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we have simply tested the hypothesis that our estimated value is indifferent from 1, that is that the LIC security tends to move in line with the market as a whole. </w:t>
      </w:r>
      <w:r w:rsidRPr="00515C84">
        <w:rPr>
          <w:rFonts w:eastAsiaTheme="minorEastAsia"/>
          <w:sz w:val="18"/>
        </w:rPr>
        <w:t xml:space="preserve">*This test and subsequent p-value is not overly relevant to our particular line of analysis, however the t-test can be modified to test whether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A</m:t>
            </m:r>
          </m:sub>
        </m:sSub>
      </m:oMath>
      <w:r w:rsidRPr="00515C84">
        <w:rPr>
          <w:rFonts w:eastAsiaTheme="minorEastAsia"/>
          <w:sz w:val="18"/>
        </w:rPr>
        <w:t xml:space="preserve"> is indifferent from any particular value so could be useful if we chose to drill our analysis down a bit deeper into the individual LICs and how they </w:t>
      </w:r>
      <w:r w:rsidR="000D1BB1" w:rsidRPr="00515C84">
        <w:rPr>
          <w:rFonts w:eastAsiaTheme="minorEastAsia"/>
          <w:sz w:val="18"/>
        </w:rPr>
        <w:t>have historically reacted to broader market movements.</w:t>
      </w:r>
      <w:r w:rsidRPr="00515C84">
        <w:rPr>
          <w:rFonts w:eastAsiaTheme="minorEastAsia"/>
          <w:sz w:val="18"/>
        </w:rPr>
        <w:t xml:space="preserve"> </w:t>
      </w:r>
    </w:p>
    <w:p w:rsidR="001F0D31" w:rsidRDefault="001F0D31" w:rsidP="001F0D31">
      <w:pPr>
        <w:rPr>
          <w:rFonts w:eastAsiaTheme="minorEastAsia"/>
        </w:rPr>
      </w:pP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Pr>
          <w:rFonts w:eastAsiaTheme="minorEastAsia"/>
        </w:rPr>
        <w:t>, our hypothesis is that our estimated value is indifferent from zero, indicating that we have not found the LIC managers to be outperforming the market, or evidence to suggest the CAPM does not hold</w:t>
      </w:r>
      <w:r w:rsidR="00142E8A">
        <w:rPr>
          <w:rFonts w:eastAsiaTheme="minorEastAsia"/>
        </w:rPr>
        <w:t xml:space="preserve"> based on the data we have collected</w:t>
      </w:r>
      <w:r>
        <w:rPr>
          <w:rFonts w:eastAsiaTheme="minorEastAsia"/>
        </w:rPr>
        <w:t xml:space="preserve">. </w:t>
      </w:r>
      <w:r w:rsidR="00142E8A">
        <w:rPr>
          <w:rFonts w:eastAsiaTheme="minorEastAsia"/>
        </w:rPr>
        <w:t>Therefore we simply need to</w:t>
      </w:r>
      <w:r>
        <w:rPr>
          <w:rFonts w:eastAsiaTheme="minorEastAsia"/>
        </w:rPr>
        <w:t xml:space="preserve"> check wh</w:t>
      </w:r>
      <w:r w:rsidR="00142E8A">
        <w:rPr>
          <w:rFonts w:eastAsiaTheme="minorEastAsia"/>
        </w:rPr>
        <w:t xml:space="preserve">ether we have obtained </w:t>
      </w:r>
      <w:r>
        <w:rPr>
          <w:rFonts w:eastAsiaTheme="minorEastAsia"/>
        </w:rPr>
        <w:t xml:space="preserve">a positive and statistically significant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m:t>
            </m:r>
          </m:sub>
        </m:sSub>
      </m:oMath>
      <w:r>
        <w:rPr>
          <w:rFonts w:eastAsiaTheme="minorEastAsia"/>
        </w:rPr>
        <w:t xml:space="preserve"> value for </w:t>
      </w:r>
      <w:r w:rsidR="00142E8A">
        <w:rPr>
          <w:rFonts w:eastAsiaTheme="minorEastAsia"/>
        </w:rPr>
        <w:t>any of the LICs.</w:t>
      </w:r>
    </w:p>
    <w:p w:rsidR="006B75F2" w:rsidRDefault="006B75F2" w:rsidP="006B75F2">
      <w:pPr>
        <w:rPr>
          <w:color w:val="ED7D31" w:themeColor="accent2"/>
        </w:rPr>
      </w:pPr>
      <w:r w:rsidRPr="00731EF3">
        <w:rPr>
          <w:color w:val="ED7D31" w:themeColor="accent2"/>
        </w:rPr>
        <w:t>[</w:t>
      </w:r>
      <w:r>
        <w:rPr>
          <w:color w:val="ED7D31" w:themeColor="accent2"/>
        </w:rPr>
        <w:t xml:space="preserve">INSERT </w:t>
      </w:r>
      <w:r w:rsidRPr="00731EF3">
        <w:rPr>
          <w:color w:val="ED7D31" w:themeColor="accent2"/>
        </w:rPr>
        <w:t>CODE</w:t>
      </w:r>
      <w:r w:rsidR="00142E8A">
        <w:rPr>
          <w:color w:val="ED7D31" w:themeColor="accent2"/>
        </w:rPr>
        <w:t xml:space="preserve"> </w:t>
      </w:r>
      <w:proofErr w:type="spellStart"/>
      <w:r w:rsidR="00142E8A" w:rsidRPr="00142E8A">
        <w:rPr>
          <w:color w:val="ED7D31" w:themeColor="accent2"/>
        </w:rPr>
        <w:t>LICs$alpha.rtns</w:t>
      </w:r>
      <w:proofErr w:type="spellEnd"/>
      <w:r w:rsidRPr="00731EF3">
        <w:rPr>
          <w:color w:val="ED7D31" w:themeColor="accent2"/>
        </w:rPr>
        <w:t>]</w:t>
      </w:r>
    </w:p>
    <w:p w:rsidR="006B75F2" w:rsidRPr="004737C8" w:rsidRDefault="003B6C18" w:rsidP="007166E8">
      <w:pPr>
        <w:rPr>
          <w:color w:val="FF0000"/>
        </w:rPr>
      </w:pPr>
      <w:r w:rsidRPr="00322075">
        <w:rPr>
          <w:color w:val="000000" w:themeColor="text1"/>
        </w:rPr>
        <w:t>Our results show that over this period not a single LIC achieved a statistically significant (at the 95% confidence level), positive alpha return. In fact</w:t>
      </w:r>
      <w:r w:rsidR="00322075" w:rsidRPr="00322075">
        <w:rPr>
          <w:color w:val="000000" w:themeColor="text1"/>
        </w:rPr>
        <w:t>,</w:t>
      </w:r>
      <w:r w:rsidRPr="00322075">
        <w:rPr>
          <w:color w:val="000000" w:themeColor="text1"/>
        </w:rPr>
        <w:t xml:space="preserve"> there was only </w:t>
      </w:r>
      <w:r w:rsidR="00322075" w:rsidRPr="00322075">
        <w:rPr>
          <w:color w:val="000000" w:themeColor="text1"/>
        </w:rPr>
        <w:t xml:space="preserve">the </w:t>
      </w:r>
      <w:r w:rsidRPr="00322075">
        <w:rPr>
          <w:color w:val="000000" w:themeColor="text1"/>
        </w:rPr>
        <w:t>one LIC to have an estimated alpha value statistically different from zero</w:t>
      </w:r>
      <w:r w:rsidR="00322075" w:rsidRPr="00322075">
        <w:rPr>
          <w:color w:val="000000" w:themeColor="text1"/>
        </w:rPr>
        <w:t>,</w:t>
      </w:r>
      <w:r w:rsidRPr="00322075">
        <w:rPr>
          <w:color w:val="000000" w:themeColor="text1"/>
        </w:rPr>
        <w:t xml:space="preserve"> and in that case the alpha value was -0.0051, indicating that this LIC had</w:t>
      </w:r>
      <w:r w:rsidR="00322075" w:rsidRPr="00322075">
        <w:rPr>
          <w:color w:val="000000" w:themeColor="text1"/>
        </w:rPr>
        <w:t xml:space="preserve"> underperformed the</w:t>
      </w:r>
      <w:r w:rsidRPr="00322075">
        <w:rPr>
          <w:color w:val="000000" w:themeColor="text1"/>
        </w:rPr>
        <w:t xml:space="preserve"> </w:t>
      </w:r>
      <w:r w:rsidR="00322075" w:rsidRPr="00322075">
        <w:rPr>
          <w:color w:val="000000" w:themeColor="text1"/>
        </w:rPr>
        <w:t xml:space="preserve">market relative to the </w:t>
      </w:r>
      <w:r w:rsidR="00C01AF0">
        <w:rPr>
          <w:color w:val="000000" w:themeColor="text1"/>
        </w:rPr>
        <w:t xml:space="preserve">systematic </w:t>
      </w:r>
      <w:r w:rsidR="00322075" w:rsidRPr="00322075">
        <w:rPr>
          <w:color w:val="000000" w:themeColor="text1"/>
        </w:rPr>
        <w:t>risk exposure.</w:t>
      </w:r>
      <w:r w:rsidR="004F5FD2" w:rsidRPr="00322075">
        <w:rPr>
          <w:color w:val="000000" w:themeColor="text1"/>
        </w:rPr>
        <w:t xml:space="preserve"> If we wide</w:t>
      </w:r>
      <w:r w:rsidR="00322075" w:rsidRPr="00322075">
        <w:rPr>
          <w:color w:val="000000" w:themeColor="text1"/>
        </w:rPr>
        <w:t>n our “significance”</w:t>
      </w:r>
      <w:r w:rsidR="004F5FD2" w:rsidRPr="00322075">
        <w:rPr>
          <w:color w:val="000000" w:themeColor="text1"/>
        </w:rPr>
        <w:t xml:space="preserve"> cut-off to the 90% confidence level</w:t>
      </w:r>
      <w:r w:rsidR="00322075" w:rsidRPr="00322075">
        <w:rPr>
          <w:color w:val="000000" w:themeColor="text1"/>
        </w:rPr>
        <w:t>,</w:t>
      </w:r>
      <w:r w:rsidR="004F5FD2" w:rsidRPr="00322075">
        <w:rPr>
          <w:color w:val="000000" w:themeColor="text1"/>
        </w:rPr>
        <w:t xml:space="preserve"> </w:t>
      </w:r>
      <w:r w:rsidR="00322075" w:rsidRPr="00322075">
        <w:rPr>
          <w:color w:val="000000" w:themeColor="text1"/>
        </w:rPr>
        <w:t xml:space="preserve">we </w:t>
      </w:r>
      <w:r w:rsidR="004F5FD2" w:rsidRPr="00322075">
        <w:rPr>
          <w:color w:val="000000" w:themeColor="text1"/>
        </w:rPr>
        <w:t xml:space="preserve">only </w:t>
      </w:r>
      <w:r w:rsidR="00322075" w:rsidRPr="00322075">
        <w:rPr>
          <w:color w:val="000000" w:themeColor="text1"/>
        </w:rPr>
        <w:t>find</w:t>
      </w:r>
      <w:r w:rsidR="004F5FD2" w:rsidRPr="00322075">
        <w:rPr>
          <w:color w:val="000000" w:themeColor="text1"/>
        </w:rPr>
        <w:t xml:space="preserve"> </w:t>
      </w:r>
      <w:r w:rsidR="004737C8">
        <w:rPr>
          <w:color w:val="000000" w:themeColor="text1"/>
        </w:rPr>
        <w:t>one</w:t>
      </w:r>
      <w:r w:rsidR="004F5FD2" w:rsidRPr="00322075">
        <w:rPr>
          <w:color w:val="000000" w:themeColor="text1"/>
        </w:rPr>
        <w:t xml:space="preserve"> addition</w:t>
      </w:r>
      <w:r w:rsidR="00322075" w:rsidRPr="00322075">
        <w:rPr>
          <w:color w:val="000000" w:themeColor="text1"/>
        </w:rPr>
        <w:t>al</w:t>
      </w:r>
      <w:r w:rsidR="004F5FD2" w:rsidRPr="00322075">
        <w:rPr>
          <w:color w:val="000000" w:themeColor="text1"/>
        </w:rPr>
        <w:t xml:space="preserve"> LICs </w:t>
      </w:r>
      <w:r w:rsidR="00322075" w:rsidRPr="00322075">
        <w:rPr>
          <w:color w:val="000000" w:themeColor="text1"/>
        </w:rPr>
        <w:t xml:space="preserve">with </w:t>
      </w:r>
      <w:r w:rsidR="004737C8">
        <w:rPr>
          <w:color w:val="000000" w:themeColor="text1"/>
        </w:rPr>
        <w:t xml:space="preserve">a </w:t>
      </w:r>
      <w:r w:rsidR="00322075" w:rsidRPr="00322075">
        <w:rPr>
          <w:color w:val="000000" w:themeColor="text1"/>
        </w:rPr>
        <w:t>significant alpha</w:t>
      </w:r>
      <w:r w:rsidR="004737C8">
        <w:rPr>
          <w:color w:val="000000" w:themeColor="text1"/>
        </w:rPr>
        <w:t xml:space="preserve"> value</w:t>
      </w:r>
      <w:r w:rsidR="004F5FD2" w:rsidRPr="00322075">
        <w:rPr>
          <w:color w:val="000000" w:themeColor="text1"/>
        </w:rPr>
        <w:t xml:space="preserve">, </w:t>
      </w:r>
      <w:r w:rsidR="00322075" w:rsidRPr="00322075">
        <w:rPr>
          <w:color w:val="000000" w:themeColor="text1"/>
        </w:rPr>
        <w:t xml:space="preserve">again </w:t>
      </w:r>
      <w:r w:rsidR="004737C8">
        <w:rPr>
          <w:color w:val="000000" w:themeColor="text1"/>
        </w:rPr>
        <w:t>it is</w:t>
      </w:r>
      <w:r w:rsidR="00322075" w:rsidRPr="00322075">
        <w:rPr>
          <w:color w:val="000000" w:themeColor="text1"/>
        </w:rPr>
        <w:t xml:space="preserve"> e</w:t>
      </w:r>
      <w:r w:rsidR="004F5FD2" w:rsidRPr="00322075">
        <w:rPr>
          <w:color w:val="000000" w:themeColor="text1"/>
        </w:rPr>
        <w:t>stimated to be negative</w:t>
      </w:r>
      <w:r w:rsidR="004737C8">
        <w:rPr>
          <w:color w:val="000000" w:themeColor="text1"/>
        </w:rPr>
        <w:t xml:space="preserve"> indicating </w:t>
      </w:r>
      <w:r w:rsidR="004737C8" w:rsidRPr="00C01AF0">
        <w:rPr>
          <w:color w:val="000000" w:themeColor="text1"/>
        </w:rPr>
        <w:t>underperformance</w:t>
      </w:r>
      <w:r w:rsidR="004F5FD2" w:rsidRPr="00C01AF0">
        <w:rPr>
          <w:color w:val="000000" w:themeColor="text1"/>
        </w:rPr>
        <w:t>.</w:t>
      </w:r>
      <w:r w:rsidR="004737C8" w:rsidRPr="00C01AF0">
        <w:rPr>
          <w:color w:val="000000" w:themeColor="text1"/>
        </w:rPr>
        <w:t xml:space="preserve"> </w:t>
      </w:r>
      <w:r w:rsidR="00C01AF0" w:rsidRPr="00C01AF0">
        <w:rPr>
          <w:color w:val="000000" w:themeColor="text1"/>
        </w:rPr>
        <w:t>We</w:t>
      </w:r>
      <w:r w:rsidR="00C01AF0">
        <w:rPr>
          <w:color w:val="000000" w:themeColor="text1"/>
        </w:rPr>
        <w:t xml:space="preserve"> can therefore conclude that our analysis has not found any evidence to suggest that the actively managed LICs are yielding returns for investors that are significantly greater than the returns of the broader market, relative to the risk exposure.</w:t>
      </w:r>
    </w:p>
    <w:p w:rsidR="0061039D" w:rsidRDefault="0061039D" w:rsidP="0061039D">
      <w:pPr>
        <w:rPr>
          <w:color w:val="ED7D31" w:themeColor="accent2"/>
        </w:rPr>
      </w:pPr>
      <w:r w:rsidRPr="00731EF3">
        <w:rPr>
          <w:color w:val="ED7D31" w:themeColor="accent2"/>
        </w:rPr>
        <w:t>[</w:t>
      </w:r>
      <w:r>
        <w:rPr>
          <w:color w:val="ED7D31" w:themeColor="accent2"/>
        </w:rPr>
        <w:t xml:space="preserve">INSERT </w:t>
      </w:r>
      <w:r w:rsidR="00515C84">
        <w:rPr>
          <w:color w:val="ED7D31" w:themeColor="accent2"/>
        </w:rPr>
        <w:t xml:space="preserve">HEAD </w:t>
      </w:r>
      <w:r>
        <w:rPr>
          <w:color w:val="ED7D31" w:themeColor="accent2"/>
        </w:rPr>
        <w:t>TABLE IMAGE</w:t>
      </w:r>
      <w:r w:rsidRPr="00731EF3">
        <w:rPr>
          <w:color w:val="ED7D31" w:themeColor="accent2"/>
        </w:rPr>
        <w:t>]</w:t>
      </w:r>
    </w:p>
    <w:p w:rsidR="00BE5636" w:rsidRPr="00C60DCB" w:rsidRDefault="00BE5636" w:rsidP="00BE5636">
      <w:pPr>
        <w:rPr>
          <w:b/>
          <w:color w:val="000000" w:themeColor="text1"/>
        </w:rPr>
      </w:pPr>
      <w:r w:rsidRPr="00C60DCB">
        <w:rPr>
          <w:b/>
          <w:color w:val="000000" w:themeColor="text1"/>
        </w:rPr>
        <w:t>Building Replication Portfolios</w:t>
      </w:r>
    </w:p>
    <w:p w:rsidR="00BE5636" w:rsidRDefault="00C01AF0" w:rsidP="004B2F36">
      <w:pPr>
        <w:rPr>
          <w:color w:val="000000" w:themeColor="text1"/>
        </w:rPr>
      </w:pPr>
      <w:r w:rsidRPr="00C60DCB">
        <w:rPr>
          <w:color w:val="000000" w:themeColor="text1"/>
        </w:rPr>
        <w:t>Since we have now seen that the LICs have not outperformed the market</w:t>
      </w:r>
      <w:r w:rsidR="00116B4E">
        <w:rPr>
          <w:color w:val="000000" w:themeColor="text1"/>
        </w:rPr>
        <w:t xml:space="preserve"> by delivering statistically significant higher returns</w:t>
      </w:r>
      <w:r w:rsidRPr="00C60DCB">
        <w:rPr>
          <w:color w:val="000000" w:themeColor="text1"/>
        </w:rPr>
        <w:t xml:space="preserve">, we </w:t>
      </w:r>
      <w:r w:rsidR="00116B4E">
        <w:rPr>
          <w:color w:val="000000" w:themeColor="text1"/>
        </w:rPr>
        <w:t xml:space="preserve">are </w:t>
      </w:r>
      <w:r w:rsidRPr="00C60DCB">
        <w:rPr>
          <w:color w:val="000000" w:themeColor="text1"/>
        </w:rPr>
        <w:t xml:space="preserve">able to make portfolios combining the risk-free asset and the </w:t>
      </w:r>
      <w:r w:rsidRPr="00C60DCB">
        <w:rPr>
          <w:color w:val="000000" w:themeColor="text1"/>
        </w:rPr>
        <w:lastRenderedPageBreak/>
        <w:t>market tracking ETF that replicate the return</w:t>
      </w:r>
      <w:r w:rsidR="00116B4E">
        <w:rPr>
          <w:color w:val="000000" w:themeColor="text1"/>
        </w:rPr>
        <w:t xml:space="preserve"> of the LIC with a lower</w:t>
      </w:r>
      <w:r w:rsidRPr="00C60DCB">
        <w:rPr>
          <w:color w:val="000000" w:themeColor="text1"/>
        </w:rPr>
        <w:t xml:space="preserve"> risk exposure</w:t>
      </w:r>
      <w:r w:rsidR="00116B4E">
        <w:rPr>
          <w:color w:val="000000" w:themeColor="text1"/>
        </w:rPr>
        <w:t>.</w:t>
      </w:r>
      <w:r w:rsidR="004F5FD2" w:rsidRPr="00C60DCB">
        <w:rPr>
          <w:color w:val="000000" w:themeColor="text1"/>
          <w:u w:val="single"/>
        </w:rPr>
        <w:softHyphen/>
      </w:r>
      <w:r w:rsidR="00BE5636" w:rsidRPr="00BE5636">
        <w:rPr>
          <w:color w:val="000000" w:themeColor="text1"/>
        </w:rPr>
        <w:t xml:space="preserve"> </w:t>
      </w:r>
      <w:r w:rsidR="00BE5636">
        <w:rPr>
          <w:color w:val="000000" w:themeColor="text1"/>
        </w:rPr>
        <w:t xml:space="preserve">From our findings regarding alpha returns above, we know that the expected return of our replication portfolio and those of the LIC securities will not be statistically different from one-another. </w:t>
      </w:r>
      <w:r w:rsidR="00F46527" w:rsidRPr="00F46527">
        <w:rPr>
          <w:color w:val="000000" w:themeColor="text1"/>
          <w:sz w:val="18"/>
        </w:rPr>
        <w:t>*</w:t>
      </w:r>
      <w:r w:rsidR="00F46527" w:rsidRPr="00F46527">
        <w:rPr>
          <w:sz w:val="18"/>
        </w:rPr>
        <w:t xml:space="preserve">It is also worth reminding ourselves at this point that we </w:t>
      </w:r>
      <w:r w:rsidR="00F46527">
        <w:rPr>
          <w:sz w:val="18"/>
        </w:rPr>
        <w:t>have</w:t>
      </w:r>
      <w:r w:rsidR="00F46527" w:rsidRPr="00F46527">
        <w:rPr>
          <w:sz w:val="18"/>
        </w:rPr>
        <w:t xml:space="preserve"> not account</w:t>
      </w:r>
      <w:r w:rsidR="00F46527">
        <w:rPr>
          <w:sz w:val="18"/>
        </w:rPr>
        <w:t>ed</w:t>
      </w:r>
      <w:r w:rsidR="00F46527" w:rsidRPr="00F46527">
        <w:rPr>
          <w:sz w:val="18"/>
        </w:rPr>
        <w:t xml:space="preserve"> for any </w:t>
      </w:r>
      <w:r w:rsidR="00F46527" w:rsidRPr="00F46527">
        <w:rPr>
          <w:sz w:val="18"/>
        </w:rPr>
        <w:t xml:space="preserve">management or </w:t>
      </w:r>
      <w:r w:rsidR="00F46527" w:rsidRPr="00F46527">
        <w:rPr>
          <w:sz w:val="18"/>
        </w:rPr>
        <w:t>performance fees that may be charged by the LICs.</w:t>
      </w:r>
      <w:r w:rsidR="00F46527">
        <w:rPr>
          <w:sz w:val="18"/>
        </w:rPr>
        <w:t xml:space="preserve"> </w:t>
      </w:r>
      <w:r w:rsidR="00BE5636">
        <w:rPr>
          <w:color w:val="000000" w:themeColor="text1"/>
        </w:rPr>
        <w:t xml:space="preserve">Therefore </w:t>
      </w:r>
      <w:r w:rsidR="00F46527">
        <w:rPr>
          <w:color w:val="000000" w:themeColor="text1"/>
        </w:rPr>
        <w:t xml:space="preserve">if we can show our replication portfolios exhibit less variation in returns when </w:t>
      </w:r>
      <w:r w:rsidR="00BE5636">
        <w:rPr>
          <w:color w:val="000000" w:themeColor="text1"/>
        </w:rPr>
        <w:t>compare</w:t>
      </w:r>
      <w:r w:rsidR="00F46527">
        <w:rPr>
          <w:color w:val="000000" w:themeColor="text1"/>
        </w:rPr>
        <w:t>d to the relative</w:t>
      </w:r>
      <w:r w:rsidR="00BE5636">
        <w:rPr>
          <w:color w:val="000000" w:themeColor="text1"/>
        </w:rPr>
        <w:t xml:space="preserve"> LIC</w:t>
      </w:r>
      <w:r w:rsidR="00F46527">
        <w:rPr>
          <w:color w:val="000000" w:themeColor="text1"/>
        </w:rPr>
        <w:t xml:space="preserve"> we can be confident that these portfolios deliver comparable returns to an investor for less risk expose.</w:t>
      </w:r>
    </w:p>
    <w:p w:rsidR="00F46527" w:rsidRDefault="00F46527" w:rsidP="00F46527">
      <w:r w:rsidRPr="00A7090B">
        <w:rPr>
          <w:i/>
        </w:rPr>
        <w:t xml:space="preserve">Calculating </w:t>
      </w:r>
      <w:r>
        <w:rPr>
          <w:i/>
        </w:rPr>
        <w:t>the standard deviation of the LICs and their relative replication portfolio</w:t>
      </w:r>
    </w:p>
    <w:p w:rsidR="00F46527" w:rsidRDefault="00F46527" w:rsidP="00F46527">
      <w:r>
        <w:t>We first need to calculate the standard deviation of the LIC excess returns</w:t>
      </w:r>
      <w:proofErr w:type="gramStart"/>
      <w:r>
        <w:t xml:space="preserve">, </w:t>
      </w:r>
      <w:proofErr w:type="gramEnd"/>
      <m:oMath>
        <m:r>
          <w:rPr>
            <w:rFonts w:ascii="Cambria Math" w:hAnsi="Cambria Math"/>
          </w:rPr>
          <m:t>SD(</m:t>
        </m:r>
        <m:sSub>
          <m:sSubPr>
            <m:ctrlPr>
              <w:rPr>
                <w:rFonts w:ascii="Cambria Math" w:hAnsi="Cambria Math"/>
                <w:i/>
              </w:rPr>
            </m:ctrlPr>
          </m:sSubPr>
          <m:e>
            <m:r>
              <w:rPr>
                <w:rFonts w:ascii="Cambria Math" w:hAnsi="Cambria Math"/>
              </w:rPr>
              <m:t>ER</m:t>
            </m:r>
          </m:e>
          <m:sub>
            <m:r>
              <w:rPr>
                <w:rFonts w:ascii="Cambria Math" w:hAnsi="Cambria Math"/>
              </w:rPr>
              <m:t>At</m:t>
            </m:r>
          </m:sub>
        </m:sSub>
        <m:r>
          <w:rPr>
            <w:rFonts w:ascii="Cambria Math" w:hAnsi="Cambria Math"/>
          </w:rPr>
          <m:t>)</m:t>
        </m:r>
      </m:oMath>
      <w:r>
        <w:t>, using the data series produced earlier of each LIC.</w:t>
      </w:r>
    </w:p>
    <w:p w:rsidR="0038440C" w:rsidRDefault="0038440C" w:rsidP="00F46527">
      <m:oMath>
        <m:r>
          <w:rPr>
            <w:rFonts w:ascii="Cambria Math" w:hAnsi="Cambria Math"/>
          </w:rPr>
          <m:t>SD(</m:t>
        </m:r>
        <m:sSub>
          <m:sSubPr>
            <m:ctrlPr>
              <w:rPr>
                <w:rFonts w:ascii="Cambria Math" w:hAnsi="Cambria Math"/>
                <w:i/>
              </w:rPr>
            </m:ctrlPr>
          </m:sSubPr>
          <m:e>
            <m:r>
              <w:rPr>
                <w:rFonts w:ascii="Cambria Math" w:hAnsi="Cambria Math"/>
              </w:rPr>
              <m:t>ER</m:t>
            </m:r>
          </m:e>
          <m:sub>
            <m:r>
              <w:rPr>
                <w:rFonts w:ascii="Cambria Math" w:hAnsi="Cambria Math"/>
              </w:rPr>
              <m:t>At</m:t>
            </m:r>
          </m:sub>
        </m:sSub>
        <m:r>
          <w:rPr>
            <w:rFonts w:ascii="Cambria Math" w:hAnsi="Cambria Math"/>
          </w:rPr>
          <m:t>)</m:t>
        </m:r>
      </m:oMath>
      <w:r>
        <w:rPr>
          <w:rFonts w:eastAsiaTheme="minorEastAsia"/>
        </w:rPr>
        <w:t xml:space="preserve"> </w:t>
      </w:r>
      <w:r>
        <w:t>- The return standard deviation is a measure of variation in the LIC excess returns series. It should not be confused with the standard error of the expected return calculated above.</w:t>
      </w:r>
    </w:p>
    <w:p w:rsidR="0038440C" w:rsidRDefault="0038440C" w:rsidP="0038440C">
      <w:pPr>
        <w:rPr>
          <w:color w:val="ED7D31" w:themeColor="accent2"/>
        </w:rPr>
      </w:pPr>
      <w:r w:rsidRPr="00731EF3">
        <w:rPr>
          <w:color w:val="ED7D31" w:themeColor="accent2"/>
        </w:rPr>
        <w:t>[</w:t>
      </w:r>
      <w:r>
        <w:rPr>
          <w:color w:val="ED7D31" w:themeColor="accent2"/>
        </w:rPr>
        <w:t xml:space="preserve">INSERT </w:t>
      </w:r>
      <w:r w:rsidRPr="00731EF3">
        <w:rPr>
          <w:color w:val="ED7D31" w:themeColor="accent2"/>
        </w:rPr>
        <w:t>CODE]</w:t>
      </w:r>
    </w:p>
    <w:p w:rsidR="00BE5636" w:rsidRDefault="00BE5636" w:rsidP="00BE5636">
      <w:pPr>
        <w:rPr>
          <w:color w:val="000000" w:themeColor="text1"/>
        </w:rPr>
      </w:pPr>
      <w:r w:rsidRPr="00FC222E">
        <w:rPr>
          <w:color w:val="000000" w:themeColor="text1"/>
        </w:rPr>
        <w:t xml:space="preserve">Next we need to calculate </w:t>
      </w:r>
      <w:r>
        <w:rPr>
          <w:color w:val="000000" w:themeColor="text1"/>
        </w:rPr>
        <w:t>the excess returns for our replication portfolios</w:t>
      </w:r>
      <w:proofErr w:type="gramStart"/>
      <w:r>
        <w:rPr>
          <w:color w:val="000000" w:themeColor="text1"/>
        </w:rPr>
        <w:t xml:space="preserve">, </w:t>
      </w:r>
      <w:proofErr w:type="gramEnd"/>
      <m:oMath>
        <m:sSub>
          <m:sSubPr>
            <m:ctrlPr>
              <w:rPr>
                <w:rFonts w:ascii="Cambria Math" w:hAnsi="Cambria Math"/>
                <w:i/>
              </w:rPr>
            </m:ctrlPr>
          </m:sSubPr>
          <m:e>
            <m:r>
              <w:rPr>
                <w:rFonts w:ascii="Cambria Math" w:hAnsi="Cambria Math"/>
              </w:rPr>
              <m:t>ER</m:t>
            </m:r>
          </m:e>
          <m:sub>
            <m:r>
              <w:rPr>
                <w:rFonts w:ascii="Cambria Math" w:hAnsi="Cambria Math"/>
              </w:rPr>
              <m:t>Pt</m:t>
            </m:r>
          </m:sub>
        </m:sSub>
      </m:oMath>
      <w:r>
        <w:rPr>
          <w:color w:val="000000" w:themeColor="text1"/>
        </w:rPr>
        <w:t xml:space="preserve">, by first calculating the historical return for each period, then subtracting the risk-free rate. </w:t>
      </w:r>
      <w:r w:rsidR="0038440C">
        <w:rPr>
          <w:color w:val="000000" w:themeColor="text1"/>
        </w:rPr>
        <w:t>From this, the standard deviations of the replication portfolio excess returns</w:t>
      </w:r>
      <w:proofErr w:type="gramStart"/>
      <w:r w:rsidR="0038440C">
        <w:rPr>
          <w:color w:val="000000" w:themeColor="text1"/>
        </w:rPr>
        <w:t xml:space="preserve">, </w:t>
      </w:r>
      <w:proofErr w:type="gramEnd"/>
      <m:oMath>
        <m:r>
          <w:rPr>
            <w:rFonts w:ascii="Cambria Math" w:hAnsi="Cambria Math"/>
          </w:rPr>
          <m:t>SD(</m:t>
        </m:r>
        <m:sSub>
          <m:sSubPr>
            <m:ctrlPr>
              <w:rPr>
                <w:rFonts w:ascii="Cambria Math" w:hAnsi="Cambria Math"/>
                <w:i/>
              </w:rPr>
            </m:ctrlPr>
          </m:sSubPr>
          <m:e>
            <m:r>
              <w:rPr>
                <w:rFonts w:ascii="Cambria Math" w:hAnsi="Cambria Math"/>
              </w:rPr>
              <m:t>ER</m:t>
            </m:r>
          </m:e>
          <m:sub>
            <m:r>
              <w:rPr>
                <w:rFonts w:ascii="Cambria Math" w:hAnsi="Cambria Math"/>
              </w:rPr>
              <m:t>P</m:t>
            </m:r>
            <m:r>
              <w:rPr>
                <w:rFonts w:ascii="Cambria Math" w:hAnsi="Cambria Math"/>
              </w:rPr>
              <m:t>t</m:t>
            </m:r>
          </m:sub>
        </m:sSub>
        <m:r>
          <w:rPr>
            <w:rFonts w:ascii="Cambria Math" w:hAnsi="Cambria Math"/>
          </w:rPr>
          <m:t>)</m:t>
        </m:r>
      </m:oMath>
      <w:r w:rsidR="0038440C">
        <w:t xml:space="preserve">, </w:t>
      </w:r>
      <w:r w:rsidR="0038440C">
        <w:rPr>
          <w:color w:val="000000" w:themeColor="text1"/>
        </w:rPr>
        <w:t>can be calculated.</w:t>
      </w:r>
    </w:p>
    <w:p w:rsidR="00EF4BD5" w:rsidRPr="00A22321" w:rsidRDefault="00EF4BD5" w:rsidP="00EF4BD5">
      <w:pPr>
        <w:rPr>
          <w:rFonts w:eastAsiaTheme="minorEastAsia"/>
        </w:rPr>
      </w:pPr>
      <m:oMathPara>
        <m:oMath>
          <m:r>
            <w:rPr>
              <w:rFonts w:ascii="Cambria Math" w:hAnsi="Cambria Math"/>
            </w:rPr>
            <m:t xml:space="preserve">Excess Returns:   </m:t>
          </m:r>
          <m:sSub>
            <m:sSubPr>
              <m:ctrlPr>
                <w:rPr>
                  <w:rFonts w:ascii="Cambria Math" w:hAnsi="Cambria Math"/>
                  <w:i/>
                </w:rPr>
              </m:ctrlPr>
            </m:sSubPr>
            <m:e>
              <m:r>
                <w:rPr>
                  <w:rFonts w:ascii="Cambria Math" w:hAnsi="Cambria Math"/>
                </w:rPr>
                <m:t>ER</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r>
            <w:rPr>
              <w:rFonts w:ascii="Cambria Math" w:eastAsiaTheme="minorEastAsia" w:hAnsi="Cambria Math"/>
            </w:rPr>
            <m:t>)</m:t>
          </m:r>
        </m:oMath>
      </m:oMathPara>
    </w:p>
    <w:p w:rsidR="00BE5636" w:rsidRDefault="00BE5636" w:rsidP="00BE5636">
      <m:oMath>
        <m:r>
          <w:rPr>
            <w:rFonts w:ascii="Cambria Math" w:hAnsi="Cambria Math"/>
          </w:rPr>
          <m:t>SD(</m:t>
        </m:r>
        <m:sSub>
          <m:sSubPr>
            <m:ctrlPr>
              <w:rPr>
                <w:rFonts w:ascii="Cambria Math" w:hAnsi="Cambria Math"/>
                <w:i/>
              </w:rPr>
            </m:ctrlPr>
          </m:sSubPr>
          <m:e>
            <m:r>
              <w:rPr>
                <w:rFonts w:ascii="Cambria Math" w:hAnsi="Cambria Math"/>
              </w:rPr>
              <m:t>ER</m:t>
            </m:r>
          </m:e>
          <m:sub>
            <m:r>
              <w:rPr>
                <w:rFonts w:ascii="Cambria Math" w:hAnsi="Cambria Math"/>
              </w:rPr>
              <m:t>Pt</m:t>
            </m:r>
          </m:sub>
        </m:sSub>
        <m:r>
          <w:rPr>
            <w:rFonts w:ascii="Cambria Math" w:hAnsi="Cambria Math"/>
          </w:rPr>
          <m:t>)</m:t>
        </m:r>
      </m:oMath>
      <w:r>
        <w:rPr>
          <w:rFonts w:eastAsiaTheme="minorEastAsia"/>
        </w:rPr>
        <w:t xml:space="preserve"> </w:t>
      </w:r>
      <w:r>
        <w:t>- The return standard deviation is a measure of variation in the portfolio excess returns series. It should not be confused with the standard error of the expected return calculated above.</w:t>
      </w:r>
    </w:p>
    <w:p w:rsidR="0038440C" w:rsidRDefault="0038440C" w:rsidP="0038440C">
      <w:pPr>
        <w:rPr>
          <w:color w:val="ED7D31" w:themeColor="accent2"/>
        </w:rPr>
      </w:pPr>
      <w:r w:rsidRPr="00731EF3">
        <w:rPr>
          <w:color w:val="ED7D31" w:themeColor="accent2"/>
        </w:rPr>
        <w:t>[</w:t>
      </w:r>
      <w:r>
        <w:rPr>
          <w:color w:val="ED7D31" w:themeColor="accent2"/>
        </w:rPr>
        <w:t xml:space="preserve">INSERT </w:t>
      </w:r>
      <w:r w:rsidRPr="00731EF3">
        <w:rPr>
          <w:color w:val="ED7D31" w:themeColor="accent2"/>
        </w:rPr>
        <w:t>CODE]</w:t>
      </w:r>
    </w:p>
    <w:p w:rsidR="0038440C" w:rsidRDefault="0038440C" w:rsidP="00BE5636">
      <w:r>
        <w:t xml:space="preserve">Finally, we check whether the standard deviation of the returns from our replication portfolios is lower than that of the LIC securities, indicating less risk exposure. </w:t>
      </w:r>
    </w:p>
    <w:p w:rsidR="0038440C" w:rsidRDefault="0038440C" w:rsidP="0038440C">
      <w:pPr>
        <w:rPr>
          <w:color w:val="ED7D31" w:themeColor="accent2"/>
        </w:rPr>
      </w:pPr>
      <w:r w:rsidRPr="00731EF3">
        <w:rPr>
          <w:color w:val="ED7D31" w:themeColor="accent2"/>
        </w:rPr>
        <w:t>[</w:t>
      </w:r>
      <w:r>
        <w:rPr>
          <w:color w:val="ED7D31" w:themeColor="accent2"/>
        </w:rPr>
        <w:t xml:space="preserve">INSERT </w:t>
      </w:r>
      <w:r w:rsidRPr="00731EF3">
        <w:rPr>
          <w:color w:val="ED7D31" w:themeColor="accent2"/>
        </w:rPr>
        <w:t>CODE]</w:t>
      </w:r>
    </w:p>
    <w:p w:rsidR="00A53839" w:rsidRDefault="00A53839" w:rsidP="00A53839">
      <w:r>
        <w:rPr>
          <w:color w:val="000000" w:themeColor="text1"/>
        </w:rPr>
        <w:t xml:space="preserve">The results show that for every LIC in our analysis we have been able to produce a replication portfolio, combining </w:t>
      </w:r>
      <w:r>
        <w:t>a passive index tracking ETF and risk-free assets that will produce a comparable rate of return while exposing an investor to less risk.</w:t>
      </w:r>
    </w:p>
    <w:p w:rsidR="00CC1313" w:rsidRDefault="00CC1313" w:rsidP="00CC1313">
      <w:pPr>
        <w:rPr>
          <w:color w:val="ED7D31" w:themeColor="accent2"/>
        </w:rPr>
      </w:pPr>
      <w:r w:rsidRPr="00731EF3">
        <w:rPr>
          <w:color w:val="ED7D31" w:themeColor="accent2"/>
        </w:rPr>
        <w:t>[</w:t>
      </w:r>
      <w:r>
        <w:rPr>
          <w:color w:val="ED7D31" w:themeColor="accent2"/>
        </w:rPr>
        <w:t>INSERT HEAD TABLE IMAGE</w:t>
      </w:r>
      <w:r w:rsidRPr="00731EF3">
        <w:rPr>
          <w:color w:val="ED7D31" w:themeColor="accent2"/>
        </w:rPr>
        <w:t>]</w:t>
      </w:r>
    </w:p>
    <w:p w:rsidR="0038440C" w:rsidRPr="009C6E40" w:rsidRDefault="0038440C" w:rsidP="0038440C">
      <w:pPr>
        <w:rPr>
          <w:i/>
        </w:rPr>
      </w:pPr>
      <w:bookmarkStart w:id="0" w:name="_GoBack"/>
      <w:bookmarkEnd w:id="0"/>
      <w:r w:rsidRPr="009C6E40">
        <w:rPr>
          <w:i/>
        </w:rPr>
        <w:t>Conclusion</w:t>
      </w:r>
    </w:p>
    <w:p w:rsidR="00A53839" w:rsidRDefault="00A53839" w:rsidP="00515C84">
      <w:r>
        <w:t>We have shown through this analysis that over our sample period</w:t>
      </w:r>
      <w:r w:rsidR="00515C84">
        <w:t xml:space="preserve"> </w:t>
      </w:r>
      <w:r>
        <w:t>(</w:t>
      </w:r>
      <w:r>
        <w:t>2015-06-01 through 2020-03-01</w:t>
      </w:r>
      <w:r>
        <w:t xml:space="preserve">) </w:t>
      </w:r>
      <w:r w:rsidR="00515C84">
        <w:t xml:space="preserve">we fail to reject our hypothesis that LIC managers </w:t>
      </w:r>
      <w:r>
        <w:t>were</w:t>
      </w:r>
      <w:r w:rsidR="00515C84">
        <w:t xml:space="preserve"> unable consistently deliver returns above those offered by holding </w:t>
      </w:r>
      <w:r>
        <w:t xml:space="preserve">a replication portfolio of </w:t>
      </w:r>
      <w:r>
        <w:t>a passive index tracking ETF and risk-free assets</w:t>
      </w:r>
      <w:r>
        <w:t>. Further, i</w:t>
      </w:r>
      <w:r w:rsidR="00515C84">
        <w:t xml:space="preserve">nvestors holding LIC securities are being charged a </w:t>
      </w:r>
      <w:r>
        <w:t>higher</w:t>
      </w:r>
      <w:r w:rsidR="00515C84">
        <w:t xml:space="preserve"> management fee</w:t>
      </w:r>
      <w:r>
        <w:t>, and in some cases a performance fee, to hold these securities with</w:t>
      </w:r>
      <w:r w:rsidR="00515C84">
        <w:t xml:space="preserve"> the belief that the expertise of their LIC manager will deliver the highest possible return for the lowest possible risk exposure. </w:t>
      </w:r>
      <w:r>
        <w:t>Yet we have seen that by holding a replication portfolio, investors will also be able to reduce their risk exposure.</w:t>
      </w:r>
    </w:p>
    <w:p w:rsidR="00A45942" w:rsidRDefault="00A45942" w:rsidP="00515C84">
      <w:pPr>
        <w:rPr>
          <w:i/>
          <w:color w:val="FF0000"/>
        </w:rPr>
      </w:pPr>
      <w:r>
        <w:rPr>
          <w:i/>
          <w:color w:val="FF0000"/>
        </w:rPr>
        <w:t xml:space="preserve">It is important to note that, as with all financial assets, past performance is not always a reliable indicator of future performance. The analysis above has used 5 years of monthly price data, using different timeframes and periods will likely yield different results. </w:t>
      </w:r>
    </w:p>
    <w:p w:rsidR="00A45942" w:rsidRDefault="00A45942" w:rsidP="00515C84">
      <w:pPr>
        <w:rPr>
          <w:i/>
          <w:color w:val="FF0000"/>
        </w:rPr>
      </w:pPr>
      <w:r>
        <w:rPr>
          <w:i/>
          <w:color w:val="FF0000"/>
        </w:rPr>
        <w:lastRenderedPageBreak/>
        <w:t xml:space="preserve">I have posted this article not with the intention of providing financial advice, but to share the methodology and coding for others to replicate with their own preferences. </w:t>
      </w:r>
    </w:p>
    <w:p w:rsidR="00C51156" w:rsidRPr="00A96DBE" w:rsidRDefault="00C51156" w:rsidP="00515C84">
      <w:pPr>
        <w:rPr>
          <w:color w:val="FF0000"/>
        </w:rPr>
      </w:pPr>
      <w:r>
        <w:rPr>
          <w:color w:val="FF0000"/>
        </w:rPr>
        <w:t>Resources – Packages list</w:t>
      </w:r>
    </w:p>
    <w:p w:rsidR="002160EF" w:rsidRDefault="002160EF"/>
    <w:sectPr w:rsidR="002160EF" w:rsidSect="00ED2DF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F8"/>
    <w:rsid w:val="00017059"/>
    <w:rsid w:val="0005556E"/>
    <w:rsid w:val="000D1BB1"/>
    <w:rsid w:val="000F4445"/>
    <w:rsid w:val="000F6CF8"/>
    <w:rsid w:val="00116B4E"/>
    <w:rsid w:val="00142E8A"/>
    <w:rsid w:val="00181BAE"/>
    <w:rsid w:val="001B6BA9"/>
    <w:rsid w:val="001F0D31"/>
    <w:rsid w:val="002160EF"/>
    <w:rsid w:val="00216BD6"/>
    <w:rsid w:val="002C5BAA"/>
    <w:rsid w:val="002F7030"/>
    <w:rsid w:val="00302A45"/>
    <w:rsid w:val="00322075"/>
    <w:rsid w:val="0033154E"/>
    <w:rsid w:val="0038440C"/>
    <w:rsid w:val="00386B3E"/>
    <w:rsid w:val="003B6C18"/>
    <w:rsid w:val="00462B6A"/>
    <w:rsid w:val="004737C8"/>
    <w:rsid w:val="004B2F36"/>
    <w:rsid w:val="004D311A"/>
    <w:rsid w:val="004F5FD2"/>
    <w:rsid w:val="00515C84"/>
    <w:rsid w:val="005F1B34"/>
    <w:rsid w:val="0061039D"/>
    <w:rsid w:val="006312FA"/>
    <w:rsid w:val="006611F0"/>
    <w:rsid w:val="006B75F2"/>
    <w:rsid w:val="006F7297"/>
    <w:rsid w:val="007166E8"/>
    <w:rsid w:val="00731EF3"/>
    <w:rsid w:val="007337BC"/>
    <w:rsid w:val="0074185B"/>
    <w:rsid w:val="00770CB3"/>
    <w:rsid w:val="007907CB"/>
    <w:rsid w:val="007F2B5F"/>
    <w:rsid w:val="00811989"/>
    <w:rsid w:val="008653A5"/>
    <w:rsid w:val="00924C07"/>
    <w:rsid w:val="00972607"/>
    <w:rsid w:val="009A7735"/>
    <w:rsid w:val="009B7800"/>
    <w:rsid w:val="009C6E40"/>
    <w:rsid w:val="009F1601"/>
    <w:rsid w:val="00A22321"/>
    <w:rsid w:val="00A4567B"/>
    <w:rsid w:val="00A45942"/>
    <w:rsid w:val="00A502E4"/>
    <w:rsid w:val="00A53839"/>
    <w:rsid w:val="00A7090B"/>
    <w:rsid w:val="00A96DBE"/>
    <w:rsid w:val="00A96DE9"/>
    <w:rsid w:val="00AE0795"/>
    <w:rsid w:val="00B1730C"/>
    <w:rsid w:val="00B26AE3"/>
    <w:rsid w:val="00BD57CC"/>
    <w:rsid w:val="00BE5534"/>
    <w:rsid w:val="00BE5636"/>
    <w:rsid w:val="00C01AF0"/>
    <w:rsid w:val="00C51156"/>
    <w:rsid w:val="00C52F7C"/>
    <w:rsid w:val="00C60DCB"/>
    <w:rsid w:val="00C74C36"/>
    <w:rsid w:val="00C777D6"/>
    <w:rsid w:val="00C9241D"/>
    <w:rsid w:val="00C94CCF"/>
    <w:rsid w:val="00CC1313"/>
    <w:rsid w:val="00CD188C"/>
    <w:rsid w:val="00CF6803"/>
    <w:rsid w:val="00D04110"/>
    <w:rsid w:val="00D7460E"/>
    <w:rsid w:val="00D81602"/>
    <w:rsid w:val="00D93F6A"/>
    <w:rsid w:val="00DF020F"/>
    <w:rsid w:val="00E5198F"/>
    <w:rsid w:val="00ED2DF2"/>
    <w:rsid w:val="00EE2EAA"/>
    <w:rsid w:val="00EF4BD5"/>
    <w:rsid w:val="00F46527"/>
    <w:rsid w:val="00F910E3"/>
    <w:rsid w:val="00FC2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0BFE6-EB2F-4D88-8C0A-B6826F01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C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DE9"/>
    <w:rPr>
      <w:color w:val="808080"/>
    </w:rPr>
  </w:style>
  <w:style w:type="character" w:styleId="Hyperlink">
    <w:name w:val="Hyperlink"/>
    <w:basedOn w:val="DefaultParagraphFont"/>
    <w:uiPriority w:val="99"/>
    <w:unhideWhenUsed/>
    <w:rsid w:val="00D74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02871">
      <w:bodyDiv w:val="1"/>
      <w:marLeft w:val="0"/>
      <w:marRight w:val="0"/>
      <w:marTop w:val="0"/>
      <w:marBottom w:val="0"/>
      <w:divBdr>
        <w:top w:val="none" w:sz="0" w:space="0" w:color="auto"/>
        <w:left w:val="none" w:sz="0" w:space="0" w:color="auto"/>
        <w:bottom w:val="none" w:sz="0" w:space="0" w:color="auto"/>
        <w:right w:val="none" w:sz="0" w:space="0" w:color="auto"/>
      </w:divBdr>
      <w:divsChild>
        <w:div w:id="413548896">
          <w:marLeft w:val="0"/>
          <w:marRight w:val="0"/>
          <w:marTop w:val="0"/>
          <w:marBottom w:val="0"/>
          <w:divBdr>
            <w:top w:val="none" w:sz="0" w:space="0" w:color="auto"/>
            <w:left w:val="none" w:sz="0" w:space="0" w:color="auto"/>
            <w:bottom w:val="none" w:sz="0" w:space="0" w:color="auto"/>
            <w:right w:val="none" w:sz="0" w:space="0" w:color="auto"/>
          </w:divBdr>
        </w:div>
        <w:div w:id="634415245">
          <w:marLeft w:val="0"/>
          <w:marRight w:val="0"/>
          <w:marTop w:val="0"/>
          <w:marBottom w:val="0"/>
          <w:divBdr>
            <w:top w:val="none" w:sz="0" w:space="0" w:color="auto"/>
            <w:left w:val="none" w:sz="0" w:space="0" w:color="auto"/>
            <w:bottom w:val="none" w:sz="0" w:space="0" w:color="auto"/>
            <w:right w:val="none" w:sz="0" w:space="0" w:color="auto"/>
          </w:divBdr>
        </w:div>
      </w:divsChild>
    </w:div>
    <w:div w:id="1163397658">
      <w:bodyDiv w:val="1"/>
      <w:marLeft w:val="0"/>
      <w:marRight w:val="0"/>
      <w:marTop w:val="0"/>
      <w:marBottom w:val="0"/>
      <w:divBdr>
        <w:top w:val="none" w:sz="0" w:space="0" w:color="auto"/>
        <w:left w:val="none" w:sz="0" w:space="0" w:color="auto"/>
        <w:bottom w:val="none" w:sz="0" w:space="0" w:color="auto"/>
        <w:right w:val="none" w:sz="0" w:space="0" w:color="auto"/>
      </w:divBdr>
    </w:div>
    <w:div w:id="18973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links.com.au/understanding-lic-fee-structures" TargetMode="External"/><Relationship Id="rId13" Type="http://schemas.openxmlformats.org/officeDocument/2006/relationships/hyperlink" Target="https://www.rba.gov.au/statistics/tabl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dtunks\Downloads\Financial%20Econometrics%20Textbook%20-%20Brooks.pdf" TargetMode="External"/><Relationship Id="rId12" Type="http://schemas.openxmlformats.org/officeDocument/2006/relationships/hyperlink" Target="https://www.investopedia.com/terms/r/riskfreeasset.as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u.finance.yahoo.com/" TargetMode="External"/><Relationship Id="rId1" Type="http://schemas.openxmlformats.org/officeDocument/2006/relationships/styles" Target="styles.xml"/><Relationship Id="rId6" Type="http://schemas.openxmlformats.org/officeDocument/2006/relationships/hyperlink" Target="https://www.investopedia.com/terms/c/capm.asp" TargetMode="External"/><Relationship Id="rId11" Type="http://schemas.openxmlformats.org/officeDocument/2006/relationships/hyperlink" Target="https://www.asxlics.com/" TargetMode="External"/><Relationship Id="rId5" Type="http://schemas.openxmlformats.org/officeDocument/2006/relationships/hyperlink" Target="https://www.investopedia.com/terms/s/systematicrisk.asp" TargetMode="External"/><Relationship Id="rId15" Type="http://schemas.openxmlformats.org/officeDocument/2006/relationships/hyperlink" Target="https://au.finance.yahoo.com/quote/VAS.AX/" TargetMode="External"/><Relationship Id="rId10" Type="http://schemas.openxmlformats.org/officeDocument/2006/relationships/hyperlink" Target="https://www.vanguardinvestments.com.au/retail/ret/investments/product.html#/fundDetail/etf/portId=8205/?overview" TargetMode="External"/><Relationship Id="rId4" Type="http://schemas.openxmlformats.org/officeDocument/2006/relationships/hyperlink" Target="https://www.investopedia.com/terms/u/unsystematicrisk.asp" TargetMode="External"/><Relationship Id="rId9" Type="http://schemas.openxmlformats.org/officeDocument/2006/relationships/hyperlink" Target="https://www.asxetfs.com" TargetMode="External"/><Relationship Id="rId14" Type="http://schemas.openxmlformats.org/officeDocument/2006/relationships/hyperlink" Target="https://www.vanguardinvestments.com.au/retail/ret/investments/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TotalTime>
  <Pages>6</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Tunks, David</dc:creator>
  <cp:keywords/>
  <dc:description/>
  <cp:lastModifiedBy>Harris Tunks, David</cp:lastModifiedBy>
  <cp:revision>22</cp:revision>
  <dcterms:created xsi:type="dcterms:W3CDTF">2020-05-05T06:16:00Z</dcterms:created>
  <dcterms:modified xsi:type="dcterms:W3CDTF">2020-05-08T06:35:00Z</dcterms:modified>
</cp:coreProperties>
</file>