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0D973F" w14:textId="3691C5FC" w:rsidR="000E60FF" w:rsidRDefault="000E60FF" w:rsidP="000E60FF">
      <w:pPr>
        <w:spacing w:after="0" w:line="240" w:lineRule="auto"/>
        <w:rPr>
          <w:rFonts w:cstheme="minorHAnsi"/>
          <w:bCs/>
          <w:noProof/>
          <w:sz w:val="28"/>
          <w:szCs w:val="28"/>
        </w:rPr>
      </w:pPr>
      <w:commentRangeStart w:id="0"/>
      <w:r w:rsidRPr="00681928">
        <w:rPr>
          <w:rFonts w:cstheme="minorHAnsi"/>
          <w:b/>
          <w:i/>
          <w:iCs/>
          <w:noProof/>
          <w:sz w:val="28"/>
          <w:szCs w:val="28"/>
        </w:rPr>
        <w:t xml:space="preserve">Appendix </w:t>
      </w:r>
      <w:r w:rsidR="00F53EF2">
        <w:rPr>
          <w:rFonts w:cstheme="minorHAnsi"/>
          <w:b/>
          <w:i/>
          <w:iCs/>
          <w:noProof/>
          <w:sz w:val="28"/>
          <w:szCs w:val="28"/>
        </w:rPr>
        <w:t>4</w:t>
      </w:r>
      <w:bookmarkStart w:id="1" w:name="_GoBack"/>
      <w:bookmarkEnd w:id="1"/>
      <w:r w:rsidRPr="00681928">
        <w:rPr>
          <w:rFonts w:cstheme="minorHAnsi"/>
          <w:b/>
          <w:i/>
          <w:iCs/>
          <w:noProof/>
          <w:sz w:val="28"/>
          <w:szCs w:val="28"/>
        </w:rPr>
        <w:t xml:space="preserve">: </w:t>
      </w:r>
      <w:r>
        <w:rPr>
          <w:rFonts w:cstheme="minorHAnsi"/>
          <w:b/>
          <w:i/>
          <w:iCs/>
          <w:noProof/>
          <w:sz w:val="28"/>
          <w:szCs w:val="28"/>
        </w:rPr>
        <w:t>Full time series of migration counts at stations</w:t>
      </w:r>
      <w:commentRangeEnd w:id="0"/>
      <w:r>
        <w:rPr>
          <w:rStyle w:val="CommentReference"/>
        </w:rPr>
        <w:commentReference w:id="0"/>
      </w:r>
    </w:p>
    <w:p w14:paraId="7B701BAF" w14:textId="77777777" w:rsidR="000E60FF" w:rsidRPr="00336D3B" w:rsidRDefault="000E60FF" w:rsidP="000E60FF">
      <w:pPr>
        <w:spacing w:after="0" w:line="240" w:lineRule="auto"/>
        <w:rPr>
          <w:rFonts w:cstheme="minorHAnsi"/>
          <w:bCs/>
          <w:noProof/>
        </w:rPr>
      </w:pPr>
    </w:p>
    <w:p w14:paraId="16E2F393" w14:textId="6E4A9E6F" w:rsidR="000E60FF" w:rsidRDefault="000E60FF" w:rsidP="000E60FF">
      <w:pPr>
        <w:spacing w:after="0" w:line="240" w:lineRule="auto"/>
        <w:rPr>
          <w:rFonts w:cstheme="minorHAnsi"/>
          <w:bCs/>
          <w:noProof/>
        </w:rPr>
      </w:pPr>
      <w:r>
        <w:rPr>
          <w:rFonts w:cstheme="minorHAnsi"/>
          <w:bCs/>
          <w:noProof/>
        </w:rPr>
        <w:t>Although we restricted our national integrated migration monitoring analysis to years from 2000 onwards, we include these summaries of seasonal totals (for CMMN</w:t>
      </w:r>
      <w:commentRangeStart w:id="2"/>
      <w:r>
        <w:rPr>
          <w:rFonts w:cstheme="minorHAnsi"/>
          <w:bCs/>
          <w:noProof/>
        </w:rPr>
        <w:t xml:space="preserve">) or average counts per net hour (for US stations) to illustrate long-term patterns in migrants at several stations.  </w:t>
      </w:r>
      <w:commentRangeEnd w:id="2"/>
      <w:r>
        <w:rPr>
          <w:rStyle w:val="CommentReference"/>
        </w:rPr>
        <w:commentReference w:id="2"/>
      </w:r>
      <w:r>
        <w:rPr>
          <w:rFonts w:cstheme="minorHAnsi"/>
          <w:bCs/>
          <w:noProof/>
        </w:rPr>
        <w:t>In particular, Long Point Bird Observatory (LPBO) and Manomet (M</w:t>
      </w:r>
      <w:r w:rsidR="00C95A05">
        <w:rPr>
          <w:rFonts w:cstheme="minorHAnsi"/>
          <w:bCs/>
          <w:noProof/>
        </w:rPr>
        <w:t>O</w:t>
      </w:r>
      <w:r>
        <w:rPr>
          <w:rFonts w:cstheme="minorHAnsi"/>
          <w:bCs/>
          <w:noProof/>
        </w:rPr>
        <w:t>) have collected standardized counts of migrants for over 50 years.  Note that these long-term station-level trends cannot be directly compared to national BBS trends from BBS because they cannot be appropriately weighted in a national context.</w:t>
      </w:r>
    </w:p>
    <w:p w14:paraId="3FACF38C" w14:textId="69081900" w:rsidR="00005328" w:rsidRDefault="00005328" w:rsidP="000E60FF">
      <w:pPr>
        <w:spacing w:after="0" w:line="240" w:lineRule="auto"/>
        <w:rPr>
          <w:rFonts w:cstheme="minorHAnsi"/>
          <w:bCs/>
          <w:noProof/>
        </w:rPr>
      </w:pPr>
    </w:p>
    <w:p w14:paraId="76B3F85A" w14:textId="714B8F5A" w:rsidR="00005328" w:rsidRDefault="00005328" w:rsidP="000E60FF">
      <w:pPr>
        <w:spacing w:after="0" w:line="240" w:lineRule="auto"/>
        <w:rPr>
          <w:rFonts w:cstheme="minorHAnsi"/>
          <w:bCs/>
          <w:noProof/>
        </w:rPr>
      </w:pPr>
    </w:p>
    <w:p w14:paraId="7AC756DE" w14:textId="4C5C877F" w:rsidR="00005328" w:rsidRDefault="00005328" w:rsidP="000E60FF">
      <w:pPr>
        <w:spacing w:after="0" w:line="240" w:lineRule="auto"/>
        <w:rPr>
          <w:rFonts w:cstheme="minorHAnsi"/>
          <w:bCs/>
          <w:noProof/>
        </w:rPr>
      </w:pPr>
    </w:p>
    <w:p w14:paraId="14C6EEED" w14:textId="2EC8C122" w:rsidR="00005328" w:rsidRDefault="00005328" w:rsidP="000E60FF">
      <w:pPr>
        <w:spacing w:after="0" w:line="240" w:lineRule="auto"/>
        <w:rPr>
          <w:rFonts w:cstheme="minorHAnsi"/>
          <w:bCs/>
          <w:noProof/>
        </w:rPr>
      </w:pPr>
    </w:p>
    <w:p w14:paraId="070151C2" w14:textId="0E4991D0" w:rsidR="00005328" w:rsidRDefault="00005328" w:rsidP="00005328">
      <w:pPr>
        <w:spacing w:after="0" w:line="240" w:lineRule="auto"/>
        <w:rPr>
          <w:rFonts w:cstheme="minorHAnsi"/>
          <w:bCs/>
          <w:noProof/>
        </w:rPr>
      </w:pPr>
      <w:r w:rsidRPr="00454A00">
        <w:rPr>
          <w:rFonts w:cstheme="minorHAnsi"/>
          <w:b/>
          <w:noProof/>
        </w:rPr>
        <w:t xml:space="preserve">Figure </w:t>
      </w:r>
      <w:r>
        <w:rPr>
          <w:rFonts w:cstheme="minorHAnsi"/>
          <w:b/>
          <w:noProof/>
        </w:rPr>
        <w:t>3.</w:t>
      </w:r>
      <w:commentRangeStart w:id="3"/>
      <w:r>
        <w:rPr>
          <w:rFonts w:cstheme="minorHAnsi"/>
          <w:b/>
          <w:noProof/>
        </w:rPr>
        <w:t>1</w:t>
      </w:r>
      <w:r w:rsidRPr="00454A00">
        <w:rPr>
          <w:rFonts w:cstheme="minorHAnsi"/>
          <w:b/>
          <w:noProof/>
        </w:rPr>
        <w:t>.</w:t>
      </w:r>
      <w:r w:rsidRPr="00454A00">
        <w:rPr>
          <w:rFonts w:cstheme="minorHAnsi"/>
          <w:bCs/>
          <w:noProof/>
        </w:rPr>
        <w:t xml:space="preserve"> </w:t>
      </w:r>
      <w:r>
        <w:rPr>
          <w:rFonts w:cstheme="minorHAnsi"/>
          <w:bCs/>
          <w:noProof/>
        </w:rPr>
        <w:t xml:space="preserve">Migration seasonal totals of Blackpoll Warbler at contributing migration monitoring stations; </w:t>
      </w:r>
      <w:r w:rsidRPr="00005328">
        <w:rPr>
          <w:rFonts w:cstheme="minorHAnsi"/>
          <w:bCs/>
          <w:noProof/>
          <w:highlight w:val="yellow"/>
        </w:rPr>
        <w:t>fall above, spring below</w:t>
      </w:r>
      <w:r>
        <w:rPr>
          <w:rFonts w:cstheme="minorHAnsi"/>
          <w:bCs/>
          <w:noProof/>
        </w:rPr>
        <w:t>.  Gray vertical bar in year 2000 to illustrate the starting year that we restricted our analysis to; data prior to 2000 was excluded from our national analysis.</w:t>
      </w:r>
      <w:commentRangeEnd w:id="3"/>
      <w:r>
        <w:rPr>
          <w:rStyle w:val="CommentReference"/>
        </w:rPr>
        <w:commentReference w:id="3"/>
      </w:r>
    </w:p>
    <w:p w14:paraId="66A5F051" w14:textId="51154EDB" w:rsidR="00005328" w:rsidRPr="00336D3B" w:rsidRDefault="00005328" w:rsidP="000E60FF">
      <w:pPr>
        <w:spacing w:after="0" w:line="240" w:lineRule="auto"/>
        <w:rPr>
          <w:rFonts w:cstheme="minorHAnsi"/>
          <w:bCs/>
          <w:noProof/>
        </w:rPr>
      </w:pPr>
      <w:r>
        <w:rPr>
          <w:noProof/>
        </w:rPr>
        <w:drawing>
          <wp:anchor distT="0" distB="0" distL="114300" distR="114300" simplePos="0" relativeHeight="251657215" behindDoc="1" locked="0" layoutInCell="1" allowOverlap="1" wp14:anchorId="54D306AC" wp14:editId="0D1958F0">
            <wp:simplePos x="0" y="0"/>
            <wp:positionH relativeFrom="column">
              <wp:posOffset>0</wp:posOffset>
            </wp:positionH>
            <wp:positionV relativeFrom="paragraph">
              <wp:posOffset>174625</wp:posOffset>
            </wp:positionV>
            <wp:extent cx="5076825" cy="3172460"/>
            <wp:effectExtent l="0" t="0" r="9525" b="8890"/>
            <wp:wrapTight wrapText="bothSides">
              <wp:wrapPolygon edited="0">
                <wp:start x="0" y="0"/>
                <wp:lineTo x="0" y="21531"/>
                <wp:lineTo x="21559" y="21531"/>
                <wp:lineTo x="21559" y="0"/>
                <wp:lineTo x="0" y="0"/>
              </wp:wrapPolygon>
            </wp:wrapTight>
            <wp:docPr id="11" name="Picture 1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, schematic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3172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BA71091" w14:textId="163AB0AE" w:rsidR="000E60FF" w:rsidRDefault="00005328" w:rsidP="000E60FF">
      <w:pPr>
        <w:spacing w:after="0" w:line="240" w:lineRule="auto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3DD84FB" wp14:editId="21A80CD8">
            <wp:simplePos x="0" y="0"/>
            <wp:positionH relativeFrom="column">
              <wp:posOffset>76200</wp:posOffset>
            </wp:positionH>
            <wp:positionV relativeFrom="paragraph">
              <wp:posOffset>2753360</wp:posOffset>
            </wp:positionV>
            <wp:extent cx="4572000" cy="1714500"/>
            <wp:effectExtent l="0" t="0" r="0" b="0"/>
            <wp:wrapTight wrapText="bothSides">
              <wp:wrapPolygon edited="0">
                <wp:start x="0" y="0"/>
                <wp:lineTo x="0" y="21360"/>
                <wp:lineTo x="21510" y="21360"/>
                <wp:lineTo x="21510" y="0"/>
                <wp:lineTo x="0" y="0"/>
              </wp:wrapPolygon>
            </wp:wrapTight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, schematic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E20530" w14:textId="259228A8" w:rsidR="00005328" w:rsidRDefault="00005328" w:rsidP="000E60FF">
      <w:pPr>
        <w:spacing w:after="0" w:line="240" w:lineRule="auto"/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3DB6F5D3" wp14:editId="5B8AD9ED">
            <wp:extent cx="4457700" cy="2228851"/>
            <wp:effectExtent l="0" t="0" r="0" b="0"/>
            <wp:docPr id="14" name="Picture 14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Diagram, schematic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2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024DF" w14:textId="6368DAFA" w:rsidR="000E60FF" w:rsidRDefault="00623EE9" w:rsidP="000E60FF">
      <w:pPr>
        <w:spacing w:after="0" w:line="240" w:lineRule="auto"/>
        <w:rPr>
          <w:b/>
          <w:bCs/>
          <w:color w:val="000000" w:themeColor="text1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3648B0F" wp14:editId="20B6758E">
            <wp:simplePos x="0" y="0"/>
            <wp:positionH relativeFrom="column">
              <wp:posOffset>304800</wp:posOffset>
            </wp:positionH>
            <wp:positionV relativeFrom="paragraph">
              <wp:posOffset>85725</wp:posOffset>
            </wp:positionV>
            <wp:extent cx="45720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510" y="21312"/>
                <wp:lineTo x="21510" y="0"/>
                <wp:lineTo x="0" y="0"/>
              </wp:wrapPolygon>
            </wp:wrapTight>
            <wp:docPr id="16" name="Picture 16" descr="Diagram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 with low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5E3DB" w14:textId="4F6A32CA" w:rsidR="000E60FF" w:rsidRDefault="000E60FF" w:rsidP="000E60FF"/>
    <w:p w14:paraId="659CBC13" w14:textId="404648EF" w:rsidR="00C2726C" w:rsidRPr="00076B9B" w:rsidRDefault="00C2726C" w:rsidP="00C2726C">
      <w:pPr>
        <w:rPr>
          <w:lang w:val="en-US"/>
        </w:rPr>
      </w:pPr>
    </w:p>
    <w:sectPr w:rsidR="00C2726C" w:rsidRPr="00076B9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 " w:date="2023-10-24T09:08:00Z" w:initials=" ">
    <w:p w14:paraId="050B5561" w14:textId="77777777" w:rsidR="000E60FF" w:rsidRDefault="000E60FF" w:rsidP="000E60FF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t xml:space="preserve"> </w:t>
      </w:r>
    </w:p>
  </w:comment>
  <w:comment w:id="2" w:author=" " w:date="2023-10-22T11:12:00Z" w:initials=" ">
    <w:p w14:paraId="43FA9402" w14:textId="7963A794" w:rsidR="00C95A05" w:rsidRDefault="000E60FF" w:rsidP="000E60FF">
      <w:pPr>
        <w:pStyle w:val="CommentText"/>
      </w:pPr>
      <w:r>
        <w:rPr>
          <w:rStyle w:val="CommentReference"/>
        </w:rPr>
        <w:annotationRef/>
      </w:r>
      <w:r w:rsidR="00C95A05">
        <w:t xml:space="preserve">Danielle calculated site-specific trends for all these sites, I think (or could redo now), using methods that </w:t>
      </w:r>
      <w:proofErr w:type="spellStart"/>
      <w:r w:rsidR="00C95A05">
        <w:t>CMMN</w:t>
      </w:r>
      <w:proofErr w:type="spellEnd"/>
      <w:r w:rsidR="00C95A05">
        <w:t xml:space="preserve"> uses to calculate annual indices and trends that are more meaningful than these raw seasonal totals.  She could also generate a table of trends across multiple periods (10, 20, 30 …60 years), which would be useful a) for contributing stations, and b) as fodder for our discussion </w:t>
      </w:r>
      <w:r w:rsidR="00E972FB">
        <w:t>(see separate notes on that).</w:t>
      </w:r>
    </w:p>
    <w:p w14:paraId="30137161" w14:textId="77777777" w:rsidR="00C95A05" w:rsidRDefault="00C95A05" w:rsidP="000E60FF">
      <w:pPr>
        <w:pStyle w:val="CommentText"/>
      </w:pPr>
    </w:p>
    <w:p w14:paraId="344119CA" w14:textId="4607D199" w:rsidR="000E60FF" w:rsidRDefault="000E60FF" w:rsidP="000E60FF">
      <w:pPr>
        <w:pStyle w:val="CommentText"/>
      </w:pPr>
      <w:r>
        <w:t xml:space="preserve">U.S. sites missing.  Should </w:t>
      </w:r>
      <w:r w:rsidR="00E972FB">
        <w:t xml:space="preserve">be </w:t>
      </w:r>
      <w:r>
        <w:t>add</w:t>
      </w:r>
      <w:r w:rsidR="00E972FB">
        <w:t>ed</w:t>
      </w:r>
      <w:r w:rsidR="00C95A05">
        <w:t>.  Preferably recas</w:t>
      </w:r>
      <w:r w:rsidR="00E972FB">
        <w:t>t</w:t>
      </w:r>
      <w:r w:rsidR="00C95A05">
        <w:t xml:space="preserve"> in format that shows results more </w:t>
      </w:r>
      <w:proofErr w:type="gramStart"/>
      <w:r w:rsidR="00C95A05">
        <w:t>clearly  ---</w:t>
      </w:r>
      <w:proofErr w:type="gramEnd"/>
      <w:r w:rsidR="00C95A05">
        <w:t xml:space="preserve"> perhaps stations arranged in vertical stack </w:t>
      </w:r>
      <w:r w:rsidR="00E972FB">
        <w:t xml:space="preserve">(west to east vertically) </w:t>
      </w:r>
      <w:r w:rsidR="00C95A05">
        <w:t xml:space="preserve">so each series stretched across page. </w:t>
      </w:r>
      <w:r w:rsidR="00E972FB">
        <w:t>C</w:t>
      </w:r>
      <w:r w:rsidR="00C95A05">
        <w:t xml:space="preserve">ould also </w:t>
      </w:r>
      <w:r w:rsidR="00E972FB">
        <w:t xml:space="preserve">show a </w:t>
      </w:r>
      <w:r w:rsidR="00C95A05">
        <w:t xml:space="preserve">loess curve to </w:t>
      </w:r>
      <w:proofErr w:type="gramStart"/>
      <w:r w:rsidR="00E972FB">
        <w:t>summarize  trajectory</w:t>
      </w:r>
      <w:proofErr w:type="gramEnd"/>
    </w:p>
    <w:p w14:paraId="1D41A803" w14:textId="77777777" w:rsidR="00C95A05" w:rsidRDefault="00C95A05" w:rsidP="000E60FF">
      <w:pPr>
        <w:pStyle w:val="CommentText"/>
      </w:pPr>
    </w:p>
    <w:p w14:paraId="1ED72895" w14:textId="40872FCD" w:rsidR="00C95A05" w:rsidRDefault="00C95A05" w:rsidP="000E60FF">
      <w:pPr>
        <w:pStyle w:val="CommentText"/>
      </w:pPr>
    </w:p>
  </w:comment>
  <w:comment w:id="3" w:author=" " w:date="2023-10-26T08:17:00Z" w:initials=" ">
    <w:p w14:paraId="58AA3C64" w14:textId="75405485" w:rsidR="00005328" w:rsidRDefault="00005328" w:rsidP="00005328">
      <w:pPr>
        <w:pStyle w:val="CommentText"/>
      </w:pPr>
      <w:r>
        <w:rPr>
          <w:rStyle w:val="CommentReference"/>
        </w:rPr>
        <w:annotationRef/>
      </w:r>
      <w:r>
        <w:t xml:space="preserve">Include all sites in </w:t>
      </w:r>
      <w:r w:rsidR="00623EE9">
        <w:t>one figure, with separate parts for fall and spring. Within each, a</w:t>
      </w:r>
      <w:r>
        <w:t xml:space="preserve">rrange </w:t>
      </w:r>
      <w:r w:rsidR="00623EE9">
        <w:t xml:space="preserve">sites </w:t>
      </w:r>
      <w:r>
        <w:t xml:space="preserve">West to East. Change </w:t>
      </w:r>
      <w:proofErr w:type="spellStart"/>
      <w:r>
        <w:t>MCCS</w:t>
      </w:r>
      <w:proofErr w:type="spellEnd"/>
      <w:r>
        <w:t xml:space="preserve"> to </w:t>
      </w:r>
      <w:proofErr w:type="spellStart"/>
      <w:r>
        <w:t>MBO</w:t>
      </w:r>
      <w:proofErr w:type="spellEnd"/>
      <w:r>
        <w:t>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50B5561" w15:done="0"/>
  <w15:commentEx w15:paraId="1ED72895" w15:done="0"/>
  <w15:commentEx w15:paraId="58AA3C6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50B5561" w16cid:durableId="28E20819"/>
  <w16cid:commentId w16cid:paraId="1ED72895" w16cid:durableId="28DF8226"/>
  <w16cid:commentId w16cid:paraId="58AA3C64" w16cid:durableId="28E49F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 ">
    <w15:presenceInfo w15:providerId="None" w15:userId=" 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1C5"/>
    <w:rsid w:val="00005328"/>
    <w:rsid w:val="000532A7"/>
    <w:rsid w:val="00064725"/>
    <w:rsid w:val="00075AEF"/>
    <w:rsid w:val="00076B9B"/>
    <w:rsid w:val="00095EC8"/>
    <w:rsid w:val="000A5D09"/>
    <w:rsid w:val="000A75D6"/>
    <w:rsid w:val="000C41C5"/>
    <w:rsid w:val="000E60FF"/>
    <w:rsid w:val="0012734E"/>
    <w:rsid w:val="00201C89"/>
    <w:rsid w:val="00202572"/>
    <w:rsid w:val="0029708F"/>
    <w:rsid w:val="002B1D88"/>
    <w:rsid w:val="00407BDD"/>
    <w:rsid w:val="00463333"/>
    <w:rsid w:val="00526FF2"/>
    <w:rsid w:val="00611CDF"/>
    <w:rsid w:val="00623EE9"/>
    <w:rsid w:val="006532E6"/>
    <w:rsid w:val="00666E84"/>
    <w:rsid w:val="00673C67"/>
    <w:rsid w:val="00683110"/>
    <w:rsid w:val="00705DDC"/>
    <w:rsid w:val="00710EC5"/>
    <w:rsid w:val="007137F8"/>
    <w:rsid w:val="008353E2"/>
    <w:rsid w:val="008A3529"/>
    <w:rsid w:val="009160E3"/>
    <w:rsid w:val="00940C52"/>
    <w:rsid w:val="00962316"/>
    <w:rsid w:val="009B58A8"/>
    <w:rsid w:val="00A73800"/>
    <w:rsid w:val="00B2065A"/>
    <w:rsid w:val="00B52EBB"/>
    <w:rsid w:val="00B73C85"/>
    <w:rsid w:val="00B77EC2"/>
    <w:rsid w:val="00BA2B47"/>
    <w:rsid w:val="00BA5211"/>
    <w:rsid w:val="00BC0CD1"/>
    <w:rsid w:val="00C116E4"/>
    <w:rsid w:val="00C2726C"/>
    <w:rsid w:val="00C9407F"/>
    <w:rsid w:val="00C95A05"/>
    <w:rsid w:val="00CA61A9"/>
    <w:rsid w:val="00CE308C"/>
    <w:rsid w:val="00D03F1A"/>
    <w:rsid w:val="00D20F4B"/>
    <w:rsid w:val="00D23605"/>
    <w:rsid w:val="00E33F2A"/>
    <w:rsid w:val="00E972FB"/>
    <w:rsid w:val="00F53EF2"/>
    <w:rsid w:val="00F63FD8"/>
    <w:rsid w:val="00F719F8"/>
    <w:rsid w:val="00FC5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4728DE"/>
  <w15:chartTrackingRefBased/>
  <w15:docId w15:val="{5A29B675-F7BF-4FE8-A806-26B31C423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0C41C5"/>
    <w:pPr>
      <w:spacing w:after="200" w:line="240" w:lineRule="auto"/>
    </w:pPr>
    <w:rPr>
      <w:i/>
      <w:iCs/>
      <w:color w:val="44546A" w:themeColor="text2"/>
      <w:kern w:val="0"/>
      <w:sz w:val="18"/>
      <w:szCs w:val="18"/>
      <w:lang w:val="en-US"/>
      <w14:ligatures w14:val="none"/>
    </w:rPr>
  </w:style>
  <w:style w:type="table" w:styleId="TableGrid">
    <w:name w:val="Table Grid"/>
    <w:basedOn w:val="TableNormal"/>
    <w:uiPriority w:val="39"/>
    <w:rsid w:val="000C41C5"/>
    <w:pPr>
      <w:spacing w:after="0" w:line="240" w:lineRule="auto"/>
    </w:pPr>
    <w:rPr>
      <w:kern w:val="0"/>
      <w:lang w:val="en-US"/>
      <w14:ligatures w14:val="none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12734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19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19F8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719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719F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719F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19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19F8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0532A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900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fontTable" Target="fontTable.xml"/><Relationship Id="rId5" Type="http://schemas.microsoft.com/office/2011/relationships/commentsExtended" Target="commentsExtended.xml"/><Relationship Id="rId10" Type="http://schemas.openxmlformats.org/officeDocument/2006/relationships/image" Target="media/image4.png"/><Relationship Id="rId4" Type="http://schemas.openxmlformats.org/officeDocument/2006/relationships/comments" Target="commen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2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Iles</dc:creator>
  <cp:keywords/>
  <dc:description/>
  <cp:lastModifiedBy> </cp:lastModifiedBy>
  <cp:revision>15</cp:revision>
  <dcterms:created xsi:type="dcterms:W3CDTF">2023-10-23T18:34:00Z</dcterms:created>
  <dcterms:modified xsi:type="dcterms:W3CDTF">2023-10-26T12:31:00Z</dcterms:modified>
</cp:coreProperties>
</file>