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EC49" w14:textId="131DD456" w:rsidR="00817D86" w:rsidRPr="00911FCA" w:rsidRDefault="001E6D4F">
      <w:pPr>
        <w:rPr>
          <w:b/>
          <w:bCs/>
        </w:rPr>
      </w:pPr>
      <w:r w:rsidRPr="00911FCA">
        <w:rPr>
          <w:b/>
          <w:bCs/>
        </w:rPr>
        <w:t>Statistical Methods</w:t>
      </w:r>
    </w:p>
    <w:p w14:paraId="44C184CD" w14:textId="77777777" w:rsidR="006100CB" w:rsidRDefault="009C6B01" w:rsidP="00E0719C">
      <w:r>
        <w:t>As an initial exploration of</w:t>
      </w:r>
      <w:r w:rsidR="00B14A3C">
        <w:t xml:space="preserve"> </w:t>
      </w:r>
      <w:r>
        <w:t xml:space="preserve">how </w:t>
      </w:r>
      <w:r w:rsidR="00B14A3C">
        <w:t>these data</w:t>
      </w:r>
      <w:r>
        <w:t xml:space="preserve"> could </w:t>
      </w:r>
      <w:r w:rsidR="00B14A3C">
        <w:t>inform</w:t>
      </w:r>
      <w:r w:rsidR="00FF445D">
        <w:t xml:space="preserve"> status and trend assessments</w:t>
      </w:r>
      <w:r w:rsidR="00B14A3C">
        <w:t>, w</w:t>
      </w:r>
      <w:r w:rsidR="00A37FA3">
        <w:t xml:space="preserve">e </w:t>
      </w:r>
      <w:r w:rsidR="002D296B">
        <w:t xml:space="preserve">estimated temporal variation in </w:t>
      </w:r>
      <w:r w:rsidR="00A37FA3">
        <w:t>occurrence</w:t>
      </w:r>
      <w:r w:rsidR="00FF445D">
        <w:t xml:space="preserve"> of each species</w:t>
      </w:r>
      <w:r w:rsidR="000F7483">
        <w:t xml:space="preserve">, </w:t>
      </w:r>
      <w:r w:rsidR="007C2216">
        <w:t xml:space="preserve">measured as </w:t>
      </w:r>
      <w:r w:rsidR="00ED5414">
        <w:t>the proportion of routes on which a species is detected</w:t>
      </w:r>
      <w:r w:rsidR="005E5A77">
        <w:t xml:space="preserve">.  </w:t>
      </w:r>
      <w:r w:rsidR="00E47FE0">
        <w:t xml:space="preserve">Since not every route was surveyed every year, we used a Bayesian model to estimate </w:t>
      </w:r>
      <w:r w:rsidR="006100CB">
        <w:t xml:space="preserve">the expected proportion of routes on which the species occurred each year.  </w:t>
      </w:r>
    </w:p>
    <w:p w14:paraId="26C709D1" w14:textId="7F1ADDF2" w:rsidR="006A598A" w:rsidRPr="006A598A" w:rsidRDefault="007C2216" w:rsidP="00E0719C">
      <w:r>
        <w:t>We consider</w:t>
      </w:r>
      <w:r w:rsidR="00BD1919">
        <w:t>ed</w:t>
      </w:r>
      <w:r>
        <w:t xml:space="preserve"> each of the </w:t>
      </w:r>
      <m:oMath>
        <m:r>
          <w:rPr>
            <w:rFonts w:ascii="Cambria Math" w:hAnsi="Cambria Math"/>
          </w:rPr>
          <m:t>j=1, 2, …,J</m:t>
        </m:r>
      </m:oMath>
      <w:r>
        <w:rPr>
          <w:rFonts w:eastAsiaTheme="minorEastAsia"/>
        </w:rPr>
        <w:t xml:space="preserve"> routes </w:t>
      </w:r>
      <w:r>
        <w:t>a</w:t>
      </w:r>
      <w:r w:rsidR="00533558">
        <w:t>s independent</w:t>
      </w:r>
      <w:r>
        <w:t xml:space="preserve"> unit</w:t>
      </w:r>
      <w:r w:rsidR="00533558">
        <w:t>s</w:t>
      </w:r>
      <w:r>
        <w:t xml:space="preserve"> of observation</w:t>
      </w:r>
      <w:r w:rsidR="00533558">
        <w:t xml:space="preserve">.  </w:t>
      </w:r>
      <w:r w:rsidR="00E0719C">
        <w:t>The response variable</w:t>
      </w:r>
      <w:r w:rsidR="00BD1919">
        <w:t xml:space="preserve"> in our model was denoted by</w:t>
      </w:r>
      <w:r w:rsidR="00E071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j,t</m:t>
            </m:r>
          </m:sub>
        </m:sSub>
      </m:oMath>
      <w:r w:rsidR="00BD1919">
        <w:t>, and represents</w:t>
      </w:r>
      <w:r w:rsidR="006A598A">
        <w:t xml:space="preserve"> the observed </w:t>
      </w:r>
      <w:r w:rsidR="00E0719C">
        <w:t xml:space="preserve">species occurrence </w:t>
      </w:r>
      <w:r w:rsidR="008A0A70">
        <w:t xml:space="preserve">(i.e., the “population state”) </w:t>
      </w:r>
      <w:r w:rsidR="00E0719C">
        <w:t>on route</w:t>
      </w:r>
      <w:r w:rsidR="009366EB">
        <w:t xml:space="preserve"> </w:t>
      </w:r>
      <m:oMath>
        <m:r>
          <w:rPr>
            <w:rFonts w:ascii="Cambria Math" w:hAnsi="Cambria Math"/>
          </w:rPr>
          <m:t>j</m:t>
        </m:r>
      </m:oMath>
      <w:r w:rsidR="009366EB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t</m:t>
        </m:r>
      </m:oMath>
      <w:r w:rsidR="00BD1919">
        <w:t xml:space="preserve">. </w:t>
      </w:r>
      <w:r w:rsidR="008A0A70">
        <w:t xml:space="preserve">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j,t</m:t>
            </m:r>
          </m:sub>
        </m:sSub>
      </m:oMath>
      <w:r w:rsidR="008A0A70">
        <w:rPr>
          <w:rFonts w:eastAsiaTheme="minorEastAsia"/>
        </w:rPr>
        <w:t xml:space="preserve"> </w:t>
      </w:r>
      <w:r w:rsidR="00E0719C">
        <w:rPr>
          <w:rFonts w:eastAsiaTheme="minorEastAsia"/>
        </w:rPr>
        <w:t xml:space="preserve">takes </w:t>
      </w:r>
      <w:r w:rsidR="007020FB">
        <w:rPr>
          <w:rFonts w:eastAsiaTheme="minorEastAsia"/>
        </w:rPr>
        <w:t xml:space="preserve">a </w:t>
      </w:r>
      <w:r w:rsidR="00E0719C">
        <w:rPr>
          <w:rFonts w:eastAsiaTheme="minorEastAsia"/>
        </w:rPr>
        <w:t xml:space="preserve">value of 1 if the species was detected </w:t>
      </w:r>
      <w:r w:rsidR="006A598A">
        <w:rPr>
          <w:rFonts w:eastAsiaTheme="minorEastAsia"/>
        </w:rPr>
        <w:t xml:space="preserve">the route, </w:t>
      </w:r>
      <w:r w:rsidR="007020FB">
        <w:rPr>
          <w:rFonts w:eastAsiaTheme="minorEastAsia"/>
        </w:rPr>
        <w:t>or 0 otherwise.</w:t>
      </w:r>
    </w:p>
    <w:p w14:paraId="229C7E91" w14:textId="4735F620" w:rsidR="00EF30EE" w:rsidRDefault="006A598A" w:rsidP="00E0719C">
      <w:pPr>
        <w:rPr>
          <w:rFonts w:eastAsiaTheme="minorEastAsia"/>
        </w:rPr>
      </w:pPr>
      <w:r>
        <w:rPr>
          <w:rFonts w:eastAsiaTheme="minorEastAsia"/>
        </w:rPr>
        <w:t>Temporal variation in occurrence</w:t>
      </w:r>
      <w:r w:rsidR="00BD1919">
        <w:rPr>
          <w:rFonts w:eastAsiaTheme="minorEastAsia"/>
        </w:rPr>
        <w:t xml:space="preserve"> was</w:t>
      </w:r>
      <w:r w:rsidR="009F4C49">
        <w:rPr>
          <w:rFonts w:eastAsiaTheme="minorEastAsia"/>
        </w:rPr>
        <w:t xml:space="preserve"> modeled using a </w:t>
      </w:r>
      <w:r w:rsidR="002D7915">
        <w:rPr>
          <w:rFonts w:eastAsiaTheme="minorEastAsia"/>
        </w:rPr>
        <w:t>process analogous to dynamic occupancy models (</w:t>
      </w:r>
      <w:r w:rsidR="00FE38F4">
        <w:rPr>
          <w:rFonts w:eastAsiaTheme="minorEastAsia"/>
        </w:rPr>
        <w:t>Royle and K</w:t>
      </w:r>
      <w:r w:rsidR="00B90753">
        <w:rPr>
          <w:rFonts w:eastAsiaTheme="minorEastAsia"/>
        </w:rPr>
        <w:t>é</w:t>
      </w:r>
      <w:r w:rsidR="00FE38F4">
        <w:rPr>
          <w:rFonts w:eastAsiaTheme="minorEastAsia"/>
        </w:rPr>
        <w:t>ry 2007</w:t>
      </w:r>
      <w:r w:rsidR="002D7915">
        <w:rPr>
          <w:rFonts w:eastAsiaTheme="minorEastAsia"/>
        </w:rPr>
        <w:t>).</w:t>
      </w:r>
      <w:r w:rsidR="009366EB">
        <w:rPr>
          <w:rFonts w:eastAsiaTheme="minorEastAsia"/>
        </w:rPr>
        <w:t xml:space="preserve">  </w:t>
      </w:r>
      <w:r w:rsidR="00626BFA">
        <w:rPr>
          <w:rFonts w:eastAsiaTheme="minorEastAsia"/>
        </w:rPr>
        <w:t>The i</w:t>
      </w:r>
      <w:r w:rsidR="009366EB">
        <w:rPr>
          <w:rFonts w:eastAsiaTheme="minorEastAsia"/>
        </w:rPr>
        <w:t xml:space="preserve">nitial occurrence </w:t>
      </w:r>
      <w:r w:rsidR="00626BFA">
        <w:rPr>
          <w:rFonts w:eastAsiaTheme="minorEastAsia"/>
        </w:rPr>
        <w:t xml:space="preserve">probability in year </w:t>
      </w:r>
      <m:oMath>
        <m:r>
          <w:rPr>
            <w:rFonts w:ascii="Cambria Math" w:eastAsiaTheme="minorEastAsia" w:hAnsi="Cambria Math"/>
          </w:rPr>
          <m:t>t=1</m:t>
        </m:r>
      </m:oMath>
      <w:r w:rsidR="00626BFA">
        <w:rPr>
          <w:rFonts w:eastAsiaTheme="minorEastAsia"/>
        </w:rPr>
        <w:t xml:space="preserve"> </w:t>
      </w:r>
      <w:r w:rsidR="001A2195">
        <w:rPr>
          <w:rFonts w:eastAsiaTheme="minorEastAsia"/>
        </w:rPr>
        <w:t xml:space="preserve">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B7BB4">
        <w:rPr>
          <w:rFonts w:eastAsiaTheme="minorEastAsia"/>
        </w:rPr>
        <w:t xml:space="preserve">, and </w:t>
      </w:r>
      <w:r w:rsidR="00C62455">
        <w:rPr>
          <w:rFonts w:eastAsiaTheme="minorEastAsia"/>
        </w:rPr>
        <w:t xml:space="preserve">the initial </w:t>
      </w:r>
      <w:r w:rsidR="00727AA5">
        <w:rPr>
          <w:rFonts w:eastAsiaTheme="minorEastAsia"/>
        </w:rPr>
        <w:t xml:space="preserve">occurrence </w:t>
      </w:r>
      <w:r w:rsidR="00C62455">
        <w:rPr>
          <w:rFonts w:eastAsiaTheme="minorEastAsia"/>
        </w:rPr>
        <w:t xml:space="preserve">state of each </w:t>
      </w:r>
      <w:r w:rsidR="006D287E">
        <w:rPr>
          <w:rFonts w:eastAsiaTheme="minorEastAsia"/>
        </w:rPr>
        <w:t xml:space="preserve">route </w:t>
      </w:r>
      <w:r w:rsidR="00AE0D7A">
        <w:rPr>
          <w:rFonts w:eastAsiaTheme="minorEastAsia"/>
        </w:rPr>
        <w:t xml:space="preserve">were </w:t>
      </w:r>
      <w:r w:rsidR="006D287E">
        <w:rPr>
          <w:rFonts w:eastAsiaTheme="minorEastAsia"/>
        </w:rPr>
        <w:t>assumed to be distributed as</w:t>
      </w:r>
      <w:r w:rsidR="00EF30EE">
        <w:rPr>
          <w:rFonts w:eastAsiaTheme="minorEastAsia"/>
        </w:rPr>
        <w:t>:</w:t>
      </w:r>
      <w:r w:rsidR="006D287E">
        <w:rPr>
          <w:rFonts w:eastAsiaTheme="minorEastAsia"/>
        </w:rPr>
        <w:t xml:space="preserve"> </w:t>
      </w:r>
    </w:p>
    <w:p w14:paraId="2C1DE33D" w14:textId="699FF73B" w:rsidR="00E0719C" w:rsidRPr="00EF30EE" w:rsidRDefault="006100CB" w:rsidP="00E071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j,t=1</m:t>
              </m:r>
            </m:sub>
          </m:sSub>
          <m:r>
            <w:rPr>
              <w:rFonts w:ascii="Cambria Math" w:eastAsiaTheme="minorEastAsia" w:hAnsi="Cambria Math"/>
            </w:rPr>
            <m:t>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AF00C4A" w14:textId="0565CA9E" w:rsidR="00EF30EE" w:rsidRDefault="00727AA5" w:rsidP="00E0719C">
      <w:pPr>
        <w:rPr>
          <w:rFonts w:eastAsiaTheme="minorEastAsia"/>
        </w:rPr>
      </w:pPr>
      <w:r>
        <w:rPr>
          <w:rFonts w:eastAsiaTheme="minorEastAsia"/>
        </w:rPr>
        <w:t xml:space="preserve">Changes in species occurrence </w:t>
      </w:r>
      <w:r w:rsidR="00F90E29">
        <w:rPr>
          <w:rFonts w:eastAsiaTheme="minorEastAsia"/>
        </w:rPr>
        <w:t xml:space="preserve">on routes </w:t>
      </w:r>
      <w:r>
        <w:rPr>
          <w:rFonts w:eastAsiaTheme="minorEastAsia"/>
        </w:rPr>
        <w:t xml:space="preserve">through time </w:t>
      </w:r>
      <w:r w:rsidR="00AE0D7A">
        <w:rPr>
          <w:rFonts w:eastAsiaTheme="minorEastAsia"/>
        </w:rPr>
        <w:t>were</w:t>
      </w:r>
      <w:r>
        <w:rPr>
          <w:rFonts w:eastAsiaTheme="minorEastAsia"/>
        </w:rPr>
        <w:t xml:space="preserve"> described by two </w:t>
      </w:r>
      <w:r w:rsidR="000E4EED">
        <w:rPr>
          <w:rFonts w:eastAsiaTheme="minorEastAsia"/>
        </w:rPr>
        <w:t xml:space="preserve">time-varying </w:t>
      </w:r>
      <w:r>
        <w:rPr>
          <w:rFonts w:eastAsiaTheme="minorEastAsia"/>
        </w:rPr>
        <w:t>parameters</w:t>
      </w:r>
      <w:r w:rsidR="00A62738">
        <w:rPr>
          <w:rFonts w:eastAsiaTheme="minorEastAsia"/>
        </w:rPr>
        <w:t>:</w:t>
      </w:r>
      <w:r w:rsidR="000E4EED">
        <w:rPr>
          <w:rFonts w:eastAsiaTheme="minorEastAsia"/>
        </w:rPr>
        <w:t xml:space="preserve"> </w:t>
      </w:r>
      <w:r w:rsidR="002C29BF">
        <w:rPr>
          <w:rFonts w:eastAsiaTheme="minorEastAsia"/>
        </w:rPr>
        <w:t>persistence</w:t>
      </w:r>
      <w:r w:rsidR="00055CEE">
        <w:rPr>
          <w:rFonts w:eastAsiaTheme="minorEastAsia"/>
        </w:rPr>
        <w:t xml:space="preserve"> probability</w:t>
      </w:r>
      <w:r w:rsidR="00A6273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E4EED">
        <w:rPr>
          <w:rFonts w:eastAsiaTheme="minorEastAsia"/>
        </w:rPr>
        <w:t xml:space="preserve"> and </w:t>
      </w:r>
      <w:r w:rsidR="002C29BF">
        <w:rPr>
          <w:rFonts w:eastAsiaTheme="minorEastAsia"/>
        </w:rPr>
        <w:t>colonization</w:t>
      </w:r>
      <w:r w:rsidR="000E4EED">
        <w:rPr>
          <w:rFonts w:eastAsiaTheme="minorEastAsia"/>
        </w:rPr>
        <w:t xml:space="preserve">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C29BF">
        <w:rPr>
          <w:rFonts w:eastAsiaTheme="minorEastAsia"/>
        </w:rPr>
        <w:t>. F</w:t>
      </w:r>
      <w:r w:rsidR="00A62738">
        <w:rPr>
          <w:rFonts w:eastAsiaTheme="minorEastAsia"/>
        </w:rPr>
        <w:t xml:space="preserve">or </w:t>
      </w:r>
      <w:r w:rsidR="00972FD4">
        <w:rPr>
          <w:rFonts w:eastAsiaTheme="minorEastAsia"/>
        </w:rPr>
        <w:t>routes</w:t>
      </w:r>
      <w:r w:rsidR="00B32AB6">
        <w:rPr>
          <w:rFonts w:eastAsiaTheme="minorEastAsia"/>
        </w:rPr>
        <w:t xml:space="preserve"> where the species occur</w:t>
      </w:r>
      <w:r w:rsidR="002C29BF">
        <w:rPr>
          <w:rFonts w:eastAsiaTheme="minorEastAsia"/>
        </w:rPr>
        <w:t xml:space="preserve">red in year </w:t>
      </w:r>
      <m:oMath>
        <m:r>
          <w:rPr>
            <w:rFonts w:ascii="Cambria Math" w:hAnsi="Cambria Math"/>
          </w:rPr>
          <m:t>t</m:t>
        </m:r>
      </m:oMath>
      <w:r w:rsidR="00B32AB6">
        <w:rPr>
          <w:rFonts w:eastAsiaTheme="minorEastAsia"/>
        </w:rPr>
        <w:t xml:space="preserve"> </w:t>
      </w:r>
      <w:r w:rsidR="00A62738">
        <w:rPr>
          <w:rFonts w:eastAsiaTheme="minorEastAsia"/>
        </w:rPr>
        <w:t xml:space="preserve">(i.e., </w:t>
      </w:r>
      <w:r w:rsidR="002C29BF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j,t</m:t>
            </m:r>
          </m:sub>
        </m:sSub>
        <m:r>
          <w:rPr>
            <w:rFonts w:ascii="Cambria Math" w:eastAsiaTheme="minorEastAsia" w:hAnsi="Cambria Math"/>
          </w:rPr>
          <m:t>=1)</m:t>
        </m:r>
      </m:oMath>
      <w:r w:rsidR="00A62738">
        <w:rPr>
          <w:rFonts w:eastAsiaTheme="minorEastAsia"/>
        </w:rPr>
        <w:t xml:space="preserve"> the occurrence state </w:t>
      </w:r>
      <w:r w:rsidR="002C29BF">
        <w:rPr>
          <w:rFonts w:eastAsiaTheme="minorEastAsia"/>
        </w:rPr>
        <w:t xml:space="preserve">in year </w:t>
      </w:r>
      <m:oMath>
        <m:r>
          <w:rPr>
            <w:rFonts w:ascii="Cambria Math" w:hAnsi="Cambria Math"/>
          </w:rPr>
          <m:t>t+1</m:t>
        </m:r>
      </m:oMath>
      <w:r w:rsidR="002C29BF">
        <w:rPr>
          <w:rFonts w:eastAsiaTheme="minorEastAsia"/>
        </w:rPr>
        <w:t xml:space="preserve"> was modeled as:</w:t>
      </w:r>
    </w:p>
    <w:p w14:paraId="782C5A64" w14:textId="6CFADCAD" w:rsidR="002C29BF" w:rsidRPr="00972FD4" w:rsidRDefault="006100CB" w:rsidP="00E071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j,t+1</m:t>
              </m:r>
            </m:sub>
          </m:sSub>
          <m:r>
            <w:rPr>
              <w:rFonts w:ascii="Cambria Math" w:eastAsiaTheme="minorEastAsia" w:hAnsi="Cambria Math"/>
            </w:rPr>
            <m:t>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7D40DEB" w14:textId="3F3D6CA4" w:rsidR="00972FD4" w:rsidRDefault="00972FD4" w:rsidP="00972FD4">
      <w:pPr>
        <w:rPr>
          <w:rFonts w:eastAsiaTheme="minorEastAsia"/>
        </w:rPr>
      </w:pPr>
      <w:r>
        <w:rPr>
          <w:rFonts w:eastAsiaTheme="minorEastAsia"/>
        </w:rPr>
        <w:t xml:space="preserve">For routes where the species did not occur in year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(i.e.,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j,t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 xml:space="preserve"> the occurrence state in year </w:t>
      </w:r>
      <m:oMath>
        <m:r>
          <w:rPr>
            <w:rFonts w:ascii="Cambria Math" w:hAnsi="Cambria Math"/>
          </w:rPr>
          <m:t>t+1</m:t>
        </m:r>
      </m:oMath>
      <w:r>
        <w:rPr>
          <w:rFonts w:eastAsiaTheme="minorEastAsia"/>
        </w:rPr>
        <w:t xml:space="preserve"> was modeled as:</w:t>
      </w:r>
    </w:p>
    <w:p w14:paraId="53A88B60" w14:textId="6F8CEEB9" w:rsidR="00972FD4" w:rsidRPr="00F77BB6" w:rsidRDefault="006100CB" w:rsidP="00972F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j,t+1</m:t>
              </m:r>
            </m:sub>
          </m:sSub>
          <m:r>
            <w:rPr>
              <w:rFonts w:ascii="Cambria Math" w:eastAsiaTheme="minorEastAsia" w:hAnsi="Cambria Math"/>
            </w:rPr>
            <m:t>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39014DA" w14:textId="5B650745" w:rsidR="00F77BB6" w:rsidRDefault="00F77BB6" w:rsidP="00972FD4">
      <w:pPr>
        <w:rPr>
          <w:rFonts w:eastAsiaTheme="minorEastAsia"/>
        </w:rPr>
      </w:pPr>
      <w:r>
        <w:rPr>
          <w:rFonts w:eastAsiaTheme="minorEastAsia"/>
        </w:rPr>
        <w:t xml:space="preserve">The overall occurrence probability in each year was then </w:t>
      </w:r>
      <w:r w:rsidR="00A7498A">
        <w:rPr>
          <w:rFonts w:eastAsiaTheme="minorEastAsia"/>
        </w:rPr>
        <w:t>estimated as derived parameter, calculated as:</w:t>
      </w:r>
    </w:p>
    <w:p w14:paraId="532FD410" w14:textId="33FA0691" w:rsidR="00A7498A" w:rsidRPr="00AE0D7A" w:rsidRDefault="006100CB" w:rsidP="00A7498A">
      <w:pPr>
        <w:rPr>
          <w:rFonts w:eastAsiaTheme="minorEastAsia"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8238E7F" w14:textId="5BC956F0" w:rsidR="000C54A5" w:rsidRDefault="00F90E29" w:rsidP="00BD100A">
      <w:pPr>
        <w:rPr>
          <w:rFonts w:eastAsiaTheme="minorEastAsia"/>
        </w:rPr>
      </w:pPr>
      <w:r>
        <w:rPr>
          <w:rFonts w:eastAsiaTheme="minorEastAsia"/>
        </w:rPr>
        <w:t xml:space="preserve">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were modeled </w:t>
      </w:r>
      <w:r w:rsidR="000C54A5">
        <w:rPr>
          <w:rFonts w:eastAsiaTheme="minorEastAsia"/>
        </w:rPr>
        <w:t>as time-varying random effects</w:t>
      </w:r>
      <w:r w:rsidR="00BD100A">
        <w:rPr>
          <w:rFonts w:eastAsiaTheme="minorEastAsia"/>
        </w:rPr>
        <w:t>, drawn from logit-normal distributions</w:t>
      </w:r>
      <w:r w:rsidR="008B7099">
        <w:rPr>
          <w:rFonts w:eastAsiaTheme="minorEastAsia"/>
        </w:rPr>
        <w:t>:</w:t>
      </w:r>
    </w:p>
    <w:p w14:paraId="1A653117" w14:textId="653AC473" w:rsidR="008B7099" w:rsidRPr="00ED5414" w:rsidRDefault="006100CB" w:rsidP="00BD1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logit(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5A65273A" w14:textId="7C8E1200" w:rsidR="00465D1C" w:rsidRPr="00ED5414" w:rsidRDefault="006100CB" w:rsidP="00465D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logit(</m:t>
              </m:r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10508514" w14:textId="4EFE8ADC" w:rsidR="009C6B01" w:rsidRPr="00911FCA" w:rsidRDefault="006F6164" w:rsidP="00911FCA">
      <w:pPr>
        <w:spacing w:before="120" w:after="120"/>
        <w:rPr>
          <w:rFonts w:cstheme="minorHAnsi"/>
        </w:rPr>
      </w:pPr>
      <w:r w:rsidRPr="00204498">
        <w:rPr>
          <w:rFonts w:cstheme="minorHAnsi"/>
        </w:rPr>
        <w:t xml:space="preserve">We fit the statistical model in a Bayesian framework using JAGS version 4.3.0 (Plummer 2003), interfaced with the R programming language version 4.0.2 (R Core Team 2024) using the </w:t>
      </w:r>
      <w:proofErr w:type="spellStart"/>
      <w:r w:rsidRPr="00204498">
        <w:rPr>
          <w:rFonts w:cstheme="minorHAnsi"/>
        </w:rPr>
        <w:t>jagsUI</w:t>
      </w:r>
      <w:proofErr w:type="spellEnd"/>
      <w:r w:rsidRPr="00204498">
        <w:rPr>
          <w:rFonts w:cstheme="minorHAnsi"/>
        </w:rPr>
        <w:t xml:space="preserve"> library version 1.5.2 (Kellner 2021). We specified vague priors on all model parameters</w:t>
      </w:r>
      <w:r>
        <w:rPr>
          <w:rFonts w:cstheme="minorHAnsi"/>
        </w:rPr>
        <w:t xml:space="preserve">. </w:t>
      </w:r>
      <w:r w:rsidRPr="00204498">
        <w:rPr>
          <w:rFonts w:cstheme="minorHAnsi"/>
        </w:rPr>
        <w:t xml:space="preserve">After a burn-in of 10,000 iterations, we stored every 100th iteration until we accumulated 1000 posterior samples from each of three MCMC chains. We assessed chain convergence by visual examination of MCMC </w:t>
      </w:r>
      <w:proofErr w:type="spellStart"/>
      <w:r w:rsidRPr="00204498">
        <w:rPr>
          <w:rFonts w:cstheme="minorHAnsi"/>
        </w:rPr>
        <w:t>traceplots</w:t>
      </w:r>
      <w:proofErr w:type="spellEnd"/>
      <w:r w:rsidRPr="00204498">
        <w:rPr>
          <w:rFonts w:cstheme="minorHAnsi"/>
        </w:rPr>
        <w:t xml:space="preserve"> and by evaluating that the Gelman–Rubin convergence statistic was close to 1 for all model parameters. </w:t>
      </w:r>
      <w:r>
        <w:rPr>
          <w:rFonts w:cstheme="minorHAnsi"/>
        </w:rPr>
        <w:t xml:space="preserve">Code to repeat these analyses is available at </w:t>
      </w:r>
      <w:r w:rsidR="00911FCA" w:rsidRPr="00911FCA">
        <w:rPr>
          <w:rFonts w:cstheme="minorHAnsi"/>
        </w:rPr>
        <w:t>https://github.com/davidiles/BeeBS</w:t>
      </w:r>
      <w:r w:rsidR="00911FCA">
        <w:rPr>
          <w:rFonts w:cstheme="minorHAnsi"/>
        </w:rPr>
        <w:t>.</w:t>
      </w:r>
    </w:p>
    <w:p w14:paraId="7DF203C8" w14:textId="09910868" w:rsidR="00773FBA" w:rsidRDefault="00193EAD" w:rsidP="00AE0D7A">
      <w:r>
        <w:t>We d</w:t>
      </w:r>
      <w:r w:rsidR="00ED5414">
        <w:t>id</w:t>
      </w:r>
      <w:r>
        <w:t xml:space="preserve"> not attempt to estimate detection probabilities because </w:t>
      </w:r>
      <w:r w:rsidR="006100CB">
        <w:t>routes</w:t>
      </w:r>
      <w:r w:rsidR="00ED5414">
        <w:t xml:space="preserve"> were</w:t>
      </w:r>
      <w:r>
        <w:t xml:space="preserve"> only visited once per season. O</w:t>
      </w:r>
      <w:r w:rsidR="005E5A77">
        <w:t xml:space="preserve">ccurrence estimates should </w:t>
      </w:r>
      <w:r w:rsidR="00773FBA">
        <w:t>therefore be</w:t>
      </w:r>
      <w:r>
        <w:t xml:space="preserve"> </w:t>
      </w:r>
      <w:r w:rsidR="005E5A77">
        <w:t>considered an index of occupancy in the same way that estimates from the BBS are considered an index of abundance</w:t>
      </w:r>
      <w:r w:rsidR="00ED5414">
        <w:t>, and we</w:t>
      </w:r>
      <w:r>
        <w:t xml:space="preserve"> caution that unmodeled </w:t>
      </w:r>
      <w:r>
        <w:lastRenderedPageBreak/>
        <w:t>variation in detection probabilities could lead to biased trend estimates if detection probabilities change systematically over time</w:t>
      </w:r>
      <w:r w:rsidR="00A37FA3">
        <w:t>.</w:t>
      </w:r>
      <w:r w:rsidR="00AE0D7A">
        <w:t xml:space="preserve">  </w:t>
      </w:r>
    </w:p>
    <w:p w14:paraId="769CC414" w14:textId="259C01FA" w:rsidR="005A70FD" w:rsidRDefault="005E5A77">
      <w:commentRangeStart w:id="0"/>
      <w:r>
        <w:t xml:space="preserve">We </w:t>
      </w:r>
      <w:r w:rsidR="00193EAD">
        <w:t xml:space="preserve">also </w:t>
      </w:r>
      <w:r>
        <w:t xml:space="preserve">note that </w:t>
      </w:r>
      <w:proofErr w:type="spellStart"/>
      <w:r w:rsidR="00193EAD">
        <w:t>BeeBS</w:t>
      </w:r>
      <w:proofErr w:type="spellEnd"/>
      <w:r w:rsidR="00193EAD">
        <w:t xml:space="preserve"> data could </w:t>
      </w:r>
      <w:r w:rsidR="005A70FD">
        <w:t>potentially</w:t>
      </w:r>
      <w:r w:rsidR="00193EAD">
        <w:t xml:space="preserve"> be used to study trends in </w:t>
      </w:r>
      <w:r>
        <w:t xml:space="preserve">bumble bee </w:t>
      </w:r>
      <w:r w:rsidR="00193EAD">
        <w:t xml:space="preserve">abundance </w:t>
      </w:r>
      <w:r w:rsidR="005A70FD">
        <w:t>in addition to occurrence</w:t>
      </w:r>
      <w:r w:rsidR="00193EAD">
        <w:t xml:space="preserve"> </w:t>
      </w:r>
      <w:r>
        <w:t xml:space="preserve">(e.g., using methods </w:t>
      </w:r>
      <w:proofErr w:type="gramStart"/>
      <w:r>
        <w:t>similar to</w:t>
      </w:r>
      <w:proofErr w:type="gramEnd"/>
      <w:r>
        <w:t xml:space="preserve"> the North American Breeding Bird Survey; Smith et al. XXXX)</w:t>
      </w:r>
      <w:r w:rsidR="00193EAD">
        <w:t xml:space="preserve">.  However, </w:t>
      </w:r>
      <w:proofErr w:type="gramStart"/>
      <w:r w:rsidR="005A70FD">
        <w:t>the majority of</w:t>
      </w:r>
      <w:proofErr w:type="gramEnd"/>
      <w:r w:rsidR="005A70FD">
        <w:t xml:space="preserve"> detections in the </w:t>
      </w:r>
      <w:proofErr w:type="spellStart"/>
      <w:r w:rsidR="005A70FD">
        <w:t>BeeBS</w:t>
      </w:r>
      <w:proofErr w:type="spellEnd"/>
      <w:r w:rsidR="005A70FD">
        <w:t xml:space="preserve"> dataset are of sterile workers rather than reproductive queens which are the fundamental unit of bumble bee population dynamics.  </w:t>
      </w:r>
      <w:commentRangeStart w:id="1"/>
      <w:r w:rsidR="005A70FD">
        <w:t xml:space="preserve">Thus, trends in abundance from the </w:t>
      </w:r>
      <w:proofErr w:type="spellStart"/>
      <w:r w:rsidR="005A70FD">
        <w:t>BeeBS</w:t>
      </w:r>
      <w:proofErr w:type="spellEnd"/>
      <w:r w:rsidR="005A70FD">
        <w:t xml:space="preserve"> could be partially confounded with changes in colony size (number of workers per colony) rather than changes in the number of colonies.</w:t>
      </w:r>
      <w:commentRangeEnd w:id="1"/>
      <w:r w:rsidR="005A70FD">
        <w:rPr>
          <w:rStyle w:val="CommentReference"/>
        </w:rPr>
        <w:commentReference w:id="1"/>
      </w:r>
      <w:commentRangeEnd w:id="0"/>
      <w:r w:rsidR="00773FBA">
        <w:rPr>
          <w:rStyle w:val="CommentReference"/>
        </w:rPr>
        <w:commentReference w:id="0"/>
      </w:r>
    </w:p>
    <w:p w14:paraId="114B5C97" w14:textId="51C9E43E" w:rsidR="001E6D4F" w:rsidRPr="00AE0D7A" w:rsidRDefault="001E6D4F">
      <w:pPr>
        <w:rPr>
          <w:b/>
          <w:bCs/>
        </w:rPr>
      </w:pPr>
      <w:r w:rsidRPr="00AE0D7A">
        <w:rPr>
          <w:b/>
          <w:bCs/>
        </w:rPr>
        <w:t>P</w:t>
      </w:r>
      <w:r w:rsidR="00911FCA">
        <w:rPr>
          <w:b/>
          <w:bCs/>
        </w:rPr>
        <w:t>recision</w:t>
      </w:r>
      <w:r w:rsidRPr="00AE0D7A">
        <w:rPr>
          <w:b/>
          <w:bCs/>
        </w:rPr>
        <w:t xml:space="preserve"> Analysis</w:t>
      </w:r>
    </w:p>
    <w:sectPr w:rsidR="001E6D4F" w:rsidRPr="00AE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Iles,David (ECCC)" w:date="2024-01-05T13:35:00Z" w:initials="DI">
    <w:p w14:paraId="40CFE86E" w14:textId="77777777" w:rsidR="00AE0D7A" w:rsidRDefault="005A70FD" w:rsidP="00AE0D7A">
      <w:pPr>
        <w:pStyle w:val="CommentText"/>
      </w:pPr>
      <w:r>
        <w:rPr>
          <w:rStyle w:val="CommentReference"/>
        </w:rPr>
        <w:annotationRef/>
      </w:r>
      <w:r w:rsidR="00AE0D7A">
        <w:t>Though a significant trend in abundance of workers is still probably a useful metric</w:t>
      </w:r>
    </w:p>
  </w:comment>
  <w:comment w:id="0" w:author="Iles,David (ECCC)" w:date="2024-01-05T13:53:00Z" w:initials="DI">
    <w:p w14:paraId="48881CF9" w14:textId="55C2A90A" w:rsidR="00773FBA" w:rsidRDefault="00773FBA" w:rsidP="00773FBA">
      <w:pPr>
        <w:pStyle w:val="CommentText"/>
      </w:pPr>
      <w:r>
        <w:rPr>
          <w:rStyle w:val="CommentReference"/>
        </w:rPr>
        <w:annotationRef/>
      </w:r>
      <w:r>
        <w:t>Potentially for discussion section, or could be omitted entirely.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CFE86E" w15:done="0"/>
  <w15:commentEx w15:paraId="48881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496D5B" w16cex:dateUtc="2024-01-05T18:35:00Z"/>
  <w16cex:commentExtensible w16cex:durableId="5E862424" w16cex:dateUtc="2024-01-05T1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CFE86E" w16cid:durableId="4D496D5B"/>
  <w16cid:commentId w16cid:paraId="48881CF9" w16cid:durableId="5E862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es,David (ECCC)">
    <w15:presenceInfo w15:providerId="AD" w15:userId="S::David.Iles@ec.gc.ca::72008f15-4095-4710-a240-901fac434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4F"/>
    <w:rsid w:val="000008F9"/>
    <w:rsid w:val="00016AF5"/>
    <w:rsid w:val="00055CEE"/>
    <w:rsid w:val="000C54A5"/>
    <w:rsid w:val="000D609D"/>
    <w:rsid w:val="000E4EED"/>
    <w:rsid w:val="000F7483"/>
    <w:rsid w:val="00163290"/>
    <w:rsid w:val="00193EAD"/>
    <w:rsid w:val="001A2195"/>
    <w:rsid w:val="001E6D4F"/>
    <w:rsid w:val="002C29BF"/>
    <w:rsid w:val="002D0D10"/>
    <w:rsid w:val="002D296B"/>
    <w:rsid w:val="002D7915"/>
    <w:rsid w:val="002F3743"/>
    <w:rsid w:val="003530B9"/>
    <w:rsid w:val="00465D1C"/>
    <w:rsid w:val="004A39C8"/>
    <w:rsid w:val="00533558"/>
    <w:rsid w:val="0053405F"/>
    <w:rsid w:val="005A70FD"/>
    <w:rsid w:val="005E5A77"/>
    <w:rsid w:val="006100CB"/>
    <w:rsid w:val="00626BFA"/>
    <w:rsid w:val="00691A3E"/>
    <w:rsid w:val="006A598A"/>
    <w:rsid w:val="006D287E"/>
    <w:rsid w:val="006E047E"/>
    <w:rsid w:val="006F6164"/>
    <w:rsid w:val="007020FB"/>
    <w:rsid w:val="00727AA5"/>
    <w:rsid w:val="00773FBA"/>
    <w:rsid w:val="007A6793"/>
    <w:rsid w:val="007C2216"/>
    <w:rsid w:val="00817D86"/>
    <w:rsid w:val="008720E7"/>
    <w:rsid w:val="008A0A70"/>
    <w:rsid w:val="008B7099"/>
    <w:rsid w:val="008E4451"/>
    <w:rsid w:val="00911FCA"/>
    <w:rsid w:val="009366EB"/>
    <w:rsid w:val="00972FD4"/>
    <w:rsid w:val="009C53F2"/>
    <w:rsid w:val="009C6B01"/>
    <w:rsid w:val="009F4C49"/>
    <w:rsid w:val="00A37FA3"/>
    <w:rsid w:val="00A516ED"/>
    <w:rsid w:val="00A62738"/>
    <w:rsid w:val="00A7498A"/>
    <w:rsid w:val="00AE0D7A"/>
    <w:rsid w:val="00B14A3C"/>
    <w:rsid w:val="00B273AD"/>
    <w:rsid w:val="00B32AB6"/>
    <w:rsid w:val="00B666E1"/>
    <w:rsid w:val="00B765F7"/>
    <w:rsid w:val="00B90753"/>
    <w:rsid w:val="00BA67AF"/>
    <w:rsid w:val="00BD100A"/>
    <w:rsid w:val="00BD1919"/>
    <w:rsid w:val="00C17315"/>
    <w:rsid w:val="00C27457"/>
    <w:rsid w:val="00C62455"/>
    <w:rsid w:val="00C63E93"/>
    <w:rsid w:val="00D85CA5"/>
    <w:rsid w:val="00DB7BB4"/>
    <w:rsid w:val="00E0719C"/>
    <w:rsid w:val="00E3314D"/>
    <w:rsid w:val="00E47FE0"/>
    <w:rsid w:val="00ED3F95"/>
    <w:rsid w:val="00ED5414"/>
    <w:rsid w:val="00EF30EE"/>
    <w:rsid w:val="00F65ECD"/>
    <w:rsid w:val="00F77BB6"/>
    <w:rsid w:val="00F90E29"/>
    <w:rsid w:val="00FA7CC6"/>
    <w:rsid w:val="00FE38F4"/>
    <w:rsid w:val="00F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6B89"/>
  <w15:chartTrackingRefBased/>
  <w15:docId w15:val="{0E6FE444-DD89-4255-8CE2-A9D4517E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7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70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70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0F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70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70</cp:revision>
  <dcterms:created xsi:type="dcterms:W3CDTF">2024-01-05T16:35:00Z</dcterms:created>
  <dcterms:modified xsi:type="dcterms:W3CDTF">2024-02-01T22:33:00Z</dcterms:modified>
</cp:coreProperties>
</file>