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MNA General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Monday November 12 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Montavilla United Methodist Church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7:30 pm – 8:30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7:31 Meeting to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7:31- 7:35 Introductions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7:35  open questions for District Officer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7:37 Refreshments and greeting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7:51 Board Updates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Land Use and Transportation presents letter “To Whom it May Concern”</w:t>
        <w:br w:type="textWrapping"/>
        <w:t xml:space="preserve">Approving request for zoning change to 536 NE 76th ave from residential to commercial.</w:t>
        <w:br w:type="textWrapping"/>
        <w:t xml:space="preserve">7:58 Southeast Uplift Update</w:t>
        <w:br w:type="textWrapping"/>
        <w:t xml:space="preserve">   -Tabor commons owned by seul, wants to lease or sell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-powell/ division brt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-eastmoreland to become historic district (maybe)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8:03 Update about arrest of drug dealer on 79th and Glisan</w:t>
        <w:br w:type="textWrapping"/>
        <w:t xml:space="preserve">8:04 Sewer system repair projects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Repair 4.5 miles of sewer pipes, 2018.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8:20 meeting adjourned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