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2094" w14:textId="7B15E40B" w:rsidR="000B7299" w:rsidRPr="00BB344A" w:rsidRDefault="0072582F">
      <w:pPr>
        <w:pStyle w:val="Title"/>
      </w:pPr>
      <w:r>
        <w:t>Gait Parameter Computation through 2D Human Pose Estimation for Suspect Matching in Crime Identification</w:t>
      </w:r>
    </w:p>
    <w:tbl>
      <w:tblPr>
        <w:tblStyle w:val="a"/>
        <w:tblW w:w="9084" w:type="dxa"/>
        <w:jc w:val="center"/>
        <w:tblLayout w:type="fixed"/>
        <w:tblLook w:val="0600" w:firstRow="0" w:lastRow="0" w:firstColumn="0" w:lastColumn="0" w:noHBand="1" w:noVBand="1"/>
      </w:tblPr>
      <w:tblGrid>
        <w:gridCol w:w="9084"/>
      </w:tblGrid>
      <w:tr w:rsidR="000B7299" w:rsidRPr="00BB344A" w14:paraId="409343EA" w14:textId="77777777" w:rsidTr="00BB344A">
        <w:trPr>
          <w:jc w:val="center"/>
        </w:trPr>
        <w:tc>
          <w:tcPr>
            <w:tcW w:w="9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A01C" w14:textId="77777777" w:rsidR="000B7299" w:rsidRPr="00BB344A" w:rsidRDefault="004322D3" w:rsidP="00BB344A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BB344A">
              <w:rPr>
                <w:b/>
                <w:sz w:val="24"/>
                <w:szCs w:val="24"/>
              </w:rPr>
              <w:t>Author Names</w:t>
            </w:r>
            <w:r w:rsidRPr="00BB344A">
              <w:rPr>
                <w:b/>
                <w:sz w:val="24"/>
                <w:szCs w:val="24"/>
                <w:vertAlign w:val="superscript"/>
              </w:rPr>
              <w:t>1</w:t>
            </w:r>
            <w:r w:rsidRPr="00BB344A">
              <w:rPr>
                <w:b/>
                <w:sz w:val="24"/>
                <w:szCs w:val="24"/>
              </w:rPr>
              <w:t xml:space="preserve"> will go here after a blinded review</w:t>
            </w:r>
          </w:p>
        </w:tc>
      </w:tr>
    </w:tbl>
    <w:p w14:paraId="6CA13781" w14:textId="77777777" w:rsidR="000B7299" w:rsidRPr="00BB344A" w:rsidRDefault="000B7299">
      <w:pPr>
        <w:pStyle w:val="Subtitle"/>
        <w:spacing w:after="0"/>
        <w:jc w:val="left"/>
        <w:rPr>
          <w:b w:val="0"/>
        </w:rPr>
      </w:pPr>
      <w:bookmarkStart w:id="0" w:name="_i5e61e957svf" w:colFirst="0" w:colLast="0"/>
      <w:bookmarkEnd w:id="0"/>
    </w:p>
    <w:tbl>
      <w:tblPr>
        <w:tblStyle w:val="a0"/>
        <w:tblW w:w="90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84"/>
      </w:tblGrid>
      <w:tr w:rsidR="000B7299" w:rsidRPr="00BB344A" w14:paraId="1A006058" w14:textId="77777777" w:rsidTr="00BB344A">
        <w:trPr>
          <w:trHeight w:val="470"/>
          <w:jc w:val="center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4559" w14:textId="442C95B8" w:rsidR="000B7299" w:rsidRPr="00BB344A" w:rsidRDefault="00652557">
            <w:pPr>
              <w:pStyle w:val="Subtitle"/>
              <w:spacing w:after="0"/>
            </w:pPr>
            <w:bookmarkStart w:id="1" w:name="_bwvkev688maj" w:colFirst="0" w:colLast="0"/>
            <w:bookmarkEnd w:id="1"/>
            <w:r>
              <w:t>Institute of Biomechanics and Orthopaedics, German Sport University Cologne, Cologne, Germany</w:t>
            </w:r>
          </w:p>
        </w:tc>
      </w:tr>
    </w:tbl>
    <w:p w14:paraId="1B7CD0EF" w14:textId="77777777" w:rsidR="000B7299" w:rsidRPr="00BB344A" w:rsidRDefault="000B7299">
      <w:pPr>
        <w:sectPr w:rsidR="000B7299" w:rsidRPr="00BB344A">
          <w:pgSz w:w="11906" w:h="16838"/>
          <w:pgMar w:top="1411" w:right="1411" w:bottom="1411" w:left="1411" w:header="709" w:footer="709" w:gutter="0"/>
          <w:pgNumType w:start="1"/>
          <w:cols w:space="720"/>
        </w:sectPr>
      </w:pPr>
    </w:p>
    <w:p w14:paraId="1E6826CF" w14:textId="0457ADAE" w:rsidR="000B7299" w:rsidRPr="00BB344A" w:rsidRDefault="00340B0F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right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Abstract</w:t>
      </w:r>
    </w:p>
    <w:p w14:paraId="1CA59FB4" w14:textId="2C5136B7" w:rsidR="000B7299" w:rsidRPr="00BB344A" w:rsidRDefault="004322D3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right="567"/>
        <w:rPr>
          <w:color w:val="000000"/>
          <w:sz w:val="20"/>
          <w:szCs w:val="20"/>
        </w:rPr>
        <w:sectPr w:rsidR="000B7299" w:rsidRPr="00BB344A">
          <w:type w:val="continuous"/>
          <w:pgSz w:w="11906" w:h="16838"/>
          <w:pgMar w:top="1411" w:right="1411" w:bottom="1411" w:left="1411" w:header="709" w:footer="709" w:gutter="0"/>
          <w:cols w:space="720"/>
        </w:sectPr>
      </w:pPr>
      <w:r w:rsidRPr="00BB344A">
        <w:rPr>
          <w:b/>
          <w:color w:val="000000"/>
          <w:sz w:val="20"/>
          <w:szCs w:val="20"/>
        </w:rPr>
        <w:t>KEYWORDS:</w:t>
      </w:r>
      <w:r w:rsidRPr="00BB344A">
        <w:rPr>
          <w:color w:val="000000"/>
          <w:sz w:val="20"/>
          <w:szCs w:val="20"/>
        </w:rPr>
        <w:t xml:space="preserve"> </w:t>
      </w:r>
      <w:r w:rsidR="0072582F">
        <w:rPr>
          <w:color w:val="000000"/>
          <w:sz w:val="20"/>
          <w:szCs w:val="20"/>
        </w:rPr>
        <w:t>gait analysis</w:t>
      </w:r>
      <w:r w:rsidRPr="00BB344A">
        <w:rPr>
          <w:color w:val="000000"/>
          <w:sz w:val="20"/>
          <w:szCs w:val="20"/>
        </w:rPr>
        <w:t xml:space="preserve">, </w:t>
      </w:r>
      <w:r w:rsidR="0072582F">
        <w:rPr>
          <w:color w:val="000000"/>
          <w:sz w:val="20"/>
          <w:szCs w:val="20"/>
        </w:rPr>
        <w:t>human pose estimation</w:t>
      </w:r>
      <w:r w:rsidRPr="00BB344A">
        <w:rPr>
          <w:color w:val="000000"/>
          <w:sz w:val="20"/>
          <w:szCs w:val="20"/>
        </w:rPr>
        <w:t>.</w:t>
      </w:r>
    </w:p>
    <w:p w14:paraId="1B64C277" w14:textId="77777777" w:rsidR="00697EFD" w:rsidRDefault="004322D3" w:rsidP="00697EFD">
      <w:r w:rsidRPr="00BB344A">
        <w:rPr>
          <w:b/>
        </w:rPr>
        <w:t>INTRODUCTION:</w:t>
      </w:r>
      <w:r w:rsidRPr="00BB344A">
        <w:t xml:space="preserve"> </w:t>
      </w:r>
      <w:r w:rsidR="00697EFD">
        <w:t>Introduction</w:t>
      </w:r>
    </w:p>
    <w:p w14:paraId="5D76F219" w14:textId="1BE38AEE" w:rsidR="00443239" w:rsidRDefault="00697EFD" w:rsidP="00697EFD">
      <w:pPr>
        <w:pStyle w:val="ListParagraph"/>
        <w:numPr>
          <w:ilvl w:val="0"/>
          <w:numId w:val="2"/>
        </w:numPr>
      </w:pPr>
      <w:r>
        <w:t>Gait analysis can be used to identify individuals as a biometric marker (Connor &amp; Ross, 2018)</w:t>
      </w:r>
      <w:r w:rsidR="00D627D4">
        <w:t>.</w:t>
      </w:r>
    </w:p>
    <w:p w14:paraId="72DBEFCB" w14:textId="2174E0DF" w:rsidR="00697EFD" w:rsidRDefault="00697EFD" w:rsidP="00697EFD">
      <w:pPr>
        <w:pStyle w:val="ListParagraph"/>
        <w:numPr>
          <w:ilvl w:val="0"/>
          <w:numId w:val="2"/>
        </w:numPr>
      </w:pPr>
      <w:r>
        <w:t>Especially in forensics, when traditional biometric data like fingerprints or facial recognition are unavailable due to poor quality of surveillance footage</w:t>
      </w:r>
      <w:r w:rsidR="00D627D4">
        <w:t>.</w:t>
      </w:r>
    </w:p>
    <w:p w14:paraId="4C3FD696" w14:textId="7B735896" w:rsidR="00697EFD" w:rsidRDefault="009C3436" w:rsidP="00697EFD">
      <w:pPr>
        <w:pStyle w:val="ListParagraph"/>
        <w:numPr>
          <w:ilvl w:val="0"/>
          <w:numId w:val="2"/>
        </w:numPr>
      </w:pPr>
      <w:r>
        <w:t xml:space="preserve">Traditional manual annotation methods are highly subjective, </w:t>
      </w:r>
      <w:proofErr w:type="spellStart"/>
      <w:r>
        <w:t>labor-intensive</w:t>
      </w:r>
      <w:proofErr w:type="spellEnd"/>
      <w:r>
        <w:t xml:space="preserve"> and prone to error (Mundt et al., 2024), which opens up the potential to use automated computer </w:t>
      </w:r>
      <w:proofErr w:type="gramStart"/>
      <w:r>
        <w:t>vision based</w:t>
      </w:r>
      <w:proofErr w:type="gramEnd"/>
      <w:r>
        <w:t xml:space="preserve"> solutions like 2D Human Pose Estimation HPE to enhance objectivity.</w:t>
      </w:r>
    </w:p>
    <w:p w14:paraId="274B6F9E" w14:textId="0323316B" w:rsidR="00443239" w:rsidRDefault="009C3436" w:rsidP="00E90C4A">
      <w:pPr>
        <w:pStyle w:val="ListParagraph"/>
        <w:numPr>
          <w:ilvl w:val="0"/>
          <w:numId w:val="2"/>
        </w:numPr>
      </w:pPr>
      <w:r>
        <w:t xml:space="preserve">Previous studies validate the application of 2D HPE methods to be used for gait </w:t>
      </w:r>
      <w:r w:rsidR="00D627D4">
        <w:t>parameter calculation</w:t>
      </w:r>
      <w:r>
        <w:t xml:space="preserve"> in controlled, laboratory conditions and good image quality (</w:t>
      </w:r>
      <w:proofErr w:type="spellStart"/>
      <w:r>
        <w:t>Stenum</w:t>
      </w:r>
      <w:proofErr w:type="spellEnd"/>
      <w:r>
        <w:t xml:space="preserve"> et al., 2021)</w:t>
      </w:r>
      <w:r w:rsidR="00D627D4">
        <w:t>.</w:t>
      </w:r>
    </w:p>
    <w:p w14:paraId="54684B4E" w14:textId="2FC25821" w:rsidR="00D627D4" w:rsidRDefault="00D627D4" w:rsidP="00E90C4A">
      <w:pPr>
        <w:pStyle w:val="ListParagraph"/>
        <w:numPr>
          <w:ilvl w:val="0"/>
          <w:numId w:val="2"/>
        </w:numPr>
      </w:pPr>
      <w:proofErr w:type="gramStart"/>
      <w:r>
        <w:t>However</w:t>
      </w:r>
      <w:proofErr w:type="gramEnd"/>
      <w:r>
        <w:t xml:space="preserve"> translating these results into uncontrolled environments and real life situations remains challenging, as the accuracy for extracting gait parameters depends on variable conditions like varying angles, resolution, clothing and occlusions </w:t>
      </w:r>
      <w:r>
        <w:t>(Cormier et al., 2022)​</w:t>
      </w:r>
      <w:r>
        <w:t>.</w:t>
      </w:r>
    </w:p>
    <w:p w14:paraId="25BF6607" w14:textId="77777777" w:rsidR="001C666D" w:rsidRDefault="00642468" w:rsidP="00E90C4A">
      <w:pPr>
        <w:pStyle w:val="ListParagraph"/>
        <w:numPr>
          <w:ilvl w:val="0"/>
          <w:numId w:val="2"/>
        </w:numPr>
      </w:pPr>
      <w:r>
        <w:t>This highlights a gap where procedures need to be tested in realistic surveillance conditions</w:t>
      </w:r>
    </w:p>
    <w:p w14:paraId="3AA7207A" w14:textId="3AB9D13E" w:rsidR="00443239" w:rsidRDefault="001C666D" w:rsidP="00E90C4A">
      <w:pPr>
        <w:pStyle w:val="ListParagraph"/>
        <w:numPr>
          <w:ilvl w:val="0"/>
          <w:numId w:val="2"/>
        </w:numPr>
      </w:pPr>
      <w:r w:rsidRPr="001C666D">
        <w:t>This brings me to the primary focus of this paper, which is whether 2D HPE techniques can reliably measure distinct gait angles - specifically ankle dorsiflexion, knee flexion, knee adduction, and hip flexion - at touchdown (TD) and toe-off (TO) to serve as valid biometric markers under real-world surveillance conditions.</w:t>
      </w:r>
    </w:p>
    <w:p w14:paraId="059D01EE" w14:textId="702FFAB6" w:rsidR="001C666D" w:rsidRDefault="001C666D" w:rsidP="001C666D"/>
    <w:p w14:paraId="7BB1FE3E" w14:textId="7673808A" w:rsidR="001C666D" w:rsidRDefault="001C666D" w:rsidP="001C666D"/>
    <w:p w14:paraId="48171D40" w14:textId="39CA087A" w:rsidR="001C666D" w:rsidRDefault="001C666D" w:rsidP="001C666D"/>
    <w:p w14:paraId="16B3FD33" w14:textId="12054EF1" w:rsidR="001C666D" w:rsidRDefault="001C666D" w:rsidP="001C666D"/>
    <w:p w14:paraId="70B23CFA" w14:textId="00DA4354" w:rsidR="001C666D" w:rsidRDefault="001C666D" w:rsidP="001C666D"/>
    <w:p w14:paraId="50558E69" w14:textId="7D452204" w:rsidR="001C666D" w:rsidRDefault="001C666D" w:rsidP="001C666D"/>
    <w:p w14:paraId="6036F0E2" w14:textId="05155148" w:rsidR="001C666D" w:rsidRDefault="001C666D" w:rsidP="001C666D"/>
    <w:p w14:paraId="1DDBF713" w14:textId="77777777" w:rsidR="001D239C" w:rsidRDefault="001D239C" w:rsidP="001C666D"/>
    <w:p w14:paraId="150D5592" w14:textId="77777777" w:rsidR="001C666D" w:rsidRDefault="001C666D" w:rsidP="001C666D"/>
    <w:p w14:paraId="647FEDFA" w14:textId="32AEAA41" w:rsidR="00443239" w:rsidRDefault="00443239" w:rsidP="00E90C4A"/>
    <w:p w14:paraId="71C6425F" w14:textId="5DED30A5" w:rsidR="00340B0F" w:rsidRDefault="00340B0F" w:rsidP="00E90C4A"/>
    <w:p w14:paraId="6F7006C6" w14:textId="37C0DC28" w:rsidR="00340B0F" w:rsidRDefault="00340B0F" w:rsidP="00E90C4A"/>
    <w:p w14:paraId="7CCAB8AE" w14:textId="081BD65D" w:rsidR="00340B0F" w:rsidRDefault="00340B0F" w:rsidP="00E90C4A"/>
    <w:p w14:paraId="2EFB57AC" w14:textId="7B5F2990" w:rsidR="00340B0F" w:rsidRDefault="00340B0F" w:rsidP="00E90C4A"/>
    <w:p w14:paraId="0CCA6F7A" w14:textId="4D236007" w:rsidR="00340B0F" w:rsidRDefault="00340B0F" w:rsidP="00E90C4A"/>
    <w:p w14:paraId="6127DC09" w14:textId="513129E6" w:rsidR="00340B0F" w:rsidRDefault="00340B0F" w:rsidP="00E90C4A"/>
    <w:p w14:paraId="66213438" w14:textId="22DD361E" w:rsidR="00340B0F" w:rsidRDefault="00340B0F" w:rsidP="00E90C4A"/>
    <w:p w14:paraId="1B71D459" w14:textId="77777777" w:rsidR="00340B0F" w:rsidRDefault="00340B0F" w:rsidP="00E90C4A"/>
    <w:p w14:paraId="6EED9B43" w14:textId="77777777" w:rsidR="001C666D" w:rsidRPr="00BB344A" w:rsidRDefault="001C666D" w:rsidP="00E90C4A"/>
    <w:p w14:paraId="45D82161" w14:textId="2C6A4D41" w:rsidR="000B7299" w:rsidRDefault="004322D3" w:rsidP="0072582F">
      <w:r w:rsidRPr="00BB344A">
        <w:rPr>
          <w:b/>
        </w:rPr>
        <w:lastRenderedPageBreak/>
        <w:t>METHODS:</w:t>
      </w:r>
      <w:r w:rsidRPr="00BB344A">
        <w:t xml:space="preserve"> </w:t>
      </w:r>
      <w:r w:rsidR="001C666D">
        <w:t>Methods</w:t>
      </w:r>
    </w:p>
    <w:p w14:paraId="05229075" w14:textId="390F1375" w:rsidR="001C666D" w:rsidRDefault="001C666D" w:rsidP="001C666D">
      <w:pPr>
        <w:pStyle w:val="ListParagraph"/>
        <w:numPr>
          <w:ilvl w:val="0"/>
          <w:numId w:val="3"/>
        </w:numPr>
      </w:pPr>
      <w:r>
        <w:t>14 Participants (11m, 3f)</w:t>
      </w:r>
      <w:r w:rsidR="00E24D3B">
        <w:t xml:space="preserve"> (</w:t>
      </w:r>
      <w:r w:rsidR="00E24D3B">
        <w:rPr>
          <w:color w:val="FF0000"/>
        </w:rPr>
        <w:t>dropouts?</w:t>
      </w:r>
      <w:r w:rsidR="00E24D3B">
        <w:rPr>
          <w:color w:val="000000" w:themeColor="text1"/>
        </w:rPr>
        <w:t>)</w:t>
      </w:r>
    </w:p>
    <w:p w14:paraId="485F1532" w14:textId="7023EF96" w:rsidR="001C666D" w:rsidRDefault="001C666D" w:rsidP="001C666D">
      <w:pPr>
        <w:pStyle w:val="ListParagraph"/>
        <w:numPr>
          <w:ilvl w:val="0"/>
          <w:numId w:val="3"/>
        </w:numPr>
      </w:pPr>
      <w:r>
        <w:t xml:space="preserve">Two subsequent measurements 3D Motion Capture </w:t>
      </w:r>
      <w:r w:rsidR="00FD2E3C">
        <w:t xml:space="preserve">(MoCap) </w:t>
      </w:r>
      <w:r>
        <w:t>as valid reference and 2D HPE</w:t>
      </w:r>
    </w:p>
    <w:p w14:paraId="70A44542" w14:textId="520863E0" w:rsidR="002D591F" w:rsidRDefault="002D591F" w:rsidP="001C666D">
      <w:pPr>
        <w:pStyle w:val="ListParagraph"/>
        <w:numPr>
          <w:ilvl w:val="0"/>
          <w:numId w:val="3"/>
        </w:numPr>
      </w:pPr>
      <w:r>
        <w:t xml:space="preserve">It had to be two measurements because loose clothing of the real-world condition would obscure the 3D </w:t>
      </w:r>
      <w:r w:rsidR="00FD2E3C">
        <w:t>M</w:t>
      </w:r>
      <w:r>
        <w:t>o</w:t>
      </w:r>
      <w:r w:rsidR="00FD2E3C">
        <w:t>C</w:t>
      </w:r>
      <w:r>
        <w:t>ap markers</w:t>
      </w:r>
    </w:p>
    <w:p w14:paraId="6E774381" w14:textId="04177B1B" w:rsidR="004105AE" w:rsidRDefault="004105AE" w:rsidP="001C666D">
      <w:pPr>
        <w:pStyle w:val="ListParagraph"/>
        <w:numPr>
          <w:ilvl w:val="0"/>
          <w:numId w:val="3"/>
        </w:numPr>
      </w:pPr>
      <w:r>
        <w:t>In both conditions the participants walked on a predefined path and maintained a speed that was between 1.65 and 1.75 m/s, which was controlled by timing gaits.</w:t>
      </w:r>
    </w:p>
    <w:p w14:paraId="25873DFC" w14:textId="3098D9BF" w:rsidR="001C666D" w:rsidRDefault="00ED341E" w:rsidP="001C666D">
      <w:pPr>
        <w:pStyle w:val="ListParagraph"/>
        <w:numPr>
          <w:ilvl w:val="0"/>
          <w:numId w:val="3"/>
        </w:numPr>
      </w:pPr>
      <w:r>
        <w:t xml:space="preserve">3D </w:t>
      </w:r>
      <w:r w:rsidR="00FD2E3C">
        <w:t>MoCap</w:t>
      </w:r>
      <w:r>
        <w:t xml:space="preserve"> data was recorded by </w:t>
      </w:r>
      <w:r w:rsidR="004105AE">
        <w:t>14</w:t>
      </w:r>
      <w:r w:rsidR="001C666D">
        <w:t xml:space="preserve"> infrared cameras (Qualisys, Gothenburg, Sweden, 200 Hz)</w:t>
      </w:r>
      <w:r>
        <w:t xml:space="preserve"> with lower body marker set of 28 reflective </w:t>
      </w:r>
      <w:r w:rsidR="00E24D3B">
        <w:t>markers</w:t>
      </w:r>
    </w:p>
    <w:p w14:paraId="3B3EF54A" w14:textId="00503609" w:rsidR="004105AE" w:rsidRDefault="004105AE" w:rsidP="004105A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2D setup was conducted afterwards with 2 (</w:t>
      </w:r>
      <w:r w:rsidRPr="004105AE">
        <w:rPr>
          <w:color w:val="FF0000"/>
        </w:rPr>
        <w:t>4</w:t>
      </w:r>
      <w:r>
        <w:rPr>
          <w:color w:val="000000" w:themeColor="text1"/>
        </w:rPr>
        <w:t xml:space="preserve">) go pro (Hero </w:t>
      </w:r>
      <w:r w:rsidR="00C2558F">
        <w:rPr>
          <w:color w:val="000000" w:themeColor="text1"/>
        </w:rPr>
        <w:t>6</w:t>
      </w:r>
      <w:r>
        <w:rPr>
          <w:color w:val="000000" w:themeColor="text1"/>
        </w:rPr>
        <w:t xml:space="preserve">) cameras sagittal and frontal to the walking path. </w:t>
      </w:r>
    </w:p>
    <w:p w14:paraId="52FCD330" w14:textId="1075AE37" w:rsidR="004105AE" w:rsidRDefault="004105AE" w:rsidP="004105A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All participants wore loose clothing and facemasks to hide their identity and offer </w:t>
      </w:r>
      <w:r w:rsidR="00E24D3B">
        <w:rPr>
          <w:color w:val="000000" w:themeColor="text1"/>
        </w:rPr>
        <w:t>a realistic crime scene condition</w:t>
      </w:r>
    </w:p>
    <w:p w14:paraId="7E55590F" w14:textId="13307C39" w:rsidR="00E24D3B" w:rsidRPr="002D591F" w:rsidRDefault="00E24D3B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FF0000"/>
        </w:rPr>
        <w:t>For processing of mocap data the g</w:t>
      </w:r>
      <w:r w:rsidRPr="002D591F">
        <w:rPr>
          <w:color w:val="FF0000"/>
        </w:rPr>
        <w:t xml:space="preserve">ait parameter angle computation was conducted using </w:t>
      </w:r>
      <w:proofErr w:type="spellStart"/>
      <w:r w:rsidRPr="002D591F">
        <w:rPr>
          <w:color w:val="FF0000"/>
        </w:rPr>
        <w:t>AnyBody</w:t>
      </w:r>
      <w:proofErr w:type="spellEnd"/>
      <w:r w:rsidRPr="002D591F">
        <w:rPr>
          <w:color w:val="FF0000"/>
        </w:rPr>
        <w:t xml:space="preserve"> model with static reference trial to establish neutral anthropometric baseline angles </w:t>
      </w:r>
      <w:proofErr w:type="gramStart"/>
      <w:r w:rsidRPr="002D591F">
        <w:rPr>
          <w:color w:val="FF0000"/>
        </w:rPr>
        <w:t>…..</w:t>
      </w:r>
      <w:proofErr w:type="gramEnd"/>
    </w:p>
    <w:p w14:paraId="0DA92822" w14:textId="336A23B5" w:rsidR="00E24D3B" w:rsidRDefault="00E24D3B" w:rsidP="004105A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processing of the 2D data was done in the following steps</w:t>
      </w:r>
    </w:p>
    <w:p w14:paraId="09E89313" w14:textId="3299855E" w:rsidR="00E24D3B" w:rsidRDefault="00E24D3B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First the raw video material was analysed using </w:t>
      </w:r>
      <w:r w:rsidRPr="00E24D3B">
        <w:rPr>
          <w:color w:val="000000" w:themeColor="text1"/>
        </w:rPr>
        <w:t>OpenPose (Cao et al., 2019)​</w:t>
      </w:r>
      <w:r>
        <w:rPr>
          <w:color w:val="000000" w:themeColor="text1"/>
        </w:rPr>
        <w:t xml:space="preserve"> </w:t>
      </w:r>
      <w:r w:rsidRPr="00E24D3B">
        <w:rPr>
          <w:color w:val="000000" w:themeColor="text1"/>
        </w:rPr>
        <w:t>and AlphaPose (Fang et al., 2022)</w:t>
      </w:r>
      <w:r>
        <w:rPr>
          <w:color w:val="000000" w:themeColor="text1"/>
        </w:rPr>
        <w:t xml:space="preserve">, which outputted specific anatomical landmarks called </w:t>
      </w:r>
      <w:proofErr w:type="spellStart"/>
      <w:r>
        <w:rPr>
          <w:color w:val="000000" w:themeColor="text1"/>
        </w:rPr>
        <w:t>keypoints</w:t>
      </w:r>
      <w:proofErr w:type="spellEnd"/>
      <w:r>
        <w:rPr>
          <w:color w:val="000000" w:themeColor="text1"/>
        </w:rPr>
        <w:t xml:space="preserve"> for all individuals in the field of view</w:t>
      </w:r>
    </w:p>
    <w:p w14:paraId="469E244A" w14:textId="2C1C007E" w:rsidR="00E24D3B" w:rsidRDefault="00E24D3B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To maintain continuous tracking and to correct any mislabelling, a tool was developed</w:t>
      </w:r>
      <w:r w:rsidR="000946A6">
        <w:rPr>
          <w:color w:val="000000" w:themeColor="text1"/>
        </w:rPr>
        <w:t xml:space="preserve"> similar to </w:t>
      </w:r>
      <w:proofErr w:type="spellStart"/>
      <w:r w:rsidR="000946A6">
        <w:rPr>
          <w:color w:val="000000" w:themeColor="text1"/>
        </w:rPr>
        <w:t>Stenum</w:t>
      </w:r>
      <w:proofErr w:type="spellEnd"/>
      <w:r w:rsidR="000946A6">
        <w:rPr>
          <w:color w:val="000000" w:themeColor="text1"/>
        </w:rPr>
        <w:t xml:space="preserve"> et al., 2021</w:t>
      </w:r>
      <w:r>
        <w:rPr>
          <w:color w:val="000000" w:themeColor="text1"/>
        </w:rPr>
        <w:t>, to achieve consistent and valid tracking</w:t>
      </w:r>
    </w:p>
    <w:p w14:paraId="21B5E055" w14:textId="77777777" w:rsidR="00FF14E9" w:rsidRDefault="000946A6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a next step the trajectories were filtered using a </w:t>
      </w:r>
      <w:r w:rsidR="009B15D5" w:rsidRPr="009B15D5">
        <w:rPr>
          <w:color w:val="000000" w:themeColor="text1"/>
        </w:rPr>
        <w:t>zero-lag 4th order low-pass Butterworth filter with a cut</w:t>
      </w:r>
      <w:r w:rsidR="009B15D5">
        <w:rPr>
          <w:color w:val="000000" w:themeColor="text1"/>
        </w:rPr>
        <w:t>-</w:t>
      </w:r>
      <w:r w:rsidR="009B15D5" w:rsidRPr="009B15D5">
        <w:rPr>
          <w:color w:val="000000" w:themeColor="text1"/>
        </w:rPr>
        <w:t xml:space="preserve">off frequency </w:t>
      </w:r>
      <w:r w:rsidR="009B15D5">
        <w:rPr>
          <w:color w:val="000000" w:themeColor="text1"/>
        </w:rPr>
        <w:t>of</w:t>
      </w:r>
      <w:r w:rsidR="009B15D5" w:rsidRPr="009B15D5">
        <w:rPr>
          <w:color w:val="000000" w:themeColor="text1"/>
        </w:rPr>
        <w:t xml:space="preserve"> 5 Hz</w:t>
      </w:r>
      <w:r w:rsidR="009B15D5">
        <w:rPr>
          <w:color w:val="000000" w:themeColor="text1"/>
        </w:rPr>
        <w:t xml:space="preserve"> as proposed by </w:t>
      </w:r>
      <w:proofErr w:type="spellStart"/>
      <w:r w:rsidR="009B15D5">
        <w:rPr>
          <w:color w:val="000000" w:themeColor="text1"/>
        </w:rPr>
        <w:t>Stenum</w:t>
      </w:r>
      <w:proofErr w:type="spellEnd"/>
      <w:r w:rsidR="009B15D5">
        <w:rPr>
          <w:color w:val="000000" w:themeColor="text1"/>
        </w:rPr>
        <w:t xml:space="preserve"> et al., 2021</w:t>
      </w:r>
      <w:r w:rsidR="009B15D5">
        <w:rPr>
          <w:color w:val="000000" w:themeColor="text1"/>
        </w:rPr>
        <w:t>.</w:t>
      </w:r>
    </w:p>
    <w:p w14:paraId="281A312F" w14:textId="59F6C23B" w:rsidR="00E24D3B" w:rsidRDefault="00FF14E9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F14E9">
        <w:rPr>
          <w:color w:val="000000" w:themeColor="text1"/>
        </w:rPr>
        <w:t xml:space="preserve">Angles were calculated in 2D using simple trigonometry, following the International Society of Biomechanics (ISB) recommendations for joint coordinate systems (JCS) (Wu &amp; Cavanagh, 1995) and </w:t>
      </w:r>
      <w:proofErr w:type="spellStart"/>
      <w:r w:rsidRPr="00FF14E9">
        <w:rPr>
          <w:color w:val="000000" w:themeColor="text1"/>
        </w:rPr>
        <w:t>Grood</w:t>
      </w:r>
      <w:proofErr w:type="spellEnd"/>
      <w:r w:rsidRPr="00FF14E9">
        <w:rPr>
          <w:color w:val="000000" w:themeColor="text1"/>
        </w:rPr>
        <w:t xml:space="preserve"> and </w:t>
      </w:r>
      <w:proofErr w:type="spellStart"/>
      <w:r w:rsidRPr="00FF14E9">
        <w:rPr>
          <w:color w:val="000000" w:themeColor="text1"/>
        </w:rPr>
        <w:t>Suntay's</w:t>
      </w:r>
      <w:proofErr w:type="spellEnd"/>
      <w:r w:rsidRPr="00FF14E9">
        <w:rPr>
          <w:color w:val="000000" w:themeColor="text1"/>
        </w:rPr>
        <w:t xml:space="preserve"> (1983) Joint Coordinate System for the knee joint (</w:t>
      </w:r>
      <w:proofErr w:type="spellStart"/>
      <w:r w:rsidRPr="00FF14E9">
        <w:rPr>
          <w:color w:val="000000" w:themeColor="text1"/>
        </w:rPr>
        <w:t>Grood</w:t>
      </w:r>
      <w:proofErr w:type="spellEnd"/>
      <w:r w:rsidRPr="00FF14E9">
        <w:rPr>
          <w:color w:val="000000" w:themeColor="text1"/>
        </w:rPr>
        <w:t xml:space="preserve"> &amp; </w:t>
      </w:r>
      <w:proofErr w:type="spellStart"/>
      <w:r w:rsidRPr="00FF14E9">
        <w:rPr>
          <w:color w:val="000000" w:themeColor="text1"/>
        </w:rPr>
        <w:t>Suntay</w:t>
      </w:r>
      <w:proofErr w:type="spellEnd"/>
      <w:r w:rsidRPr="00FF14E9">
        <w:rPr>
          <w:color w:val="000000" w:themeColor="text1"/>
        </w:rPr>
        <w:t>, 1983)</w:t>
      </w:r>
    </w:p>
    <w:p w14:paraId="6A864259" w14:textId="38A31BDE" w:rsidR="00FF14E9" w:rsidRDefault="00FF14E9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 additional anthropometric adjustments were applied reflecting realistic forensic scenarios</w:t>
      </w:r>
    </w:p>
    <w:p w14:paraId="1A07CAEE" w14:textId="77777777" w:rsidR="00FD2E3C" w:rsidRDefault="00FF14E9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Four distinct angles–ankle dorsiflexion, knee flexion, knee adduction and hip flexion– were calculated for TD and TO and for every participant across multiple steps the mean was calculated to generate a distinct biometric measure.</w:t>
      </w:r>
    </w:p>
    <w:p w14:paraId="6470F787" w14:textId="77DD9257" w:rsidR="00FF14E9" w:rsidRDefault="00FD2E3C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For the statistical analysis a paired t-test between MoCap reference and HPE angles was conducted</w:t>
      </w:r>
      <w:r w:rsidR="00335A68">
        <w:rPr>
          <w:color w:val="000000" w:themeColor="text1"/>
        </w:rPr>
        <w:t xml:space="preserve"> to study differences</w:t>
      </w:r>
    </w:p>
    <w:p w14:paraId="12E5CF18" w14:textId="5BA5E744" w:rsidR="00FD2E3C" w:rsidRPr="00FF14E9" w:rsidRDefault="00FD2E3C" w:rsidP="00E24D3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Also</w:t>
      </w:r>
      <w:proofErr w:type="gramEnd"/>
      <w:r>
        <w:rPr>
          <w:color w:val="000000" w:themeColor="text1"/>
        </w:rPr>
        <w:t xml:space="preserve"> a Bland-Altman analysis </w:t>
      </w:r>
      <w:r w:rsidRPr="00FD2E3C">
        <w:rPr>
          <w:color w:val="000000" w:themeColor="text1"/>
        </w:rPr>
        <w:t>(Bland &amp; Altman, 1986)​</w:t>
      </w:r>
      <w:r>
        <w:rPr>
          <w:color w:val="000000" w:themeColor="text1"/>
        </w:rPr>
        <w:t xml:space="preserve"> was used to assess agreement and to identify systematic biases. Confidence interval (CI) and Limits of Agreement (</w:t>
      </w:r>
      <w:proofErr w:type="spellStart"/>
      <w:r>
        <w:rPr>
          <w:color w:val="000000" w:themeColor="text1"/>
        </w:rPr>
        <w:t>LoA</w:t>
      </w:r>
      <w:proofErr w:type="spellEnd"/>
      <w:r>
        <w:rPr>
          <w:color w:val="000000" w:themeColor="text1"/>
        </w:rPr>
        <w:t>) were used to quantify the reliability of the new method and its applicability for forensics.</w:t>
      </w:r>
      <w:r w:rsidR="00F71127">
        <w:rPr>
          <w:color w:val="000000" w:themeColor="text1"/>
        </w:rPr>
        <w:t xml:space="preserve"> Here also the intrasubject variability (IV), which is the range in observed angles over all participants by the MoCap method.</w:t>
      </w:r>
    </w:p>
    <w:p w14:paraId="4313FCD1" w14:textId="70D6A3C2" w:rsidR="00E24D3B" w:rsidRDefault="00E24D3B" w:rsidP="00E24D3B">
      <w:pPr>
        <w:rPr>
          <w:color w:val="000000" w:themeColor="text1"/>
        </w:rPr>
      </w:pPr>
    </w:p>
    <w:p w14:paraId="75552E67" w14:textId="5FE21908" w:rsidR="00E24D3B" w:rsidRDefault="00E24D3B" w:rsidP="00E24D3B">
      <w:pPr>
        <w:rPr>
          <w:color w:val="000000" w:themeColor="text1"/>
        </w:rPr>
      </w:pPr>
    </w:p>
    <w:p w14:paraId="7FE72C3B" w14:textId="6298DBF3" w:rsidR="00E24D3B" w:rsidRDefault="00E24D3B" w:rsidP="00E24D3B">
      <w:pPr>
        <w:rPr>
          <w:color w:val="000000" w:themeColor="text1"/>
        </w:rPr>
      </w:pPr>
    </w:p>
    <w:p w14:paraId="1D3AF7AF" w14:textId="7A3CB875" w:rsidR="00E24D3B" w:rsidRDefault="00E24D3B" w:rsidP="00E24D3B">
      <w:pPr>
        <w:rPr>
          <w:color w:val="000000" w:themeColor="text1"/>
        </w:rPr>
      </w:pPr>
    </w:p>
    <w:p w14:paraId="067D5013" w14:textId="77777777" w:rsidR="00E24D3B" w:rsidRPr="00E24D3B" w:rsidRDefault="00E24D3B" w:rsidP="00E24D3B">
      <w:pPr>
        <w:rPr>
          <w:color w:val="000000" w:themeColor="text1"/>
        </w:rPr>
      </w:pPr>
    </w:p>
    <w:p w14:paraId="0F855EBB" w14:textId="3443D787" w:rsidR="000B7299" w:rsidRDefault="000B7299"/>
    <w:p w14:paraId="29B035A7" w14:textId="680718D0" w:rsidR="00FD2E3C" w:rsidRDefault="00FD2E3C"/>
    <w:p w14:paraId="734FD8E6" w14:textId="5940DAA0" w:rsidR="00FD2E3C" w:rsidRDefault="00FD2E3C"/>
    <w:p w14:paraId="28101BB2" w14:textId="0D0340E7" w:rsidR="00FD2E3C" w:rsidRDefault="00FD2E3C"/>
    <w:p w14:paraId="50DD8B19" w14:textId="5E2E2C3A" w:rsidR="00FD2E3C" w:rsidRDefault="00FD2E3C"/>
    <w:p w14:paraId="2C63875C" w14:textId="014CA98B" w:rsidR="00FD2E3C" w:rsidRDefault="00FD2E3C"/>
    <w:p w14:paraId="7510FA28" w14:textId="2759C75F" w:rsidR="00FD2E3C" w:rsidRDefault="00FD2E3C"/>
    <w:p w14:paraId="3A4249AD" w14:textId="1C11343D" w:rsidR="00FD2E3C" w:rsidRDefault="00FD2E3C"/>
    <w:p w14:paraId="5B0DB916" w14:textId="41297E7E" w:rsidR="00FD2E3C" w:rsidRDefault="00340B0F">
      <w:r>
        <w:rPr>
          <w:noProof/>
        </w:rPr>
        <w:lastRenderedPageBreak/>
        <w:drawing>
          <wp:inline distT="0" distB="0" distL="0" distR="0" wp14:anchorId="6FE6746C" wp14:editId="770D4C77">
            <wp:extent cx="5759450" cy="494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C745" w14:textId="77777777" w:rsidR="00E066F0" w:rsidRPr="00BB344A" w:rsidRDefault="00E066F0"/>
    <w:p w14:paraId="0A8FF345" w14:textId="6BE81D26" w:rsidR="0072582F" w:rsidRDefault="004322D3" w:rsidP="0072582F">
      <w:r w:rsidRPr="00BB344A">
        <w:rPr>
          <w:b/>
        </w:rPr>
        <w:t>RESULTS:</w:t>
      </w:r>
      <w:r w:rsidRPr="00BB344A">
        <w:t xml:space="preserve"> </w:t>
      </w:r>
      <w:r w:rsidR="007F73BD">
        <w:t>Results</w:t>
      </w:r>
    </w:p>
    <w:p w14:paraId="42B3396F" w14:textId="727C4E6B" w:rsidR="007F73BD" w:rsidRDefault="007F73BD" w:rsidP="007F73BD">
      <w:pPr>
        <w:pStyle w:val="ListParagraph"/>
        <w:numPr>
          <w:ilvl w:val="0"/>
          <w:numId w:val="4"/>
        </w:numPr>
      </w:pPr>
      <w:r>
        <w:t>Evaluation of the accuracy of gait parameters extracted using OpenPose and AlphaPose relative to 3D MoCap as a reference measure</w:t>
      </w:r>
    </w:p>
    <w:p w14:paraId="25D94467" w14:textId="547DF92D" w:rsidR="007F73BD" w:rsidRDefault="007F73BD" w:rsidP="007F73BD">
      <w:pPr>
        <w:pStyle w:val="ListParagraph"/>
        <w:numPr>
          <w:ilvl w:val="0"/>
          <w:numId w:val="4"/>
        </w:numPr>
      </w:pPr>
      <w:r>
        <w:t>Paired t-test showed significant differences between MoCap and HPE models for most parameters.</w:t>
      </w:r>
      <w:r w:rsidR="00E066F0">
        <w:t xml:space="preserve"> What can also be observed in figure X(violin)</w:t>
      </w:r>
    </w:p>
    <w:p w14:paraId="75772318" w14:textId="48FD8F70" w:rsidR="007F73BD" w:rsidRDefault="007F73BD" w:rsidP="007F73BD">
      <w:pPr>
        <w:pStyle w:val="ListParagraph"/>
        <w:numPr>
          <w:ilvl w:val="0"/>
          <w:numId w:val="4"/>
        </w:numPr>
      </w:pPr>
      <w:r>
        <w:t xml:space="preserve">Exceptions were TD </w:t>
      </w:r>
      <w:r w:rsidR="0063075F">
        <w:t>k</w:t>
      </w:r>
      <w:r>
        <w:t>nee</w:t>
      </w:r>
      <w:r w:rsidR="00652557">
        <w:t xml:space="preserve"> </w:t>
      </w:r>
      <w:r>
        <w:t>flexion</w:t>
      </w:r>
      <w:r w:rsidR="0063075F">
        <w:t xml:space="preserve"> and TD knee</w:t>
      </w:r>
      <w:r w:rsidR="00652557">
        <w:t xml:space="preserve"> </w:t>
      </w:r>
      <w:r w:rsidR="0063075F">
        <w:t>adduction</w:t>
      </w:r>
      <w:r>
        <w:t xml:space="preserve"> for </w:t>
      </w:r>
      <w:r w:rsidR="00CC2D85">
        <w:t>O</w:t>
      </w:r>
      <w:r w:rsidR="0063075F">
        <w:t>pen</w:t>
      </w:r>
      <w:r w:rsidR="00CC2D85">
        <w:t>P</w:t>
      </w:r>
      <w:r w:rsidR="0063075F">
        <w:t>ose (p&gt;0.01) and TD ankle</w:t>
      </w:r>
      <w:r w:rsidR="00652557">
        <w:t xml:space="preserve"> </w:t>
      </w:r>
      <w:r w:rsidR="0063075F">
        <w:t xml:space="preserve">dorsiflexion for </w:t>
      </w:r>
      <w:r w:rsidR="00CC2D85">
        <w:t>A</w:t>
      </w:r>
      <w:r w:rsidR="0063075F">
        <w:t>lpha</w:t>
      </w:r>
      <w:r w:rsidR="00CC2D85">
        <w:t>P</w:t>
      </w:r>
      <w:r w:rsidR="0063075F">
        <w:t>ose</w:t>
      </w:r>
      <w:r>
        <w:t xml:space="preserve"> </w:t>
      </w:r>
      <w:r w:rsidR="00652557">
        <w:t>(p&gt;0.01)</w:t>
      </w:r>
      <w:r w:rsidR="00E066F0">
        <w:t xml:space="preserve"> (</w:t>
      </w:r>
      <w:r w:rsidR="00E066F0">
        <w:rPr>
          <w:color w:val="FF0000"/>
        </w:rPr>
        <w:t>Here I find it hard to find a value that is representative for the “difference” or no difference</w:t>
      </w:r>
      <w:r w:rsidR="00E066F0">
        <w:t>)</w:t>
      </w:r>
    </w:p>
    <w:p w14:paraId="7F785C5F" w14:textId="01EC4100" w:rsidR="00652557" w:rsidRPr="00CC2D85" w:rsidRDefault="00CC2D85" w:rsidP="00D12F1C">
      <w:pPr>
        <w:pStyle w:val="ListParagraph"/>
        <w:numPr>
          <w:ilvl w:val="0"/>
          <w:numId w:val="4"/>
        </w:numPr>
      </w:pPr>
      <w:r>
        <w:t>Also,</w:t>
      </w:r>
      <w:r w:rsidR="00E066F0">
        <w:t xml:space="preserve"> systematic </w:t>
      </w:r>
      <w:r>
        <w:t>discrepancies</w:t>
      </w:r>
      <w:r w:rsidR="00E066F0">
        <w:t xml:space="preserve"> can be observed and are also strengthened by the </w:t>
      </w:r>
      <w:r w:rsidR="00D12F1C">
        <w:t xml:space="preserve">calculated bias. Where for ankle dorsiflexion at TO both </w:t>
      </w:r>
      <w:proofErr w:type="gramStart"/>
      <w:r w:rsidR="00D12F1C">
        <w:t>models</w:t>
      </w:r>
      <w:proofErr w:type="gramEnd"/>
      <w:r w:rsidR="00D12F1C">
        <w:t xml:space="preserve"> overestimate (</w:t>
      </w:r>
      <w:r w:rsidR="00D12F1C">
        <w:rPr>
          <w:color w:val="FF0000"/>
        </w:rPr>
        <w:t>recheck</w:t>
      </w:r>
      <w:r w:rsidR="00D12F1C">
        <w:rPr>
          <w:color w:val="000000" w:themeColor="text1"/>
        </w:rPr>
        <w:t>)</w:t>
      </w:r>
      <w:r w:rsidR="00D12F1C">
        <w:t xml:space="preserve"> relative to MoCap (</w:t>
      </w:r>
      <w:r w:rsidR="001D239C">
        <w:t xml:space="preserve">bias: </w:t>
      </w:r>
      <w:r>
        <w:t xml:space="preserve">AlphaPose </w:t>
      </w:r>
      <w:r w:rsidR="00D12F1C">
        <w:t>=+</w:t>
      </w:r>
      <w:r w:rsidR="00D12F1C">
        <w:t>12.6</w:t>
      </w:r>
      <w:r w:rsidR="00D12F1C">
        <w:t xml:space="preserve">6°; </w:t>
      </w:r>
      <w:r>
        <w:t>O</w:t>
      </w:r>
      <w:r w:rsidR="00D12F1C">
        <w:t>pen</w:t>
      </w:r>
      <w:r>
        <w:t>P</w:t>
      </w:r>
      <w:r w:rsidR="00D12F1C">
        <w:t>ose=+</w:t>
      </w:r>
      <w:r w:rsidR="00D12F1C">
        <w:t>16.3</w:t>
      </w:r>
      <w:r w:rsidR="00D12F1C">
        <w:t xml:space="preserve">4°). For knee flexion at TO both models consistently underestimate </w:t>
      </w:r>
      <w:r w:rsidR="00D12F1C">
        <w:t>(</w:t>
      </w:r>
      <w:r w:rsidR="001D239C">
        <w:t xml:space="preserve">bias: </w:t>
      </w:r>
      <w:r>
        <w:t xml:space="preserve">AlphaPose </w:t>
      </w:r>
      <w:r w:rsidR="00D12F1C">
        <w:t>=</w:t>
      </w:r>
      <w:r w:rsidR="00D12F1C" w:rsidRPr="00D12F1C">
        <w:t>-13.62</w:t>
      </w:r>
      <w:r w:rsidR="00D12F1C">
        <w:t xml:space="preserve">°; </w:t>
      </w:r>
      <w:r>
        <w:t>OpenPose</w:t>
      </w:r>
      <w:r w:rsidR="00D12F1C">
        <w:t>=</w:t>
      </w:r>
      <w:r w:rsidR="00D12F1C" w:rsidRPr="00D12F1C">
        <w:t>-11.73</w:t>
      </w:r>
      <w:r w:rsidR="00D12F1C">
        <w:t>°)</w:t>
      </w:r>
      <w:r w:rsidR="001D239C">
        <w:t xml:space="preserve">. </w:t>
      </w:r>
      <w:r>
        <w:t xml:space="preserve">Knee adduction at TO for both </w:t>
      </w:r>
      <w:proofErr w:type="gramStart"/>
      <w:r>
        <w:t>models  is</w:t>
      </w:r>
      <w:proofErr w:type="gramEnd"/>
      <w:r>
        <w:t xml:space="preserve"> underestimated </w:t>
      </w:r>
      <w:r>
        <w:t>(bias: AlphaPose</w:t>
      </w:r>
      <w:r>
        <w:t>=</w:t>
      </w:r>
      <w:r w:rsidRPr="00CC2D85">
        <w:t>-9.14</w:t>
      </w:r>
      <w:r w:rsidRPr="001D239C">
        <w:t xml:space="preserve">°; </w:t>
      </w:r>
      <w:r>
        <w:t>OpenPose=</w:t>
      </w:r>
      <w:r w:rsidRPr="00CC2D85">
        <w:t>-6.79</w:t>
      </w:r>
      <w:r w:rsidRPr="001D239C">
        <w:t>°</w:t>
      </w:r>
      <w:r>
        <w:t xml:space="preserve">). </w:t>
      </w:r>
      <w:r w:rsidR="001D239C">
        <w:t xml:space="preserve">Hip flexion is consistently underestimated by both models for TD (bias: </w:t>
      </w:r>
      <w:r>
        <w:t>AlphaPose</w:t>
      </w:r>
      <w:r w:rsidR="001D239C">
        <w:t>=</w:t>
      </w:r>
      <w:r w:rsidR="001D239C" w:rsidRPr="001D239C">
        <w:t>-9.2</w:t>
      </w:r>
      <w:r w:rsidR="001D239C">
        <w:t>6</w:t>
      </w:r>
      <w:r w:rsidR="001D239C" w:rsidRPr="001D239C">
        <w:t xml:space="preserve">°; </w:t>
      </w:r>
      <w:r>
        <w:t>OpenPose</w:t>
      </w:r>
      <w:r w:rsidR="001D239C">
        <w:t>=</w:t>
      </w:r>
      <w:r w:rsidR="001D239C" w:rsidRPr="001D239C">
        <w:t xml:space="preserve"> </w:t>
      </w:r>
      <w:r w:rsidR="001D239C" w:rsidRPr="001D239C">
        <w:t>-7.60°</w:t>
      </w:r>
      <w:r w:rsidR="001D239C">
        <w:t>) and for TO (</w:t>
      </w:r>
      <w:r w:rsidR="001D239C">
        <w:t xml:space="preserve">bias: </w:t>
      </w:r>
      <w:r>
        <w:t>AlphaPose</w:t>
      </w:r>
      <w:r w:rsidR="001D239C">
        <w:t>=</w:t>
      </w:r>
      <w:r w:rsidR="001D239C" w:rsidRPr="001D239C">
        <w:t xml:space="preserve">-14.86°; </w:t>
      </w:r>
      <w:r>
        <w:t>OpenPose</w:t>
      </w:r>
      <w:r w:rsidR="001D239C">
        <w:t>=</w:t>
      </w:r>
      <w:r w:rsidR="001D239C" w:rsidRPr="001D239C">
        <w:t>-12.56°</w:t>
      </w:r>
      <w:r w:rsidR="001D239C">
        <w:t>).</w:t>
      </w:r>
      <w:r>
        <w:t xml:space="preserve"> (</w:t>
      </w:r>
      <w:r>
        <w:rPr>
          <w:color w:val="FF0000"/>
        </w:rPr>
        <w:t>Do all results need to be put in words here?</w:t>
      </w:r>
      <w:r>
        <w:rPr>
          <w:color w:val="000000" w:themeColor="text1"/>
        </w:rPr>
        <w:t>)</w:t>
      </w:r>
    </w:p>
    <w:p w14:paraId="5F865379" w14:textId="05C19B0D" w:rsidR="00CC2D85" w:rsidRDefault="00CC2D85" w:rsidP="00D12F1C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 xml:space="preserve">Almost all </w:t>
      </w:r>
      <w:r w:rsidR="00F71127">
        <w:rPr>
          <w:color w:val="000000" w:themeColor="text1"/>
        </w:rPr>
        <w:t>CI were observed to be greater than the IV of the Mocap parameters except for TD ankle dorsiflexion of AlphaPose (CI:</w:t>
      </w:r>
      <w:r w:rsidR="00F71127" w:rsidRPr="00F71127">
        <w:t xml:space="preserve"> </w:t>
      </w:r>
      <w:r w:rsidR="00F71127" w:rsidRPr="00F71127">
        <w:rPr>
          <w:color w:val="000000" w:themeColor="text1"/>
        </w:rPr>
        <w:t>8.312</w:t>
      </w:r>
      <w:r w:rsidR="00F71127">
        <w:rPr>
          <w:color w:val="000000" w:themeColor="text1"/>
        </w:rPr>
        <w:t>°; IV:</w:t>
      </w:r>
      <w:r w:rsidR="00F71127" w:rsidRPr="00F71127">
        <w:t xml:space="preserve"> </w:t>
      </w:r>
      <w:r w:rsidR="00F71127" w:rsidRPr="00F71127">
        <w:rPr>
          <w:color w:val="000000" w:themeColor="text1"/>
        </w:rPr>
        <w:t>8.</w:t>
      </w:r>
      <w:r w:rsidR="00F71127">
        <w:rPr>
          <w:color w:val="000000" w:themeColor="text1"/>
        </w:rPr>
        <w:t>70°).</w:t>
      </w:r>
    </w:p>
    <w:p w14:paraId="74187718" w14:textId="22F629F1" w:rsidR="001D239C" w:rsidRDefault="001D239C" w:rsidP="001D239C"/>
    <w:p w14:paraId="1C1919B2" w14:textId="78EC1DB0" w:rsidR="00FD2E3C" w:rsidRDefault="00FD2E3C" w:rsidP="0072582F"/>
    <w:p w14:paraId="153BF475" w14:textId="381DE85F" w:rsidR="00340B0F" w:rsidRDefault="00340B0F" w:rsidP="0072582F"/>
    <w:p w14:paraId="6E68635E" w14:textId="77777777" w:rsidR="00340B0F" w:rsidRPr="00BB344A" w:rsidRDefault="00340B0F" w:rsidP="0072582F"/>
    <w:p w14:paraId="59F2825D" w14:textId="77777777" w:rsidR="000B7299" w:rsidRPr="00BB344A" w:rsidRDefault="000B7299"/>
    <w:p w14:paraId="3C458E1F" w14:textId="77777777" w:rsidR="00F71127" w:rsidRDefault="004322D3" w:rsidP="0072582F">
      <w:r w:rsidRPr="00BB344A">
        <w:rPr>
          <w:b/>
        </w:rPr>
        <w:lastRenderedPageBreak/>
        <w:t>CONCLUSION:</w:t>
      </w:r>
      <w:r w:rsidRPr="00BB344A">
        <w:t xml:space="preserve"> </w:t>
      </w:r>
      <w:r w:rsidR="00F71127">
        <w:t>Conclusion</w:t>
      </w:r>
    </w:p>
    <w:p w14:paraId="16769306" w14:textId="6FB05CF4" w:rsidR="000B7299" w:rsidRDefault="00BF157B" w:rsidP="00F71127">
      <w:pPr>
        <w:pStyle w:val="ListParagraph"/>
        <w:numPr>
          <w:ilvl w:val="0"/>
          <w:numId w:val="5"/>
        </w:numPr>
      </w:pPr>
      <w:r>
        <w:t xml:space="preserve">Bridging the gap was </w:t>
      </w:r>
      <w:proofErr w:type="spellStart"/>
      <w:r>
        <w:t>leite</w:t>
      </w:r>
      <w:proofErr w:type="spellEnd"/>
      <w:r>
        <w:t xml:space="preserve"> ich ab und was </w:t>
      </w:r>
      <w:proofErr w:type="spellStart"/>
      <w:r>
        <w:t>müsste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passieren</w:t>
      </w:r>
      <w:proofErr w:type="spellEnd"/>
      <w:r>
        <w:t xml:space="preserve"> um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</w:p>
    <w:p w14:paraId="4EB375A5" w14:textId="35B90BB4" w:rsidR="0072582F" w:rsidRDefault="0072582F" w:rsidP="0072582F"/>
    <w:p w14:paraId="1702CA4A" w14:textId="611740D0" w:rsidR="00340B0F" w:rsidRDefault="00340B0F" w:rsidP="0072582F"/>
    <w:p w14:paraId="541E53C9" w14:textId="2A813943" w:rsidR="00340B0F" w:rsidRDefault="00340B0F" w:rsidP="0072582F"/>
    <w:p w14:paraId="3A7E80C1" w14:textId="221E358C" w:rsidR="00340B0F" w:rsidRDefault="00340B0F" w:rsidP="0072582F"/>
    <w:p w14:paraId="7BF8EFA2" w14:textId="180E0766" w:rsidR="00340B0F" w:rsidRDefault="00340B0F" w:rsidP="0072582F"/>
    <w:p w14:paraId="6D3E9D1B" w14:textId="161E18D6" w:rsidR="00340B0F" w:rsidRDefault="00340B0F" w:rsidP="0072582F"/>
    <w:p w14:paraId="1BAB7F52" w14:textId="1D401B66" w:rsidR="00340B0F" w:rsidRDefault="00340B0F" w:rsidP="0072582F"/>
    <w:p w14:paraId="3F67CAC8" w14:textId="0BDB3360" w:rsidR="00340B0F" w:rsidRDefault="00340B0F" w:rsidP="0072582F"/>
    <w:p w14:paraId="734E9FBF" w14:textId="2A53533B" w:rsidR="00340B0F" w:rsidRDefault="00340B0F" w:rsidP="0072582F"/>
    <w:p w14:paraId="59ACC730" w14:textId="54626496" w:rsidR="00340B0F" w:rsidRDefault="00340B0F" w:rsidP="0072582F"/>
    <w:p w14:paraId="5DB9BAC3" w14:textId="393EB6BD" w:rsidR="00340B0F" w:rsidRDefault="00340B0F" w:rsidP="0072582F"/>
    <w:p w14:paraId="35F539B7" w14:textId="1BB3FF25" w:rsidR="00340B0F" w:rsidRDefault="00340B0F" w:rsidP="0072582F"/>
    <w:p w14:paraId="634FE3DD" w14:textId="0AE582AF" w:rsidR="00340B0F" w:rsidRDefault="00340B0F" w:rsidP="0072582F"/>
    <w:p w14:paraId="21D32E8C" w14:textId="3DAD6276" w:rsidR="00340B0F" w:rsidRDefault="00340B0F" w:rsidP="0072582F"/>
    <w:p w14:paraId="3FA72C26" w14:textId="0B557B22" w:rsidR="00340B0F" w:rsidRDefault="00340B0F" w:rsidP="0072582F"/>
    <w:p w14:paraId="69618C35" w14:textId="5E4CCAAF" w:rsidR="00340B0F" w:rsidRDefault="00340B0F" w:rsidP="0072582F"/>
    <w:p w14:paraId="430877F6" w14:textId="36EEF0C9" w:rsidR="00340B0F" w:rsidRDefault="00340B0F" w:rsidP="0072582F"/>
    <w:p w14:paraId="07980F63" w14:textId="6F92FD90" w:rsidR="00340B0F" w:rsidRDefault="00340B0F" w:rsidP="0072582F"/>
    <w:p w14:paraId="75166AC8" w14:textId="780B6307" w:rsidR="00340B0F" w:rsidRDefault="00340B0F" w:rsidP="0072582F"/>
    <w:p w14:paraId="67E304CB" w14:textId="0B3BC654" w:rsidR="00340B0F" w:rsidRDefault="00340B0F" w:rsidP="0072582F"/>
    <w:p w14:paraId="0F342B2F" w14:textId="5F69530F" w:rsidR="00340B0F" w:rsidRDefault="00340B0F" w:rsidP="0072582F"/>
    <w:p w14:paraId="66A44E00" w14:textId="485130E3" w:rsidR="00340B0F" w:rsidRDefault="00340B0F" w:rsidP="0072582F"/>
    <w:p w14:paraId="6DCD5AF7" w14:textId="7A27A226" w:rsidR="00340B0F" w:rsidRDefault="00340B0F" w:rsidP="0072582F"/>
    <w:p w14:paraId="5D8485B6" w14:textId="400A8556" w:rsidR="00340B0F" w:rsidRDefault="00340B0F" w:rsidP="0072582F"/>
    <w:p w14:paraId="6EAA157F" w14:textId="0E07A080" w:rsidR="00340B0F" w:rsidRDefault="00340B0F" w:rsidP="0072582F"/>
    <w:p w14:paraId="55A50F9D" w14:textId="3854CDF5" w:rsidR="00340B0F" w:rsidRDefault="00340B0F" w:rsidP="0072582F"/>
    <w:p w14:paraId="286DF444" w14:textId="1D409A64" w:rsidR="00340B0F" w:rsidRDefault="00340B0F" w:rsidP="0072582F"/>
    <w:p w14:paraId="526F9EF5" w14:textId="1F31F26D" w:rsidR="00340B0F" w:rsidRDefault="00340B0F" w:rsidP="0072582F"/>
    <w:p w14:paraId="5A2DF5C5" w14:textId="303A6CEB" w:rsidR="00340B0F" w:rsidRDefault="00340B0F" w:rsidP="0072582F"/>
    <w:p w14:paraId="4C7151DB" w14:textId="325E1A46" w:rsidR="00340B0F" w:rsidRDefault="00340B0F" w:rsidP="0072582F"/>
    <w:p w14:paraId="5F22AF7E" w14:textId="50B35A3A" w:rsidR="00340B0F" w:rsidRDefault="00340B0F" w:rsidP="0072582F"/>
    <w:p w14:paraId="0B993AAA" w14:textId="106C4C33" w:rsidR="00340B0F" w:rsidRDefault="00340B0F" w:rsidP="0072582F"/>
    <w:p w14:paraId="25B3FC19" w14:textId="04DB0E12" w:rsidR="00340B0F" w:rsidRDefault="00340B0F" w:rsidP="0072582F"/>
    <w:p w14:paraId="62B78AD9" w14:textId="36569D85" w:rsidR="00340B0F" w:rsidRDefault="00340B0F" w:rsidP="0072582F"/>
    <w:p w14:paraId="33E5C65E" w14:textId="10F7CFD4" w:rsidR="00340B0F" w:rsidRDefault="00340B0F" w:rsidP="0072582F"/>
    <w:p w14:paraId="0DECBD07" w14:textId="4E1C742F" w:rsidR="00340B0F" w:rsidRDefault="00340B0F" w:rsidP="0072582F"/>
    <w:p w14:paraId="34A20338" w14:textId="46625482" w:rsidR="00340B0F" w:rsidRDefault="00340B0F" w:rsidP="0072582F"/>
    <w:p w14:paraId="4550DEE9" w14:textId="4A8468C3" w:rsidR="00340B0F" w:rsidRDefault="00340B0F" w:rsidP="0072582F"/>
    <w:p w14:paraId="54B3CBB1" w14:textId="109A30C0" w:rsidR="00340B0F" w:rsidRDefault="00340B0F" w:rsidP="0072582F"/>
    <w:p w14:paraId="064CFB5D" w14:textId="5253C872" w:rsidR="00340B0F" w:rsidRDefault="00340B0F" w:rsidP="0072582F"/>
    <w:p w14:paraId="733D96F3" w14:textId="1CD4EACE" w:rsidR="00340B0F" w:rsidRDefault="00340B0F" w:rsidP="0072582F"/>
    <w:p w14:paraId="2F40A47F" w14:textId="5DF376CC" w:rsidR="00340B0F" w:rsidRDefault="00340B0F" w:rsidP="0072582F"/>
    <w:p w14:paraId="60216811" w14:textId="7CA24CF5" w:rsidR="00340B0F" w:rsidRDefault="00340B0F" w:rsidP="0072582F"/>
    <w:p w14:paraId="796F4BB6" w14:textId="3DB876EF" w:rsidR="00340B0F" w:rsidRDefault="00340B0F" w:rsidP="0072582F"/>
    <w:p w14:paraId="68B7855D" w14:textId="6384391E" w:rsidR="00340B0F" w:rsidRDefault="00340B0F" w:rsidP="0072582F"/>
    <w:p w14:paraId="62902929" w14:textId="4F87EE00" w:rsidR="00340B0F" w:rsidRDefault="00340B0F" w:rsidP="0072582F"/>
    <w:p w14:paraId="2CC24341" w14:textId="339AD281" w:rsidR="00340B0F" w:rsidRDefault="00340B0F" w:rsidP="0072582F"/>
    <w:p w14:paraId="558A7A0D" w14:textId="3C7920BC" w:rsidR="00340B0F" w:rsidRDefault="00340B0F" w:rsidP="0072582F"/>
    <w:p w14:paraId="0DE9A83D" w14:textId="57E7DAC4" w:rsidR="00340B0F" w:rsidRDefault="00340B0F" w:rsidP="0072582F"/>
    <w:p w14:paraId="74C06A4A" w14:textId="14BA97F7" w:rsidR="00340B0F" w:rsidRDefault="00340B0F" w:rsidP="0072582F"/>
    <w:p w14:paraId="5564949A" w14:textId="0EA5C8CA" w:rsidR="00340B0F" w:rsidRDefault="00340B0F" w:rsidP="0072582F"/>
    <w:p w14:paraId="0914B5FE" w14:textId="7A96851F" w:rsidR="00340B0F" w:rsidRDefault="00340B0F" w:rsidP="0072582F"/>
    <w:p w14:paraId="7B7DEAC6" w14:textId="77777777" w:rsidR="00340B0F" w:rsidRDefault="00340B0F" w:rsidP="0072582F"/>
    <w:p w14:paraId="6F8C28A3" w14:textId="6434E3CB" w:rsidR="00340B0F" w:rsidRPr="00340B0F" w:rsidRDefault="00F71127" w:rsidP="00340B0F">
      <w:pPr>
        <w:rPr>
          <w:b/>
        </w:rPr>
      </w:pPr>
      <w:r>
        <w:rPr>
          <w:b/>
        </w:rPr>
        <w:t>REFERENCES:</w:t>
      </w:r>
    </w:p>
    <w:p w14:paraId="5D0FD70D" w14:textId="43B9F4D3" w:rsidR="00340B0F" w:rsidRDefault="00340B0F" w:rsidP="00340B0F">
      <w:pPr>
        <w:pStyle w:val="ListParagraph"/>
        <w:jc w:val="left"/>
      </w:pPr>
    </w:p>
    <w:p w14:paraId="3F5E324E" w14:textId="18D4B4A6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>Bland, J. M., &amp; Altman, D. G. (1986). Statistical methods for assessing agreement between two methods of clinical measurement. The Lancet, 327(8476), 307–310. https://doi.org/10.1016/S0140-6736(86)90837-8</w:t>
      </w:r>
    </w:p>
    <w:p w14:paraId="31A3B0A9" w14:textId="004C568C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>Cao, Z., Hidalgo, G., Simon, T., Wei, S.-E., &amp; Sheikh, Y. (2019). OpenPose: Realtime multi-person 2D pose estimation using part affinity fields. IEEE Transactions on Pattern Analysis and Machine Intelligence. Advance online publication. https://doi.org/10.1109/TPAMI.2019.2929257</w:t>
      </w:r>
    </w:p>
    <w:p w14:paraId="40770DC0" w14:textId="5CCE2081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>Connor, P., &amp; Ross, A. (2018). Biometric recognition by gait: A survey of modalities and features. Computer Vision and Image Understanding, 167, 1–27. https://doi.org/10.1016/j.cviu.2018.01.007</w:t>
      </w:r>
    </w:p>
    <w:p w14:paraId="5D5E59F9" w14:textId="1E0DDC6B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 xml:space="preserve">Cormier, M., Clepe, A., Specker, A., &amp; </w:t>
      </w:r>
      <w:proofErr w:type="spellStart"/>
      <w:r>
        <w:t>Beyerer</w:t>
      </w:r>
      <w:proofErr w:type="spellEnd"/>
      <w:r>
        <w:t>, J. (2022). Where are we with human pose estimation in real-world surveillance? In 2022 IEEE Winter Applications of Computer Vision Workshops (WACVW) (pp. 1591–1600). IEEE. https://doi.org/10.1109/WACVW54805.2022.00065</w:t>
      </w:r>
    </w:p>
    <w:p w14:paraId="4DB50881" w14:textId="514FCD30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 xml:space="preserve">Fang, H.-S., Li, J., Tang, H., Xu, C., &amp; Zhu, H. (2022). AlphaPose: Whole-body regional multi-person pose estimation and tracking in real-time. IEEE Transactions on Pattern Analysis and Machine Intelligence. Advance online publication. </w:t>
      </w:r>
      <w:hyperlink r:id="rId8" w:history="1">
        <w:r w:rsidRPr="0095339B">
          <w:rPr>
            <w:rStyle w:val="Hyperlink"/>
          </w:rPr>
          <w:t>https://doi.org/10.48550/arXiv.2211.03375</w:t>
        </w:r>
      </w:hyperlink>
    </w:p>
    <w:p w14:paraId="5E0B50D2" w14:textId="33D93DE0" w:rsidR="00340B0F" w:rsidRDefault="00340B0F" w:rsidP="00340B0F">
      <w:pPr>
        <w:pStyle w:val="ListParagraph"/>
        <w:numPr>
          <w:ilvl w:val="0"/>
          <w:numId w:val="7"/>
        </w:numPr>
        <w:jc w:val="left"/>
      </w:pPr>
      <w:proofErr w:type="spellStart"/>
      <w:r>
        <w:t>Grood</w:t>
      </w:r>
      <w:proofErr w:type="spellEnd"/>
      <w:r>
        <w:t xml:space="preserve">, E. S., &amp; </w:t>
      </w:r>
      <w:proofErr w:type="spellStart"/>
      <w:r>
        <w:t>Suntay</w:t>
      </w:r>
      <w:proofErr w:type="spellEnd"/>
      <w:r>
        <w:t>, W. J. (1983). A joint coordinate system for the clinical description of three-dimensional motions: Application to the knee. Journal of Biomechanical Engineering, 105(2), 136–144.</w:t>
      </w:r>
      <w:r>
        <w:t xml:space="preserve"> </w:t>
      </w:r>
      <w:r>
        <w:t>https://doi.org/10.1115/1.3138397</w:t>
      </w:r>
    </w:p>
    <w:p w14:paraId="71C780F2" w14:textId="1AFF6CA5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 xml:space="preserve">Mundt, M., </w:t>
      </w:r>
      <w:proofErr w:type="spellStart"/>
      <w:r>
        <w:t>Colyer</w:t>
      </w:r>
      <w:proofErr w:type="spellEnd"/>
      <w:r>
        <w:t>, S. L., Wade, L., Needham, L., Evans, M., Millett, E., &amp; Alderson, J. (2024). Automating video-based two-dimensional motion analysis in sport? Implications for gait event detection, pose estimation, and performance parameter analysis. Scandinavian Journal of Medicine &amp; Science in Sports, 34(1), e14693. https://doi.org/10.1111/sms.14693</w:t>
      </w:r>
    </w:p>
    <w:p w14:paraId="6C017B55" w14:textId="0862F714" w:rsidR="00340B0F" w:rsidRDefault="00340B0F" w:rsidP="00340B0F">
      <w:pPr>
        <w:pStyle w:val="ListParagraph"/>
        <w:numPr>
          <w:ilvl w:val="0"/>
          <w:numId w:val="7"/>
        </w:numPr>
        <w:jc w:val="left"/>
      </w:pPr>
      <w:proofErr w:type="spellStart"/>
      <w:r>
        <w:t>Stenum</w:t>
      </w:r>
      <w:proofErr w:type="spellEnd"/>
      <w:r>
        <w:t xml:space="preserve">, J., Rossi, C., &amp; </w:t>
      </w:r>
      <w:proofErr w:type="spellStart"/>
      <w:r>
        <w:t>Roemmich</w:t>
      </w:r>
      <w:proofErr w:type="spellEnd"/>
      <w:r>
        <w:t>, R. T. (2021). Two-dimensional video-based analysis of human gait using pose estimation. PLOS Computational Biology, 17(4), e1008935. https://doi.org/10.1371/journal.pcbi.1008935</w:t>
      </w:r>
    </w:p>
    <w:p w14:paraId="4FF21A18" w14:textId="0FE5566E" w:rsidR="00340B0F" w:rsidRDefault="00340B0F" w:rsidP="00340B0F">
      <w:pPr>
        <w:pStyle w:val="ListParagraph"/>
        <w:numPr>
          <w:ilvl w:val="0"/>
          <w:numId w:val="7"/>
        </w:numPr>
        <w:jc w:val="left"/>
      </w:pPr>
      <w:r>
        <w:t>Wu, G., Cavanagh, P. R., &amp; Standardization and Terminology Committee of the International Society of Biomechanics. (2002). ISB recommendation on definitions of joint coordinate system of various joints for the reporting of human joint motion—Part I: Ankle, hip, and spine. Journal of Biomechanics, 35(4), 543–548. https://doi.org/10.1016/S0021-9290(01)00222-6</w:t>
      </w:r>
    </w:p>
    <w:p w14:paraId="67FEE9F5" w14:textId="396257B6" w:rsidR="00301D70" w:rsidRDefault="00301D70"/>
    <w:p w14:paraId="0CCBB6B0" w14:textId="7E2C420B" w:rsidR="00301D70" w:rsidRDefault="00301D70"/>
    <w:p w14:paraId="02EEA479" w14:textId="18286ED5" w:rsidR="00301D70" w:rsidRDefault="00301D70"/>
    <w:p w14:paraId="62308FAF" w14:textId="7C052727" w:rsidR="00301D70" w:rsidRDefault="00301D70"/>
    <w:p w14:paraId="6CBC09A9" w14:textId="04CB9A66" w:rsidR="00301D70" w:rsidRDefault="00301D70"/>
    <w:p w14:paraId="11EEF43A" w14:textId="171C1F41" w:rsidR="00301D70" w:rsidRDefault="00301D70"/>
    <w:p w14:paraId="2CE7AD59" w14:textId="4EF1F3AB" w:rsidR="00301D70" w:rsidRDefault="00301D70"/>
    <w:p w14:paraId="331DB3C6" w14:textId="72B447F8" w:rsidR="00301D70" w:rsidRDefault="00301D70">
      <w:r>
        <w:t xml:space="preserve">Birch et al 2013 The </w:t>
      </w:r>
      <w:proofErr w:type="spellStart"/>
      <w:r>
        <w:t>identifivation</w:t>
      </w:r>
      <w:proofErr w:type="spellEnd"/>
      <w:r>
        <w:t xml:space="preserve"> of individuals….</w:t>
      </w:r>
    </w:p>
    <w:p w14:paraId="0939F5C0" w14:textId="695D81E7" w:rsidR="00301D70" w:rsidRDefault="00301D70">
      <w:proofErr w:type="spellStart"/>
      <w:r>
        <w:t>Stenum</w:t>
      </w:r>
      <w:proofErr w:type="spellEnd"/>
      <w:r>
        <w:t xml:space="preserve"> et al 2021 </w:t>
      </w:r>
      <w:proofErr w:type="gramStart"/>
      <w:r>
        <w:t>Two dimensional</w:t>
      </w:r>
      <w:proofErr w:type="gramEnd"/>
      <w:r>
        <w:t xml:space="preserve"> video based analysis…</w:t>
      </w:r>
    </w:p>
    <w:p w14:paraId="434D6744" w14:textId="44516BA5" w:rsidR="003A4B46" w:rsidRDefault="003A4B46">
      <w:r>
        <w:t>Cormier et al 2022 Pose Estimation in real world surveillance…</w:t>
      </w:r>
    </w:p>
    <w:p w14:paraId="029B8418" w14:textId="73945CDE" w:rsidR="006668C0" w:rsidRDefault="006668C0">
      <w:r>
        <w:t xml:space="preserve">Fang et al 2022 </w:t>
      </w:r>
      <w:proofErr w:type="spellStart"/>
      <w:r>
        <w:t>Alphapose</w:t>
      </w:r>
      <w:proofErr w:type="spellEnd"/>
    </w:p>
    <w:p w14:paraId="1DBBA7F0" w14:textId="596BE735" w:rsidR="006668C0" w:rsidRDefault="006668C0">
      <w:r>
        <w:t xml:space="preserve">Cao et al 2019 </w:t>
      </w:r>
      <w:proofErr w:type="spellStart"/>
      <w:r>
        <w:t>Openpose</w:t>
      </w:r>
      <w:proofErr w:type="spellEnd"/>
    </w:p>
    <w:p w14:paraId="49CCA07C" w14:textId="5BB4C993" w:rsidR="006668C0" w:rsidRDefault="00FF14E9">
      <w:proofErr w:type="spellStart"/>
      <w:r>
        <w:t>Grood</w:t>
      </w:r>
      <w:proofErr w:type="spellEnd"/>
      <w:r>
        <w:t xml:space="preserve"> and </w:t>
      </w:r>
      <w:proofErr w:type="spellStart"/>
      <w:r>
        <w:t>Suntay's</w:t>
      </w:r>
      <w:proofErr w:type="spellEnd"/>
      <w:r>
        <w:t xml:space="preserve"> (1983) Joint Coordinate System for the knee joint (</w:t>
      </w:r>
      <w:proofErr w:type="spellStart"/>
      <w:r>
        <w:t>Grood</w:t>
      </w:r>
      <w:proofErr w:type="spellEnd"/>
      <w:r>
        <w:t xml:space="preserve"> &amp; </w:t>
      </w:r>
      <w:proofErr w:type="spellStart"/>
      <w:r>
        <w:t>Suntay</w:t>
      </w:r>
      <w:proofErr w:type="spellEnd"/>
      <w:r>
        <w:t>, 1983)</w:t>
      </w:r>
    </w:p>
    <w:p w14:paraId="54405D8A" w14:textId="77777777" w:rsidR="006668C0" w:rsidRDefault="006668C0"/>
    <w:p w14:paraId="25404C93" w14:textId="67D2EFC8" w:rsidR="003A4B46" w:rsidRDefault="003A4B46"/>
    <w:sectPr w:rsidR="003A4B46">
      <w:type w:val="continuous"/>
      <w:pgSz w:w="11906" w:h="16838"/>
      <w:pgMar w:top="1411" w:right="1411" w:bottom="1411" w:left="141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C4E4" w14:textId="77777777" w:rsidR="006C060A" w:rsidRDefault="006C060A">
      <w:r>
        <w:separator/>
      </w:r>
    </w:p>
  </w:endnote>
  <w:endnote w:type="continuationSeparator" w:id="0">
    <w:p w14:paraId="0965B72C" w14:textId="77777777" w:rsidR="006C060A" w:rsidRDefault="006C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4064" w14:textId="77777777" w:rsidR="006C060A" w:rsidRDefault="006C060A">
      <w:r>
        <w:separator/>
      </w:r>
    </w:p>
  </w:footnote>
  <w:footnote w:type="continuationSeparator" w:id="0">
    <w:p w14:paraId="5DCBD586" w14:textId="77777777" w:rsidR="006C060A" w:rsidRDefault="006C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1E7"/>
    <w:multiLevelType w:val="hybridMultilevel"/>
    <w:tmpl w:val="B82AAC5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A0C6D28"/>
    <w:multiLevelType w:val="hybridMultilevel"/>
    <w:tmpl w:val="E09E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C4D93"/>
    <w:multiLevelType w:val="hybridMultilevel"/>
    <w:tmpl w:val="86165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E4B72"/>
    <w:multiLevelType w:val="multilevel"/>
    <w:tmpl w:val="5218F8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36928B4"/>
    <w:multiLevelType w:val="hybridMultilevel"/>
    <w:tmpl w:val="9C9A2CC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5D554A06"/>
    <w:multiLevelType w:val="hybridMultilevel"/>
    <w:tmpl w:val="81F05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E0BDB"/>
    <w:multiLevelType w:val="hybridMultilevel"/>
    <w:tmpl w:val="F76C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99"/>
    <w:rsid w:val="000946A6"/>
    <w:rsid w:val="000B7299"/>
    <w:rsid w:val="001C666D"/>
    <w:rsid w:val="001D239C"/>
    <w:rsid w:val="001E5A97"/>
    <w:rsid w:val="002037DC"/>
    <w:rsid w:val="00246D49"/>
    <w:rsid w:val="002D591F"/>
    <w:rsid w:val="00300870"/>
    <w:rsid w:val="00301D70"/>
    <w:rsid w:val="00335A68"/>
    <w:rsid w:val="00340B0F"/>
    <w:rsid w:val="003A4B46"/>
    <w:rsid w:val="004105AE"/>
    <w:rsid w:val="004322D3"/>
    <w:rsid w:val="00443239"/>
    <w:rsid w:val="004E7507"/>
    <w:rsid w:val="0063075F"/>
    <w:rsid w:val="00642468"/>
    <w:rsid w:val="00652557"/>
    <w:rsid w:val="006668C0"/>
    <w:rsid w:val="00672B88"/>
    <w:rsid w:val="00697EFD"/>
    <w:rsid w:val="006C060A"/>
    <w:rsid w:val="0072582F"/>
    <w:rsid w:val="007F73BD"/>
    <w:rsid w:val="0087610E"/>
    <w:rsid w:val="00920B75"/>
    <w:rsid w:val="009A0CED"/>
    <w:rsid w:val="009B15D5"/>
    <w:rsid w:val="009C3436"/>
    <w:rsid w:val="00A03C87"/>
    <w:rsid w:val="00A753F5"/>
    <w:rsid w:val="00AE443A"/>
    <w:rsid w:val="00B95FF5"/>
    <w:rsid w:val="00BB344A"/>
    <w:rsid w:val="00BF157B"/>
    <w:rsid w:val="00C2558F"/>
    <w:rsid w:val="00C7048F"/>
    <w:rsid w:val="00CC2D85"/>
    <w:rsid w:val="00D12F1C"/>
    <w:rsid w:val="00D627D4"/>
    <w:rsid w:val="00E066F0"/>
    <w:rsid w:val="00E24D3B"/>
    <w:rsid w:val="00E90C4A"/>
    <w:rsid w:val="00ED341E"/>
    <w:rsid w:val="00F16370"/>
    <w:rsid w:val="00F71127"/>
    <w:rsid w:val="00FA4982"/>
    <w:rsid w:val="00FD2E3C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2F86"/>
  <w15:docId w15:val="{E379B4BC-6D7B-4D82-AACF-6CDA8F60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/>
      <w:jc w:val="center"/>
    </w:pPr>
    <w:rPr>
      <w:b/>
      <w:smallCaps/>
      <w:sz w:val="24"/>
      <w:szCs w:val="24"/>
    </w:rPr>
  </w:style>
  <w:style w:type="paragraph" w:styleId="Subtitle">
    <w:name w:val="Subtitle"/>
    <w:basedOn w:val="Normal"/>
    <w:next w:val="Normal"/>
    <w:pPr>
      <w:spacing w:after="240"/>
      <w:jc w:val="center"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16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370"/>
  </w:style>
  <w:style w:type="paragraph" w:styleId="Footer">
    <w:name w:val="footer"/>
    <w:basedOn w:val="Normal"/>
    <w:link w:val="FooterChar"/>
    <w:uiPriority w:val="99"/>
    <w:unhideWhenUsed/>
    <w:rsid w:val="00F16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370"/>
  </w:style>
  <w:style w:type="paragraph" w:styleId="ListParagraph">
    <w:name w:val="List Paragraph"/>
    <w:basedOn w:val="Normal"/>
    <w:uiPriority w:val="34"/>
    <w:qFormat/>
    <w:rsid w:val="00697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27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AE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211.033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Breen</dc:creator>
  <cp:lastModifiedBy>Jaehrling, David</cp:lastModifiedBy>
  <cp:revision>6</cp:revision>
  <dcterms:created xsi:type="dcterms:W3CDTF">2021-03-15T15:29:00Z</dcterms:created>
  <dcterms:modified xsi:type="dcterms:W3CDTF">2025-03-14T15:19:00Z</dcterms:modified>
</cp:coreProperties>
</file>