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6C4"/>
          <w:sz w:val="18"/>
          <w:szCs w:val="18"/>
        </w:rPr>
        <w:t xml:space="preserve">PROPOSTA EXECUTIVA</w:t>
      </w:r>
    </w:p>
    <w:p>
      <w:pPr>
        <w:spacing w:after="140"/>
      </w:pPr>
      <w:r>
        <w:rPr>
          <w:rFonts w:ascii="Calibri Light" w:cs="Calibri Light" w:eastAsia="Calibri Light" w:hAnsi="Calibri Light"/>
          <w:color w:val="14243F"/>
          <w:sz w:val="64"/>
          <w:szCs w:val="64"/>
        </w:rPr>
        <w:t xml:space="preserve">Catálogo Corporativo DDD</w:t>
      </w:r>
    </w:p>
    <w:p>
      <w:pPr>
        <w:pBdr>
          <w:top w:val="single" w:color="1A56C4" w:sz="12"/>
        </w:pBdr>
        <w:spacing w:after="400"/>
      </w:pPr>
    </w:p>
    <w:p>
      <w:pPr>
        <w:spacing w:after="500" w:before="0" w:line="276"/>
      </w:pPr>
      <w:r>
        <w:rPr>
          <w:rFonts w:ascii="Calibri" w:cs="Calibri" w:eastAsia="Calibri" w:hAnsi="Calibri"/>
          <w:color w:val="5B6B83"/>
          <w:sz w:val="24"/>
          <w:szCs w:val="24"/>
        </w:rPr>
        <w:t xml:space="preserve">Uma resposta única e auditável para três perguntas que hoje não têm dono: </w:t>
      </w: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quem responde por este ativo</w:t>
      </w:r>
      <w:r>
        <w:rPr>
          <w:rFonts w:ascii="Calibri" w:cs="Calibri" w:eastAsia="Calibri" w:hAnsi="Calibri"/>
          <w:color w:val="5B6B83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o que quebra se ele mudar</w:t>
      </w:r>
      <w:r>
        <w:rPr>
          <w:rFonts w:ascii="Calibri" w:cs="Calibri" w:eastAsia="Calibri" w:hAnsi="Calibri"/>
          <w:color w:val="5B6B83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esta API é oficial</w:t>
      </w:r>
      <w:r>
        <w:rPr>
          <w:rFonts w:ascii="Calibri" w:cs="Calibri" w:eastAsia="Calibri" w:hAnsi="Calibri"/>
          <w:color w:val="5B6B83"/>
          <w:sz w:val="24"/>
          <w:szCs w:val="24"/>
        </w:rPr>
        <w:t xml:space="preserve">.</w:t>
      </w:r>
    </w:p>
    <w:p>
      <w:pPr>
        <w:spacing w:after="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40" w:before="0" w:line="276"/>
      </w:pPr>
      <w:r>
        <w:rPr>
          <w:rFonts w:ascii="Calibri" w:cs="Calibri" w:eastAsia="Calibri" w:hAnsi="Calibri"/>
          <w:color w:val="5B6B83"/>
          <w:sz w:val="20"/>
          <w:szCs w:val="20"/>
        </w:rPr>
        <w:t xml:space="preserve">Versão 4 · setembro de 2026</w:t>
      </w:r>
    </w:p>
    <w:p>
      <w:pPr>
        <w:spacing w:after="40" w:before="0" w:line="276"/>
      </w:pPr>
      <w:r>
        <w:rPr>
          <w:rFonts w:ascii="Calibri" w:cs="Calibri" w:eastAsia="Calibri" w:hAnsi="Calibri"/>
          <w:color w:val="5B6B83"/>
          <w:sz w:val="20"/>
          <w:szCs w:val="20"/>
        </w:rPr>
        <w:t xml:space="preserve">Inclui os dois usos previstos: internalização do software legado adquirido e geração de contratos a partir do mapeamento</w:t>
      </w:r>
    </w:p>
    <w:p>
      <w:pPr>
        <w:spacing w:after="0" w:before="0" w:line="276"/>
      </w:pPr>
      <w:r>
        <w:rPr>
          <w:rFonts w:ascii="Calibri" w:cs="Calibri" w:eastAsia="Calibri" w:hAnsi="Calibri"/>
          <w:color w:val="5B6B83"/>
          <w:sz w:val="20"/>
          <w:szCs w:val="20"/>
        </w:rPr>
        <w:t xml:space="preserve">Público: comitê de aprovação, com anexo técnico para o time de implementação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color w:val="1A56C4"/>
          <w:sz w:val="32"/>
          <w:szCs w:val="32"/>
        </w:rPr>
        <w:t xml:space="preserve">Sumário executivo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O problema não é falta de informação — é falta de um lugar onde ela valha.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Hoje, saber quem responde por um sistema, o que depende de uma API ou se um contrato ainda é oficial exige perguntar à pessoa certa. Quando essa pessoa muda de área, a resposta se perde. Planilhas e wikis registram, mas não governam: não sabem dizer quando ficaram velhas, e ninguém responde por elas.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O Catálogo Corporativo DDD resolve isso invertendo a ordem: em vez de um inventário que alguém preenche, um catálogo que distribui o trabalho e cobra o rito. Quem conhece o negócio nomeia o significado; quem conhece a tecnologia registra a realidade; ninguém aprova o que escreveu. Cada publicação gera um registro imutável com hash e trilha de auditoria.</w:t>
      </w:r>
    </w:p>
    <w:tbl>
      <w:tblPr>
        <w:tblW w:type="dxa" w:w="9638"/>
        <w:tblBorders>
          <w:top w:val="none" w:color="FFFFFF" w:sz="0"/>
          <w:left w:val="single" w:color="1A56C4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9F5E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21"/>
                <w:szCs w:val="21"/>
              </w:rPr>
              <w:t xml:space="preserve">Onde a solução está hoje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733"/>
                <w:sz w:val="20"/>
                <w:szCs w:val="20"/>
              </w:rPr>
              <w:t xml:space="preserve">Piloto funcional e testado. Quatro ondas de usabilidade, a fase 4 completa (identidade, papéis, notificações e grafo navegável) e o rito de acesso estão implementados, com 153 testes automatizados verdes. A ferramenta já sustenta o ciclo completo: cadastrar, relacionar, submeter, validar em etapas, publicar e revisar.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O que ainda não foi construído são duas capacidades: </w:t>
      </w: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as integrações com CMDB, CI-CD e backlog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a camada analítica (modelo estrela)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. E aqui está a mensagem central desta proposta:</w:t>
      </w:r>
    </w:p>
    <w:tbl>
      <w:tblPr>
        <w:tblW w:type="dxa" w:w="9638"/>
        <w:tblBorders>
          <w:top w:val="none" w:color="FFFFFF" w:sz="0"/>
          <w:left w:val="single" w:color="1A56C4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FF3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21"/>
                <w:szCs w:val="21"/>
              </w:rPr>
              <w:t xml:space="preserve">O que trava não é engenharia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733"/>
                <w:sz w:val="20"/>
                <w:szCs w:val="20"/>
              </w:rPr>
              <w:t xml:space="preserve">As duas capacidades pendentes estão bloqueadas por três decisões corporativas em aberto — não por falta de plano técnico, orçamento ou capacidade de execução. O plano existe e está detalhado no anexo. Enquanto as decisões não saírem, construir essas capacidades significa escolher por conta própria algo que a organização precisa decidir uma vez, e para todos.</w:t>
            </w:r>
          </w:p>
        </w:tc>
      </w:tr>
    </w:tbl>
    <w:p>
      <w:pPr>
        <w:spacing w:after="8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Dois usos que mudam o que o catálogo significa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O catálogo foi descrito até aqui como um lugar onde a arquitetura existente fica registrada e governada. Duas intenções no horizonte mudam a natureza dele — de arquivo para instrumento —, e ambas estão detalhadas na seção 3.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Internalizar o software legado adquirido.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O mapeamento de domínios, subdomínios, contextos e capacidades é o que transforma um sistema comprado em um sistema que a organização sabe operar. E esse uso não espera decisão nenhuma: pode começar com o que já está construído.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Gerar os contratos a partir do mapeamento.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Hoje o contrato OpenAPI ensina o catálogo. A intenção é inverter a seta: o catálogo passa a ditar o contrato, e a documentação vira consequência de algo que passou pelo rito, não um arquivo que alguém mantém à mão.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O que se pede ao comitê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Três decisões. Nenhuma delas é técnica; todas têm recomendação fundamentada na seção 6.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Fonte de identidade de pessoas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— hoje a identidade é local. Sem identidade corporativa, a trilha de auditoria assina nomes que a empresa não reconhece, e não há endereço confiável para notificar por e-mail.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Granularidade mínima do catálogo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— até onde descer: contrato, tabela, coluna, job? Define o volume do acervo, o que sincronizar e o grão da camada analítica.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Sistema de registro operacional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— quem manda em cada campo quando catálogo, CMDB e esteira divergirem.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Enquanto isso, nada está parado: </w:t>
      </w: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tudo o que não dependia dessas decisões já foi entregue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— inclusive o RBAC completo, que muitos supunham depender do SSO e não depende.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color w:val="1A56C4"/>
          <w:sz w:val="32"/>
          <w:szCs w:val="32"/>
        </w:rPr>
        <w:t xml:space="preserve">1. O problema, em termos de negócio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Três perguntas se repetem em toda conversa de arquitetura, incidente ou planejamento. Nenhuma tem, hoje, uma resposta que se possa auditar.</w:t>
      </w:r>
    </w:p>
    <w:tbl>
      <w:tblPr>
        <w:tblW w:type="dxa" w:w="9638"/>
        <w:tblBorders>
          <w:top w:val="single" w:color="D9E0EC" w:sz="1"/>
          <w:left w:val="single" w:color="D9E0EC" w:sz="1"/>
          <w:bottom w:val="single" w:color="D9E0EC" w:sz="1"/>
          <w:right w:val="single" w:color="D9E0EC" w:sz="1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Pergunta</w:t>
            </w:r>
          </w:p>
        </w:tc>
        <w:tc>
          <w:tcPr>
            <w:tcW w:type="dxa" w:w="36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Como se responde hoje</w:t>
            </w:r>
          </w:p>
        </w:tc>
        <w:tc>
          <w:tcPr>
            <w:tcW w:type="dxa" w:w="3638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Custo de errar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Quem responde por este ativo?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Perguntando a quem estava lá quando ele nasceu.</w:t>
            </w:r>
          </w:p>
        </w:tc>
        <w:tc>
          <w:tcPr>
            <w:tcW w:type="dxa" w:w="36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Incidente sem dono; mudança aprovada por quem não responde pelo resultado.</w:t>
            </w:r>
          </w:p>
        </w:tc>
      </w:tr>
      <w:tr>
        <w:tc>
          <w:tcPr>
            <w:tcW w:type="dxa" w:w="24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O que quebra se isto mudar?</w:t>
            </w:r>
          </w:p>
        </w:tc>
        <w:tc>
          <w:tcPr>
            <w:tcW w:type="dxa" w:w="36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Busca no código, memória e reunião de alinhamento.</w:t>
            </w:r>
          </w:p>
        </w:tc>
        <w:tc>
          <w:tcPr>
            <w:tcW w:type="dxa" w:w="36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Quebra de contrato descoberta em produção, por um consumidor que ninguém sabia que existia.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Esta API é oficial?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Não se responde. Usa-se e torce-se.</w:t>
            </w:r>
          </w:p>
        </w:tc>
        <w:tc>
          <w:tcPr>
            <w:tcW w:type="dxa" w:w="36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Acoplamento a algo experimental ou já descontinuado.</w:t>
            </w:r>
          </w:p>
        </w:tc>
      </w:tr>
      <w:tr>
        <w:tc>
          <w:tcPr>
            <w:tcW w:type="dxa" w:w="24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Que capacidades este domínio entrega?</w:t>
            </w:r>
          </w:p>
        </w:tc>
        <w:tc>
          <w:tcPr>
            <w:tcW w:type="dxa" w:w="36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Apresentação de slides da última reestruturação.</w:t>
            </w:r>
          </w:p>
        </w:tc>
        <w:tc>
          <w:tcPr>
            <w:tcW w:type="dxa" w:w="36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Investimento duplicado em capacidade que já existe com outro nome.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O que falta não é registro — é governança do registro: um ciclo de vida explícito, alguém que responda, evidência que sustente, e uma data de revalidação. Um catálogo sem isso vira ficção em dois trimestres, e passa a custar mais do que não ter.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color w:val="1A56C4"/>
          <w:sz w:val="32"/>
          <w:szCs w:val="32"/>
        </w:rPr>
        <w:t xml:space="preserve">2. A solução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Um catálogo corporativo que separa duas hierarquias e as liga por relações tipadas.</w:t>
      </w:r>
    </w:p>
    <w:tbl>
      <w:tblPr>
        <w:tblW w:type="dxa" w:w="9638"/>
        <w:tblBorders>
          <w:top w:val="single" w:color="D9E0EC" w:sz="1"/>
          <w:left w:val="single" w:color="D9E0EC" w:sz="1"/>
          <w:bottom w:val="single" w:color="D9E0EC" w:sz="1"/>
          <w:right w:val="single" w:color="D9E0EC" w:sz="1"/>
          <w:insideH w:val="single" w:color="auto" w:sz="4"/>
          <w:insideV w:val="single" w:color="auto" w:sz="4"/>
        </w:tblBorders>
      </w:tblPr>
      <w:tblGrid>
        <w:gridCol w:w="1900"/>
        <w:gridCol w:w="3400"/>
        <w:gridCol w:w="4338"/>
      </w:tblGrid>
      <w:tr>
        <w:trPr>
          <w:tblHeader/>
        </w:trPr>
        <w:tc>
          <w:tcPr>
            <w:tcW w:type="dxa" w:w="19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Hierarquia</w:t>
            </w:r>
          </w:p>
        </w:tc>
        <w:tc>
          <w:tcPr>
            <w:tcW w:type="dxa" w:w="34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Do quê trata</w:t>
            </w:r>
          </w:p>
        </w:tc>
        <w:tc>
          <w:tcPr>
            <w:tcW w:type="dxa" w:w="4338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Tipos de ativo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Estrutura DDD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O significado do negócio: o que a empresa faz e como se divide.</w:t>
            </w:r>
          </w:p>
        </w:tc>
        <w:tc>
          <w:tcPr>
            <w:tcW w:type="dxa" w:w="43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Domínio › Subdomínio › Bounded Context › Capacidade de negócio</w:t>
            </w:r>
          </w:p>
        </w:tc>
      </w:tr>
      <w:tr>
        <w:tc>
          <w:tcPr>
            <w:tcW w:type="dxa" w:w="1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Ativos técnicos</w:t>
            </w:r>
          </w:p>
        </w:tc>
        <w:tc>
          <w:tcPr>
            <w:tcW w:type="dxa" w:w="34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A realidade construída: o que existe, onde roda, o que conversa com o quê.</w:t>
            </w:r>
          </w:p>
        </w:tc>
        <w:tc>
          <w:tcPr>
            <w:tcW w:type="dxa" w:w="43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Sistema › Aplicação › API › Endpoint · Base de dados › Objeto de dado · Repositório · Evento de integração</w:t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Os cinco princípios que sustentam o modelo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243F"/>
          <w:sz w:val="21"/>
          <w:szCs w:val="21"/>
        </w:rPr>
        <w:t xml:space="preserve">Governança proporcional ao risco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Um endpoint não passa pelo mesmo rito de um contexto delimitado. A política do tipo e da criticidade define quantas etapas de validação, quantas evidências, que nota mínima de qualidade, que prazo por etapa e de quanto em quanto tempo o ativo precisa ser revalidado. Marcar um ativo como crítico aperta o rito de verdade: mais uma etapa, mais uma evidência, nota mais alta e metade do prazo.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243F"/>
          <w:sz w:val="21"/>
          <w:szCs w:val="21"/>
        </w:rPr>
        <w:t xml:space="preserve">Quem submete não aprova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Segregação de função sem exceção de papel — nem o administrador decide sobre uma revisão que ele mesmo enviou. É o que separa um rito real de um carimbo.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243F"/>
          <w:sz w:val="21"/>
          <w:szCs w:val="21"/>
        </w:rPr>
        <w:t xml:space="preserve">Versão publicada não se edita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Mudar um ativo publicado exige abrir uma revisão. A versão vigente continua valendo para quem consome até a nova ser aprovada. Nada é sobrescrito: cada publicação vira uma revisão numerada com hash, e a trilha registra quem fez o quê.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243F"/>
          <w:sz w:val="21"/>
          <w:szCs w:val="21"/>
        </w:rPr>
        <w:t xml:space="preserve">O papel autoriza a ação e o objeto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Quem responde pelo negócio escreve na estrutura DDD; quem responde pela técnica escreve nos ativos técnicos; arquiteto, curador e administrador atravessam os dois. Fora do seu bloco, o catálogo é consulta — e a recusa acontece no servidor, não apenas escondendo o botão.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243F"/>
          <w:sz w:val="21"/>
          <w:szCs w:val="21"/>
        </w:rPr>
        <w:t xml:space="preserve">A máquina traz o observável; a pessoa traz o significado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A descoberta automática lê contratos OpenAPI e inventário Git e propõe cadastros, sempre com prévia antes de gravar e com bandeja de triagem depois. O que a máquina traz nasce como rascunho marcado, e só uma pessoa transforma isso em afirmação oficial.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color w:val="1A56C4"/>
          <w:sz w:val="32"/>
          <w:szCs w:val="32"/>
        </w:rPr>
        <w:t xml:space="preserve">3. Dois usos que mudam o valor do catálogo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As seções anteriores descrevem o catálogo como ele é: um lugar onde a arquitetura existente fica registrada, governada e auditável. Esta seção descreve duas coisas que ele passa a fazer — uma que já pode começar, outra que entra no roadmap.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3.1 A casa que compramos sem a planta</w:t>
      </w:r>
    </w:p>
    <w:tbl>
      <w:tblPr>
        <w:tblW w:type="dxa" w:w="9638"/>
        <w:tblBorders>
          <w:top w:val="none" w:color="FFFFFF" w:sz="0"/>
          <w:left w:val="single" w:color="1A56C4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9F5E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21"/>
                <w:szCs w:val="21"/>
              </w:rPr>
              <w:t xml:space="preserve">A imagem que explica o problema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733"/>
                <w:sz w:val="20"/>
                <w:szCs w:val="20"/>
              </w:rPr>
              <w:t xml:space="preserve">Comprar um software pronto é receber as chaves de uma casa que funciona: a luz acende, a água corre, as portas abrem. Ninguém sabe por onde passa o cano. Enquanto o morador anterior atende o telefone, isso não incomoda. No dia em que o contrato de suporte acabar, incomoda muito.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Internalizar um sistema adquirido não é ler o código.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É conseguir dizer, para cada pedaço dele, que parte do negócio ele sustenta — e, no caminho inverso, que pedaço do sistema responde por cada capacidade que a empresa vendeu ao cliente. Essa é exatamente a ligação que o catálogo existe para registrar, e é por isso que o mapeamento de domínios, subdomínios, contextos delimitados e capacidades deixa de ser exercício de arquitetura e vira ativo de internalização.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243F"/>
          <w:sz w:val="21"/>
          <w:szCs w:val="21"/>
        </w:rPr>
        <w:t xml:space="preserve">A internalização em quatro quadros</w:t>
      </w:r>
    </w:p>
    <w:tbl>
      <w:tblPr>
        <w:tblW w:type="dxa" w:w="9638"/>
        <w:tblBorders>
          <w:top w:val="single" w:color="D9E0EC" w:sz="1"/>
          <w:left w:val="single" w:color="D9E0EC" w:sz="1"/>
          <w:bottom w:val="single" w:color="D9E0EC" w:sz="1"/>
          <w:right w:val="single" w:color="D9E0EC" w:sz="1"/>
          <w:insideH w:val="single" w:color="auto" w:sz="4"/>
          <w:insideV w:val="single" w:color="auto" w:sz="4"/>
        </w:tblBorders>
      </w:tblPr>
      <w:tblGrid>
        <w:gridCol w:w="1900"/>
        <w:gridCol w:w="4900"/>
        <w:gridCol w:w="2838"/>
      </w:tblGrid>
      <w:tr>
        <w:trPr>
          <w:tblHeader/>
        </w:trPr>
        <w:tc>
          <w:tcPr>
            <w:tcW w:type="dxa" w:w="19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Quadro</w:t>
            </w:r>
          </w:p>
        </w:tc>
        <w:tc>
          <w:tcPr>
            <w:tcW w:type="dxa" w:w="49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2838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Instrumento no catálogo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1 · As chaves</w:t>
            </w:r>
          </w:p>
        </w:tc>
        <w:tc>
          <w:tcPr>
            <w:tcW w:type="dxa" w:w="4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Antes de abrir o código, nomear o negócio. Quem entende do produto cadastra os domínios, subdomínios, contextos e capacidades que o sistema adquirido sustenta. É a planta da casa desenhada pelo que ela faz, não pelo que ela tem.</w:t>
            </w:r>
          </w:p>
        </w:tc>
        <w:tc>
          <w:tcPr>
            <w:tcW w:type="dxa" w:w="2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Hierarquia de estrutura DDD, com rito negocial e owner formal por ativo.</w:t>
            </w:r>
          </w:p>
        </w:tc>
      </w:tr>
      <w:tr>
        <w:tc>
          <w:tcPr>
            <w:tcW w:type="dxa" w:w="1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2 · O que os canos revelam</w:t>
            </w:r>
          </w:p>
        </w:tc>
        <w:tc>
          <w:tcPr>
            <w:tcW w:type="dxa" w:w="4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A descoberta automática lê os contratos OpenAPI e o inventário Git do sistema adquirido e traz o observável: aplicações, APIs, endpoints, repositórios. Tudo entra como rascunho marcado como automático — nada vira afirmação oficial sozinho.</w:t>
            </w:r>
          </w:p>
        </w:tc>
        <w:tc>
          <w:tcPr>
            <w:tcW w:type="dxa" w:w="28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Tela de descobertas, com prévia antes de gravar e bandeja de triagem depois.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3 · Ligar cano a cômodo</w:t>
            </w:r>
          </w:p>
        </w:tc>
        <w:tc>
          <w:tcPr>
            <w:tcW w:type="dxa" w:w="4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Cada ativo técnico é ligado à capacidade que implementa. É aqui que a internalização de fato acontece — e onde a lista mais valiosa aparece: o que não se consegue ligar a capacidade nenhuma é código cuja razão de existir ninguém sabe explicar.</w:t>
            </w:r>
          </w:p>
        </w:tc>
        <w:tc>
          <w:tcPr>
            <w:tcW w:type="dxa" w:w="2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Relações tipadas (implementa, expõe, consome) e análise de impacto.</w:t>
            </w:r>
          </w:p>
        </w:tc>
      </w:tr>
      <w:tr>
        <w:tc>
          <w:tcPr>
            <w:tcW w:type="dxa" w:w="1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4 · A casa vira nossa</w:t>
            </w:r>
          </w:p>
        </w:tc>
        <w:tc>
          <w:tcPr>
            <w:tcW w:type="dxa" w:w="4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Cobertura medida, dono formal por ativo, e o grafo respondendo o que quebra quando se mexe em qualquer ponto. O conhecimento deixa de morar na cabeça do fornecedor.</w:t>
            </w:r>
          </w:p>
        </w:tc>
        <w:tc>
          <w:tcPr>
            <w:tcW w:type="dxa" w:w="28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Grafo navegável, painel executivo e revalidação periódica por tipo.</w:t>
            </w:r>
          </w:p>
        </w:tc>
      </w:tr>
    </w:tbl>
    <w:p>
      <w:pPr>
        <w:spacing w:after="15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243F"/>
          <w:sz w:val="21"/>
          <w:szCs w:val="21"/>
        </w:rPr>
        <w:t xml:space="preserve">Como se mede o progresso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Internalização é o tipo de trabalho que se anuncia como concluído sem nunca ter sido medido. Duas medidas evitam isso, e ambas saem de dados que o modelo já guarda: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Cobertura técnica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— percentual dos ativos técnicos do sistema adquirido ligados a pelo menos uma capacidade de negócio. Começa perto de zero e sobe a cada relação registrada.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Cobertura de negócio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— percentual das capacidades do produto com implementação identificada. Capacidade sem implementação é promessa comercial sem lastro técnico conhecido; a ferramenta já destaca essas em vermelho no mapa de negócio.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5B6B83"/>
          <w:sz w:val="21"/>
          <w:szCs w:val="21"/>
        </w:rPr>
        <w:t xml:space="preserve">Ressalva honesta: 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mapear um sistema que a organização não escreveu é arqueologia, e o catálogo não faz isso sozinho. O que ele oferece é o lugar onde o achado fica, o rito que impede o achado de virar boato, e a medida que mostra o quanto já foi escavado.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3.2 A seta que gira: do catálogo para o contrato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Hoje a descoberta automática funciona num sentido só: o contrato ensina o catálogo. A intenção do roadmap é girar essa seta.</w:t>
      </w:r>
    </w:p>
    <w:tbl>
      <w:tblPr>
        <w:tblW w:type="dxa" w:w="9638"/>
        <w:tblBorders>
          <w:top w:val="single" w:color="D9E0EC" w:sz="1"/>
          <w:left w:val="single" w:color="D9E0EC" w:sz="1"/>
          <w:bottom w:val="single" w:color="D9E0EC" w:sz="1"/>
          <w:right w:val="single" w:color="D9E0EC" w:sz="1"/>
          <w:insideH w:val="single" w:color="auto" w:sz="4"/>
          <w:insideV w:val="single" w:color="auto" w:sz="4"/>
        </w:tblBorders>
      </w:tblPr>
      <w:tblGrid>
        <w:gridCol w:w="2100"/>
        <w:gridCol w:w="3769"/>
        <w:gridCol w:w="3769"/>
      </w:tblGrid>
      <w:tr>
        <w:trPr>
          <w:tblHeader/>
        </w:trPr>
        <w:tc>
          <w:tcPr>
            <w:tcW w:type="dxa" w:w="21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/>
            </w:r>
          </w:p>
        </w:tc>
        <w:tc>
          <w:tcPr>
            <w:tcW w:type="dxa" w:w="3769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Hoje — a descoberta</w:t>
            </w:r>
          </w:p>
        </w:tc>
        <w:tc>
          <w:tcPr>
            <w:tcW w:type="dxa" w:w="3769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No roadmap — a geração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Ponto de partida</w:t>
            </w:r>
          </w:p>
        </w:tc>
        <w:tc>
          <w:tcPr>
            <w:tcW w:type="dxa" w:w="37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Um contrato OpenAPI que já existe em algum repositório.</w:t>
            </w:r>
          </w:p>
        </w:tc>
        <w:tc>
          <w:tcPr>
            <w:tcW w:type="dxa" w:w="37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Um contrato desenhado no catálogo, dentro do rito.</w:t>
            </w:r>
          </w:p>
        </w:tc>
      </w:tr>
      <w:tr>
        <w:tc>
          <w:tcPr>
            <w:tcW w:type="dxa" w:w="21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3769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O sistema propõe a API e um endpoint por operação, como rascunho.</w:t>
            </w:r>
          </w:p>
        </w:tc>
        <w:tc>
          <w:tcPr>
            <w:tcW w:type="dxa" w:w="3769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O sistema emite o arquivo OpenAPI a partir do que foi aprovado.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Quem dá a palavra final</w:t>
            </w:r>
          </w:p>
        </w:tc>
        <w:tc>
          <w:tcPr>
            <w:tcW w:type="dxa" w:w="37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Uma pessoa, na triagem, decide o que vira cadastro.</w:t>
            </w:r>
          </w:p>
        </w:tc>
        <w:tc>
          <w:tcPr>
            <w:tcW w:type="dxa" w:w="376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O rito de validação: quem aprova o endpoint aprova o contrato.</w:t>
            </w:r>
          </w:p>
        </w:tc>
      </w:tr>
      <w:tr>
        <w:tc>
          <w:tcPr>
            <w:tcW w:type="dxa" w:w="21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O que o contrato é</w:t>
            </w:r>
          </w:p>
        </w:tc>
        <w:tc>
          <w:tcPr>
            <w:tcW w:type="dxa" w:w="3769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A fonte da verdade, mantida à mão, que envelhece em silêncio.</w:t>
            </w:r>
          </w:p>
        </w:tc>
        <w:tc>
          <w:tcPr>
            <w:tcW w:type="dxa" w:w="3769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Uma consequência do mapeamento — não pode divergir dele.</w:t>
            </w:r>
          </w:p>
        </w:tc>
      </w:tr>
    </w:tbl>
    <w:p>
      <w:pPr>
        <w:spacing w:after="15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tbl>
      <w:tblPr>
        <w:tblW w:type="dxa" w:w="9638"/>
        <w:tblBorders>
          <w:top w:val="none" w:color="FFFFFF" w:sz="0"/>
          <w:left w:val="single" w:color="1A56C4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3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21"/>
                <w:szCs w:val="21"/>
              </w:rPr>
              <w:t xml:space="preserve">Por que isso vale a pena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733"/>
                <w:sz w:val="20"/>
                <w:szCs w:val="20"/>
              </w:rPr>
              <w:t xml:space="preserve">Quando o contrato é gerado, deixa de existir a diferença entre "o que a API faz" e "o que a documentação diz que ela faz" — a segunda passa a ser derivada da primeira. Aprovar um endpoint e aprovar o contrato viram o mesmo ato, registrado na mesma trilha de auditoria, com o mesmo hash.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243F"/>
          <w:sz w:val="21"/>
          <w:szCs w:val="21"/>
        </w:rPr>
        <w:t xml:space="preserve">O que falta para isso ser possível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Vale dizer com clareza, porque é uma lacuna real e tem consequência sobre uma das decisões em aberto. Hoje o catálogo guarda, de uma API, a versão, o estilo e o endereço do contrato; de um endpoint, o método e a rota. É o suficiente para governar o ativo e para responder quem depende de quem. Não é o suficiente para emitir um contrato: falta modelar o contrato por dentro — parâmetros, esquemas de requisição e resposta, códigos de retorno.</w:t>
      </w:r>
    </w:p>
    <w:tbl>
      <w:tblPr>
        <w:tblW w:type="dxa" w:w="9638"/>
        <w:tblBorders>
          <w:top w:val="none" w:color="FFFFFF" w:sz="0"/>
          <w:left w:val="single" w:color="1A56C4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FF3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21"/>
                <w:szCs w:val="21"/>
              </w:rPr>
              <w:t xml:space="preserve">Isto reabre a decisão 2 sob outra luz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733"/>
                <w:sz w:val="20"/>
                <w:szCs w:val="20"/>
              </w:rPr>
              <w:t xml:space="preserve">A recomendação da seção 6 continua valendo — governar até o contrato, inventariar abaixo dele —, mas ganha um complemento: modelar o contrato por dentro, como inventário vinculado ao endpoint, sem ciclo de vida próprio nem validação em etapas. O rito não muda e o acervo não incha com milhares de itens governados; o que muda é quanto detalhe o endpoint carrega consigo.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3.3 Os dois usos se reforçam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Não é coincidência que as duas intenções apareçam juntas. </w:t>
      </w: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Sistema legado adquirido é justamente onde o contrato costuma não existir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— ou existir desatualizado, escrito para uma versão que ninguém mais roda. Mapear o sistema adquirido produz exatamente o insumo de que a geração de contratos precisa; e gerar o contrato entrega, como subproduto, a documentação que o fornecedor nunca entregou. Um uso paga o outro.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color w:val="1A56C4"/>
          <w:sz w:val="32"/>
          <w:szCs w:val="32"/>
        </w:rPr>
        <w:t xml:space="preserve">4. O rito de governança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A tabela abaixo é a política vigente, aplicada pelo sistema — não uma intenção. Cada linha define o caminho de publicação de um tipo de ativo.</w:t>
      </w:r>
    </w:p>
    <w:tbl>
      <w:tblPr>
        <w:tblW w:type="dxa" w:w="9638"/>
        <w:tblBorders>
          <w:top w:val="single" w:color="D9E0EC" w:sz="1"/>
          <w:left w:val="single" w:color="D9E0EC" w:sz="1"/>
          <w:bottom w:val="single" w:color="D9E0EC" w:sz="1"/>
          <w:right w:val="single" w:color="D9E0EC" w:sz="1"/>
          <w:insideH w:val="single" w:color="auto" w:sz="4"/>
          <w:insideV w:val="single" w:color="auto" w:sz="4"/>
        </w:tblBorders>
      </w:tblPr>
      <w:tblGrid>
        <w:gridCol w:w="2000"/>
        <w:gridCol w:w="3138"/>
        <w:gridCol w:w="700"/>
        <w:gridCol w:w="900"/>
        <w:gridCol w:w="1200"/>
        <w:gridCol w:w="1700"/>
      </w:tblGrid>
      <w:tr>
        <w:trPr>
          <w:tblHeader/>
        </w:trPr>
        <w:tc>
          <w:tcPr>
            <w:tcW w:type="dxa" w:w="20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Tipo de ativo</w:t>
            </w:r>
          </w:p>
        </w:tc>
        <w:tc>
          <w:tcPr>
            <w:tcW w:type="dxa" w:w="3138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Etapas de validação</w:t>
            </w:r>
          </w:p>
        </w:tc>
        <w:tc>
          <w:tcPr>
            <w:tcW w:type="dxa" w:w="7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Evid.</w:t>
            </w:r>
          </w:p>
        </w:tc>
        <w:tc>
          <w:tcPr>
            <w:tcW w:type="dxa" w:w="9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Nota mín.</w:t>
            </w:r>
          </w:p>
        </w:tc>
        <w:tc>
          <w:tcPr>
            <w:tcW w:type="dxa" w:w="12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Prazo/etapa</w:t>
            </w:r>
          </w:p>
        </w:tc>
        <w:tc>
          <w:tcPr>
            <w:tcW w:type="dxa" w:w="17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Revalidar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Domínio</w:t>
            </w:r>
          </w:p>
        </w:tc>
        <w:tc>
          <w:tcPr>
            <w:tcW w:type="dxa" w:w="3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negocial › arquitetural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70%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72 h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365 dias</w:t>
            </w:r>
          </w:p>
        </w:tc>
      </w:tr>
      <w:tr>
        <w:tc>
          <w:tcPr>
            <w:tcW w:type="dxa" w:w="20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Subdomínio</w:t>
            </w:r>
          </w:p>
        </w:tc>
        <w:tc>
          <w:tcPr>
            <w:tcW w:type="dxa" w:w="31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negocial</w:t>
            </w:r>
          </w:p>
        </w:tc>
        <w:tc>
          <w:tcPr>
            <w:tcW w:type="dxa" w:w="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65%</w:t>
            </w:r>
          </w:p>
        </w:tc>
        <w:tc>
          <w:tcPr>
            <w:tcW w:type="dxa" w:w="1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72 h</w:t>
            </w:r>
          </w:p>
        </w:tc>
        <w:tc>
          <w:tcPr>
            <w:tcW w:type="dxa" w:w="1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365 dias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Bounded Context</w:t>
            </w:r>
          </w:p>
        </w:tc>
        <w:tc>
          <w:tcPr>
            <w:tcW w:type="dxa" w:w="3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negocial › técnica › arquitetural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75%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48 h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180 dias</w:t>
            </w:r>
          </w:p>
        </w:tc>
      </w:tr>
      <w:tr>
        <w:tc>
          <w:tcPr>
            <w:tcW w:type="dxa" w:w="20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Capacidade de negócio</w:t>
            </w:r>
          </w:p>
        </w:tc>
        <w:tc>
          <w:tcPr>
            <w:tcW w:type="dxa" w:w="31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negocial › técnica</w:t>
            </w:r>
          </w:p>
        </w:tc>
        <w:tc>
          <w:tcPr>
            <w:tcW w:type="dxa" w:w="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70%</w:t>
            </w:r>
          </w:p>
        </w:tc>
        <w:tc>
          <w:tcPr>
            <w:tcW w:type="dxa" w:w="1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48 h</w:t>
            </w:r>
          </w:p>
        </w:tc>
        <w:tc>
          <w:tcPr>
            <w:tcW w:type="dxa" w:w="1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180 dias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Capacidade crítica</w:t>
            </w:r>
          </w:p>
        </w:tc>
        <w:tc>
          <w:tcPr>
            <w:tcW w:type="dxa" w:w="3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negocial › técnica › arquitetural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24 h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90 dias</w:t>
            </w:r>
          </w:p>
        </w:tc>
      </w:tr>
      <w:tr>
        <w:tc>
          <w:tcPr>
            <w:tcW w:type="dxa" w:w="20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Sistema</w:t>
            </w:r>
          </w:p>
        </w:tc>
        <w:tc>
          <w:tcPr>
            <w:tcW w:type="dxa" w:w="31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técnica</w:t>
            </w:r>
          </w:p>
        </w:tc>
        <w:tc>
          <w:tcPr>
            <w:tcW w:type="dxa" w:w="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60%</w:t>
            </w:r>
          </w:p>
        </w:tc>
        <w:tc>
          <w:tcPr>
            <w:tcW w:type="dxa" w:w="1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72 h</w:t>
            </w:r>
          </w:p>
        </w:tc>
        <w:tc>
          <w:tcPr>
            <w:tcW w:type="dxa" w:w="1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365 dias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Aplicação</w:t>
            </w:r>
          </w:p>
        </w:tc>
        <w:tc>
          <w:tcPr>
            <w:tcW w:type="dxa" w:w="3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técnica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65%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48 h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180 dias</w:t>
            </w:r>
          </w:p>
        </w:tc>
      </w:tr>
      <w:tr>
        <w:tc>
          <w:tcPr>
            <w:tcW w:type="dxa" w:w="20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31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técnica</w:t>
            </w:r>
          </w:p>
        </w:tc>
        <w:tc>
          <w:tcPr>
            <w:tcW w:type="dxa" w:w="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60%</w:t>
            </w:r>
          </w:p>
        </w:tc>
        <w:tc>
          <w:tcPr>
            <w:tcW w:type="dxa" w:w="1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72 h</w:t>
            </w:r>
          </w:p>
        </w:tc>
        <w:tc>
          <w:tcPr>
            <w:tcW w:type="dxa" w:w="1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180 dias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API</w:t>
            </w:r>
          </w:p>
        </w:tc>
        <w:tc>
          <w:tcPr>
            <w:tcW w:type="dxa" w:w="3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técnica › arquitetural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70%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48 h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120 dias</w:t>
            </w:r>
          </w:p>
        </w:tc>
      </w:tr>
      <w:tr>
        <w:tc>
          <w:tcPr>
            <w:tcW w:type="dxa" w:w="20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API crítica</w:t>
            </w:r>
          </w:p>
        </w:tc>
        <w:tc>
          <w:tcPr>
            <w:tcW w:type="dxa" w:w="31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negocial › técnica › arquitetural</w:t>
            </w:r>
          </w:p>
        </w:tc>
        <w:tc>
          <w:tcPr>
            <w:tcW w:type="dxa" w:w="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24 h</w:t>
            </w:r>
          </w:p>
        </w:tc>
        <w:tc>
          <w:tcPr>
            <w:tcW w:type="dxa" w:w="1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90 dias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Endpoint</w:t>
            </w:r>
          </w:p>
        </w:tc>
        <w:tc>
          <w:tcPr>
            <w:tcW w:type="dxa" w:w="3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técnica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55%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72 h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180 dias</w:t>
            </w:r>
          </w:p>
        </w:tc>
      </w:tr>
      <w:tr>
        <w:tc>
          <w:tcPr>
            <w:tcW w:type="dxa" w:w="20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Base de dados</w:t>
            </w:r>
          </w:p>
        </w:tc>
        <w:tc>
          <w:tcPr>
            <w:tcW w:type="dxa" w:w="31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técnica</w:t>
            </w:r>
          </w:p>
        </w:tc>
        <w:tc>
          <w:tcPr>
            <w:tcW w:type="dxa" w:w="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60%</w:t>
            </w:r>
          </w:p>
        </w:tc>
        <w:tc>
          <w:tcPr>
            <w:tcW w:type="dxa" w:w="1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72 h</w:t>
            </w:r>
          </w:p>
        </w:tc>
        <w:tc>
          <w:tcPr>
            <w:tcW w:type="dxa" w:w="1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365 dias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Objeto de dado</w:t>
            </w:r>
          </w:p>
        </w:tc>
        <w:tc>
          <w:tcPr>
            <w:tcW w:type="dxa" w:w="3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técnica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55%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72 h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365 dias</w:t>
            </w:r>
          </w:p>
        </w:tc>
      </w:tr>
      <w:tr>
        <w:tc>
          <w:tcPr>
            <w:tcW w:type="dxa" w:w="20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Evento de integração</w:t>
            </w:r>
          </w:p>
        </w:tc>
        <w:tc>
          <w:tcPr>
            <w:tcW w:type="dxa" w:w="31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técnica › arquitetural</w:t>
            </w:r>
          </w:p>
        </w:tc>
        <w:tc>
          <w:tcPr>
            <w:tcW w:type="dxa" w:w="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70%</w:t>
            </w:r>
          </w:p>
        </w:tc>
        <w:tc>
          <w:tcPr>
            <w:tcW w:type="dxa" w:w="1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48 h</w:t>
            </w:r>
          </w:p>
        </w:tc>
        <w:tc>
          <w:tcPr>
            <w:tcW w:type="dxa" w:w="1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120 dias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A política é dado, não código.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Ajustar um prazo ou exigir mais uma evidência é mudar uma linha de configuração, sem alterar o sistema — e vale imediatamente para todo o acervo daquele tipo.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Quem faz o quê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Seis papéis, concedidos com alcance global, por domínio ou por squad.</w:t>
      </w:r>
    </w:p>
    <w:tbl>
      <w:tblPr>
        <w:tblW w:type="dxa" w:w="9638"/>
        <w:tblBorders>
          <w:top w:val="single" w:color="D9E0EC" w:sz="1"/>
          <w:left w:val="single" w:color="D9E0EC" w:sz="1"/>
          <w:bottom w:val="single" w:color="D9E0EC" w:sz="1"/>
          <w:right w:val="single" w:color="D9E0EC" w:sz="1"/>
          <w:insideH w:val="single" w:color="auto" w:sz="4"/>
          <w:insideV w:val="single" w:color="auto" w:sz="4"/>
        </w:tblBorders>
      </w:tblPr>
      <w:tblGrid>
        <w:gridCol w:w="2738"/>
        <w:gridCol w:w="1150"/>
        <w:gridCol w:w="1150"/>
        <w:gridCol w:w="1150"/>
        <w:gridCol w:w="1150"/>
        <w:gridCol w:w="1150"/>
        <w:gridCol w:w="1150"/>
      </w:tblGrid>
      <w:tr>
        <w:trPr>
          <w:tblHeader/>
        </w:trPr>
        <w:tc>
          <w:tcPr>
            <w:tcW w:type="dxa" w:w="2738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Ação</w:t>
            </w:r>
          </w:p>
        </w:tc>
        <w:tc>
          <w:tcPr>
            <w:tcW w:type="dxa" w:w="115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Negócio</w:t>
            </w:r>
          </w:p>
        </w:tc>
        <w:tc>
          <w:tcPr>
            <w:tcW w:type="dxa" w:w="115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Tech lead</w:t>
            </w:r>
          </w:p>
        </w:tc>
        <w:tc>
          <w:tcPr>
            <w:tcW w:type="dxa" w:w="115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Arquiteto</w:t>
            </w:r>
          </w:p>
        </w:tc>
        <w:tc>
          <w:tcPr>
            <w:tcW w:type="dxa" w:w="115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Curador</w:t>
            </w:r>
          </w:p>
        </w:tc>
        <w:tc>
          <w:tcPr>
            <w:tcW w:type="dxa" w:w="115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Admin</w:t>
            </w:r>
          </w:p>
        </w:tc>
        <w:tc>
          <w:tcPr>
            <w:tcW w:type="dxa" w:w="115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Consulta</w:t>
            </w:r>
          </w:p>
        </w:tc>
      </w:tr>
      <w:tr>
        <w:tc>
          <w:tcPr>
            <w:tcW w:type="dxa" w:w="27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Cadastrar e editar ativos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Registrar relações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Enviar para validação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Decidir validação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Importar e triar descobertas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Descontinuar ativo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Conceder papéis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sim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Duas leituras importam aqui. O curador prepara o cadastro mas não decide validação: se a mesma pessoa preenchesse e aprovasse, o rito seria decorativo. E quem decide uma etapa precisa do papel daquela etapa — negocial exige negócio, técnica exige tech lead, arquitetural exige arquiteto —, ou ser o responsável formal pelo ativo.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color w:val="1A56C4"/>
          <w:sz w:val="32"/>
          <w:szCs w:val="32"/>
        </w:rPr>
        <w:t xml:space="preserve">5. Estado atual da entrega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A construção seguiu em ondas, cada uma fechando com testes automatizados antes da seguinte começar.</w:t>
      </w:r>
    </w:p>
    <w:tbl>
      <w:tblPr>
        <w:tblW w:type="dxa" w:w="9638"/>
        <w:tblBorders>
          <w:top w:val="single" w:color="D9E0EC" w:sz="1"/>
          <w:left w:val="single" w:color="D9E0EC" w:sz="1"/>
          <w:bottom w:val="single" w:color="D9E0EC" w:sz="1"/>
          <w:right w:val="single" w:color="D9E0EC" w:sz="1"/>
          <w:insideH w:val="single" w:color="auto" w:sz="4"/>
          <w:insideV w:val="single" w:color="auto" w:sz="4"/>
        </w:tblBorders>
      </w:tblPr>
      <w:tblGrid>
        <w:gridCol w:w="1900"/>
        <w:gridCol w:w="5900"/>
        <w:gridCol w:w="1838"/>
      </w:tblGrid>
      <w:tr>
        <w:trPr>
          <w:tblHeader/>
        </w:trPr>
        <w:tc>
          <w:tcPr>
            <w:tcW w:type="dxa" w:w="19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Etapa</w:t>
            </w:r>
          </w:p>
        </w:tc>
        <w:tc>
          <w:tcPr>
            <w:tcW w:type="dxa" w:w="59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O que entregou</w:t>
            </w:r>
          </w:p>
        </w:tc>
        <w:tc>
          <w:tcPr>
            <w:tcW w:type="dxa" w:w="1838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Onda 1 — Orientação</w:t>
            </w:r>
          </w:p>
        </w:tc>
        <w:tc>
          <w:tcPr>
            <w:tcW w:type="dxa" w:w="5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Trilha hierárquica, destaque de seção, busca global com atalho, filtros que voltam na visita seguinte, indicadores clicáveis, wizard que não perde o que foi digitado.</w:t>
            </w:r>
          </w:p>
        </w:tc>
        <w:tc>
          <w:tcPr>
            <w:tcW w:type="dxa" w:w="1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Entregue</w:t>
            </w:r>
          </w:p>
        </w:tc>
      </w:tr>
      <w:tr>
        <w:tc>
          <w:tcPr>
            <w:tcW w:type="dxa" w:w="1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Onda 2 — Fluxo</w:t>
            </w:r>
          </w:p>
        </w:tc>
        <w:tc>
          <w:tcPr>
            <w:tcW w:type="dxa" w:w="5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Visão 360° em abas, checklist vivo até a publicação, painel de decisão com o que mudou na revisão, mesa de trabalho pessoal, mecanismo da relação.</w:t>
            </w:r>
          </w:p>
        </w:tc>
        <w:tc>
          <w:tcPr>
            <w:tcW w:type="dxa" w:w="18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Entregue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Onda 3 — Escala</w:t>
            </w:r>
          </w:p>
        </w:tc>
        <w:tc>
          <w:tcPr>
            <w:tcW w:type="dxa" w:w="5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Tela de descobertas (OpenAPI e inventário Git) com prévia e bandeja de triagem, relações em lote, paginação e ordenação, mapas das duas hierarquias, análise de impacto.</w:t>
            </w:r>
          </w:p>
        </w:tc>
        <w:tc>
          <w:tcPr>
            <w:tcW w:type="dxa" w:w="1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Entregue</w:t>
            </w:r>
          </w:p>
        </w:tc>
      </w:tr>
      <w:tr>
        <w:tc>
          <w:tcPr>
            <w:tcW w:type="dxa" w:w="1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Fase 4 — Governança real</w:t>
            </w:r>
          </w:p>
        </w:tc>
        <w:tc>
          <w:tcPr>
            <w:tcW w:type="dxa" w:w="5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Identidade e papéis com escopo, autorização na rota, segregação de função, notificações por evento e prazo, grafo navegável de dependências.</w:t>
            </w:r>
          </w:p>
        </w:tc>
        <w:tc>
          <w:tcPr>
            <w:tcW w:type="dxa" w:w="18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Entregue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Rito de acesso</w:t>
            </w:r>
          </w:p>
        </w:tc>
        <w:tc>
          <w:tcPr>
            <w:tcW w:type="dxa" w:w="5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Cadastro com pleito de papel, concessão por curador ou administrador com resposta ao solicitante, e escrita restrita ao bloco de tipos do papel.</w:t>
            </w:r>
          </w:p>
        </w:tc>
        <w:tc>
          <w:tcPr>
            <w:tcW w:type="dxa" w:w="1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Entregue</w:t>
            </w:r>
          </w:p>
        </w:tc>
      </w:tr>
      <w:tr>
        <w:tc>
          <w:tcPr>
            <w:tcW w:type="dxa" w:w="1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Cartilha de uso</w:t>
            </w:r>
          </w:p>
        </w:tc>
        <w:tc>
          <w:tcPr>
            <w:tcW w:type="dxa" w:w="5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Guia por perfil dentro da ferramenta, com a matriz de permissões lida do próprio código — não pode descrever regra que o sistema já não aplica.</w:t>
            </w:r>
          </w:p>
        </w:tc>
        <w:tc>
          <w:tcPr>
            <w:tcW w:type="dxa" w:w="18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Entregue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F5.1 — Integrações</w:t>
            </w:r>
          </w:p>
        </w:tc>
        <w:tc>
          <w:tcPr>
            <w:tcW w:type="dxa" w:w="5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Sincronização com CMDB, esteira de CI-CD e backlog de produto.</w:t>
            </w:r>
          </w:p>
        </w:tc>
        <w:tc>
          <w:tcPr>
            <w:tcW w:type="dxa" w:w="18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Bloqueada (decisões 2 e 3)</w:t>
            </w:r>
          </w:p>
        </w:tc>
      </w:tr>
      <w:tr>
        <w:tc>
          <w:tcPr>
            <w:tcW w:type="dxa" w:w="1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F5.2 — Camada analítica</w:t>
            </w:r>
          </w:p>
        </w:tc>
        <w:tc>
          <w:tcPr>
            <w:tcW w:type="dxa" w:w="59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Modelo estrela com dimensão histórica reconstruída das revisões imutáveis.</w:t>
            </w:r>
          </w:p>
        </w:tc>
        <w:tc>
          <w:tcPr>
            <w:tcW w:type="dxa" w:w="18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Bloqueada (decisão 2)</w:t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O que sustenta a afirmação de que está entregue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Números do código na branch principal, em setembro de 2026:</w:t>
      </w:r>
    </w:p>
    <w:tbl>
      <w:tblPr>
        <w:tblW w:type="dxa" w:w="9638"/>
        <w:tblBorders>
          <w:top w:val="single" w:color="D9E0EC" w:sz="1"/>
          <w:left w:val="single" w:color="D9E0EC" w:sz="1"/>
          <w:bottom w:val="single" w:color="D9E0EC" w:sz="1"/>
          <w:right w:val="single" w:color="D9E0EC" w:sz="1"/>
          <w:insideH w:val="single" w:color="auto" w:sz="4"/>
          <w:insideV w:val="single" w:color="auto" w:sz="4"/>
        </w:tblBorders>
      </w:tblPr>
      <w:tblGrid>
        <w:gridCol w:w="2700"/>
        <w:gridCol w:w="1700"/>
        <w:gridCol w:w="5238"/>
      </w:tblGrid>
      <w:tr>
        <w:trPr>
          <w:tblHeader/>
        </w:trPr>
        <w:tc>
          <w:tcPr>
            <w:tcW w:type="dxa" w:w="27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7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Valor</w:t>
            </w:r>
          </w:p>
        </w:tc>
        <w:tc>
          <w:tcPr>
            <w:tcW w:type="dxa" w:w="5238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Por que importa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Testes automatizados verdes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153</w:t>
            </w:r>
          </w:p>
        </w:tc>
        <w:tc>
          <w:tcPr>
            <w:tcW w:type="dxa" w:w="5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Regras de governança, autorização e jornada são verificadas a cada alteração.</w:t>
            </w:r>
          </w:p>
        </w:tc>
      </w:tr>
      <w:tr>
        <w:tc>
          <w:tcPr>
            <w:tcW w:type="dxa" w:w="2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Telas</w:t>
            </w:r>
          </w:p>
        </w:tc>
        <w:tc>
          <w:tcPr>
            <w:tcW w:type="dxa" w:w="1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33 rotas</w:t>
            </w:r>
          </w:p>
        </w:tc>
        <w:tc>
          <w:tcPr>
            <w:tcW w:type="dxa" w:w="52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O ciclo completo tem interface — inclusive a descoberta automática, que antes só existia em código.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Interface programática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13 endpoints JSON</w:t>
            </w:r>
          </w:p>
        </w:tc>
        <w:tc>
          <w:tcPr>
            <w:tcW w:type="dxa" w:w="5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Integração e camada analítica consomem as mesmas regras de negócio.</w:t>
            </w:r>
          </w:p>
        </w:tc>
      </w:tr>
      <w:tr>
        <w:tc>
          <w:tcPr>
            <w:tcW w:type="dxa" w:w="2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Tabelas no modelo</w:t>
            </w:r>
          </w:p>
        </w:tc>
        <w:tc>
          <w:tcPr>
            <w:tcW w:type="dxa" w:w="17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16 + 2 visões</w:t>
            </w:r>
          </w:p>
        </w:tc>
        <w:tc>
          <w:tcPr>
            <w:tcW w:type="dxa" w:w="52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Modelo enxuto: 12 tipos de ativo sem uma tabela por tipo.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Dependências externas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1 (Flask)</w:t>
            </w:r>
          </w:p>
        </w:tc>
        <w:tc>
          <w:tcPr>
            <w:tcW w:type="dxa" w:w="52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Superfície de manutenção e de risco de suprimento mínima.</w:t>
            </w:r>
          </w:p>
        </w:tc>
      </w:tr>
    </w:tbl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color w:val="1A56C4"/>
          <w:sz w:val="32"/>
          <w:szCs w:val="32"/>
        </w:rPr>
        <w:t xml:space="preserve">6. As três decisões em aberto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Cada decisão trava capacidades específicas. O mapa abaixo evita a discussão de que "falta priorizar": o que falta é decidir.</w:t>
      </w:r>
    </w:p>
    <w:tbl>
      <w:tblPr>
        <w:tblW w:type="dxa" w:w="9638"/>
        <w:tblBorders>
          <w:top w:val="single" w:color="D9E0EC" w:sz="1"/>
          <w:left w:val="single" w:color="D9E0EC" w:sz="1"/>
          <w:bottom w:val="single" w:color="D9E0EC" w:sz="1"/>
          <w:right w:val="single" w:color="D9E0EC" w:sz="1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Decisão</w:t>
            </w:r>
          </w:p>
        </w:tc>
        <w:tc>
          <w:tcPr>
            <w:tcW w:type="dxa" w:w="6638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O que ela trava hoje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9"/>
                <w:szCs w:val="19"/>
              </w:rPr>
              <w:t xml:space="preserve">1 · Fonte de identidade de pessoas</w:t>
            </w:r>
          </w:p>
        </w:tc>
        <w:tc>
          <w:tcPr>
            <w:tcW w:type="dxa" w:w="66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9"/>
                <w:szCs w:val="19"/>
              </w:rPr>
              <w:t xml:space="preserve">Autenticação corporativa (SSO), canais de e-mail e Teams nas notificações, e auditoria assinada com identidade que a empresa reconhece.</w:t>
            </w:r>
          </w:p>
        </w:tc>
      </w:tr>
      <w:tr>
        <w:tc>
          <w:tcPr>
            <w:tcW w:type="dxa" w:w="30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9"/>
                <w:szCs w:val="19"/>
              </w:rPr>
              <w:t xml:space="preserve">2 · Granularidade mínima</w:t>
            </w:r>
          </w:p>
        </w:tc>
        <w:tc>
          <w:tcPr>
            <w:tcW w:type="dxa" w:w="66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9"/>
                <w:szCs w:val="19"/>
              </w:rPr>
              <w:t xml:space="preserve">Volume e legibilidade do grafo de dependências, o que sincronizar nas integrações, e o grão do fato na camada analítica.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9"/>
                <w:szCs w:val="19"/>
              </w:rPr>
              <w:t xml:space="preserve">3 · Sistema de registro operacional</w:t>
            </w:r>
          </w:p>
        </w:tc>
        <w:tc>
          <w:tcPr>
            <w:tcW w:type="dxa" w:w="66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9"/>
                <w:szCs w:val="19"/>
              </w:rPr>
              <w:t xml:space="preserve">Integrações inteiras: sem definir quem manda em cada campo, sincronizar é escolher em silêncio quem sobrescreve quem.</w:t>
            </w:r>
          </w:p>
        </w:tc>
      </w:tr>
    </w:tbl>
    <w:p>
      <w:pPr>
        <w:spacing w:after="18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Decisão 1 — Fonte de identidade de pessoas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Recomendação: SSO corporativo (OIDC ou SAML).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Resolve autenticação e identidade na mesma decisão. As alternativas — sincronizar do diretório sem SSO, ou manter o cadastro local de hoje — deixam a trilha de auditoria assinando nomes que a organização não consegue verificar, que é exatamente o valor que o catálogo promete entregar.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B83"/>
          <w:sz w:val="21"/>
          <w:szCs w:val="21"/>
        </w:rPr>
        <w:t xml:space="preserve">Impacto se adiada: 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baixo no curto prazo e alto no médio. 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O controle de papéis já funciona sem SSO, e o modelo de dados já reserva os campos que receberão a identidade externa — a troca será de onde a pessoa vem, sem mexer em papel, escopo ou regra. O que fica parado é o aviso por e-mail e o valor probatório da auditoria.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Decisão 2 — Granularidade mínima do catálogo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Recomendação: governar até o contrato, inventariar abaixo dele.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Endpoint, evento de integração e objeto de dado seguem sendo o piso do rito de governança. Tabela, coluna e job entram como inventário vinculado, sem ciclo de vida próprio nem validação em etapas. Preserva a governança proporcional e evita o catálogo que ninguém lê porque tem cem mil linhas.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B83"/>
          <w:sz w:val="21"/>
          <w:szCs w:val="21"/>
        </w:rPr>
        <w:t xml:space="preserve">Complemento vindo do roadmap de contratos (seção 3.2): 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governar até o contrato continua certo, mas o endpoint precisa carregar o contrato por dentro — parâmetros, esquemas e códigos de retorno — como inventário vinculado, sem ciclo de vida próprio. Sem esse detalhe, gerar Swagger a partir do mapeamento é impossível; com ele, e mantendo o rito no endpoint, o acervo governado não cresce.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B83"/>
          <w:sz w:val="21"/>
          <w:szCs w:val="21"/>
        </w:rPr>
        <w:t xml:space="preserve">Impacto se adiada: 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alto. 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É a decisão que define o tamanho do acervo, e portanto o custo de manter o catálogo vivo. Adiá-la significa começar a sincronizar sem saber onde parar — e deixa a geração de contratos sem ponto de partida.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Decisão 3 — Sistema de registro operacional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F2733"/>
          <w:sz w:val="21"/>
          <w:szCs w:val="21"/>
        </w:rPr>
        <w:t xml:space="preserve">Recomendação: propriedade por campo, não por registro.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 O CMDB é dono da existência técnica; o catálogo é dono da semântica, do ownership, da criticidade e da ligação com a capacidade de negócio; a esteira de CI-CD é dona do estado de entrega. Divergência em campo alheio não é sobrescrita: vira um conflito registrado, para uma pessoa resolver.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B83"/>
          <w:sz w:val="21"/>
          <w:szCs w:val="21"/>
        </w:rPr>
        <w:t xml:space="preserve">Impacto se adiada: 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alto, e concentrado nas integrações. </w:t>
      </w:r>
      <w:r>
        <w:rPr>
          <w:rFonts w:ascii="Calibri" w:cs="Calibri" w:eastAsia="Calibri" w:hAnsi="Calibri"/>
          <w:color w:val="1F2733"/>
          <w:sz w:val="21"/>
          <w:szCs w:val="21"/>
        </w:rPr>
        <w:t xml:space="preserve">Sem essa regra, a primeira sincronização que escreve de volta pode apagar a curadoria feita à mão, e a confiança no catálogo não se recupera depois disso.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color w:val="1A56C4"/>
          <w:sz w:val="32"/>
          <w:szCs w:val="32"/>
        </w:rPr>
        <w:t xml:space="preserve">7. Sequência proposta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A ordem abaixo respeita as dependências reais. As duas primeiras linhas já foram executadas.</w:t>
      </w:r>
    </w:p>
    <w:tbl>
      <w:tblPr>
        <w:tblW w:type="dxa" w:w="9638"/>
        <w:tblBorders>
          <w:top w:val="single" w:color="D9E0EC" w:sz="1"/>
          <w:left w:val="single" w:color="D9E0EC" w:sz="1"/>
          <w:bottom w:val="single" w:color="D9E0EC" w:sz="1"/>
          <w:right w:val="single" w:color="D9E0EC" w:sz="1"/>
          <w:insideH w:val="single" w:color="auto" w:sz="4"/>
          <w:insideV w:val="single" w:color="auto" w:sz="4"/>
        </w:tblBorders>
      </w:tblPr>
      <w:tblGrid>
        <w:gridCol w:w="800"/>
        <w:gridCol w:w="4200"/>
        <w:gridCol w:w="2200"/>
        <w:gridCol w:w="2438"/>
      </w:tblGrid>
      <w:tr>
        <w:trPr>
          <w:tblHeader/>
        </w:trPr>
        <w:tc>
          <w:tcPr>
            <w:tcW w:type="dxa" w:w="8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Ordem</w:t>
            </w:r>
          </w:p>
        </w:tc>
        <w:tc>
          <w:tcPr>
            <w:tcW w:type="dxa" w:w="42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2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2438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Degrau zero e usabilidade (ondas 1 a 4)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Nada</w:t>
            </w:r>
          </w:p>
        </w:tc>
        <w:tc>
          <w:tcPr>
            <w:tcW w:type="dxa" w:w="24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Concluída</w:t>
            </w:r>
          </w:p>
        </w:tc>
      </w:tr>
      <w:tr>
        <w:tc>
          <w:tcPr>
            <w:tcW w:type="dxa" w:w="8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Identidade, papéis, notificações e grafo</w:t>
            </w:r>
          </w:p>
        </w:tc>
        <w:tc>
          <w:tcPr>
            <w:tcW w:type="dxa" w:w="2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Nada</w:t>
            </w:r>
          </w:p>
        </w:tc>
        <w:tc>
          <w:tcPr>
            <w:tcW w:type="dxa" w:w="24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Concluída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Rito de acesso e escrita por bloco de tipos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Nada</w:t>
            </w:r>
          </w:p>
        </w:tc>
        <w:tc>
          <w:tcPr>
            <w:tcW w:type="dxa" w:w="24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Concluída</w:t>
            </w:r>
          </w:p>
        </w:tc>
      </w:tr>
      <w:tr>
        <w:tc>
          <w:tcPr>
            <w:tcW w:type="dxa" w:w="8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Internalização do sistema legado adquirido</w:t>
            </w:r>
          </w:p>
        </w:tc>
        <w:tc>
          <w:tcPr>
            <w:tcW w:type="dxa" w:w="2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Nada — só equipe</w:t>
            </w:r>
          </w:p>
        </w:tc>
        <w:tc>
          <w:tcPr>
            <w:tcW w:type="dxa" w:w="24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Pode começar já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SSO e canais de e-mail e Teams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Decisão 1</w:t>
            </w:r>
          </w:p>
        </w:tc>
        <w:tc>
          <w:tcPr>
            <w:tcW w:type="dxa" w:w="24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Aguardando decisão</w:t>
            </w:r>
          </w:p>
        </w:tc>
      </w:tr>
      <w:tr>
        <w:tc>
          <w:tcPr>
            <w:tcW w:type="dxa" w:w="8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Integrações com CMDB, CI-CD e backlog</w:t>
            </w:r>
          </w:p>
        </w:tc>
        <w:tc>
          <w:tcPr>
            <w:tcW w:type="dxa" w:w="2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Decisões 2 e 3</w:t>
            </w:r>
          </w:p>
        </w:tc>
        <w:tc>
          <w:tcPr>
            <w:tcW w:type="dxa" w:w="24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Aguardando decisão</w:t>
            </w:r>
          </w:p>
        </w:tc>
      </w:tr>
      <w:tr>
        <w:tc>
          <w:tcPr>
            <w:tcW w:type="dxa" w:w="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Camada analítica (modelo estrela)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Decisão 2</w:t>
            </w:r>
          </w:p>
        </w:tc>
        <w:tc>
          <w:tcPr>
            <w:tcW w:type="dxa" w:w="24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Aguardando decisão</w:t>
            </w:r>
          </w:p>
        </w:tc>
      </w:tr>
      <w:tr>
        <w:tc>
          <w:tcPr>
            <w:tcW w:type="dxa" w:w="8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Geração de contratos OpenAPI pelo catálogo</w:t>
            </w:r>
          </w:p>
        </w:tc>
        <w:tc>
          <w:tcPr>
            <w:tcW w:type="dxa" w:w="22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Decisão 2, com o detalhe do contrato</w:t>
            </w:r>
          </w:p>
        </w:tc>
        <w:tc>
          <w:tcPr>
            <w:tcW w:type="dxa" w:w="24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color w:val="1F2733"/>
                <w:sz w:val="19"/>
                <w:szCs w:val="19"/>
              </w:rPr>
              <w:t xml:space="preserve">Roadmap</w:t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/>
      </w:r>
    </w:p>
    <w:tbl>
      <w:tblPr>
        <w:tblW w:type="dxa" w:w="9638"/>
        <w:tblBorders>
          <w:top w:val="none" w:color="FFFFFF" w:sz="0"/>
          <w:left w:val="single" w:color="1A56C4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3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21"/>
                <w:szCs w:val="21"/>
              </w:rPr>
              <w:t xml:space="preserve">Proposta de encaminhamento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F2733"/>
                <w:sz w:val="20"/>
                <w:szCs w:val="20"/>
              </w:rPr>
              <w:t xml:space="preserve">Começar a internalização do sistema adquirido imediatamente — ela não depende de decisão nenhuma, e é o uso com retorno mais direto do que já está construído. Em paralelo, tomar a decisão 2 primeiro entre as três: ela trava agora três capacidades (grafo em escala, integrações, camada analítica) e uma quarta no roadmap (geração de contratos), afeta mais que as outras o custo de operar o catálogo, e é a que menos depende de terceiros para ser decidida — o SSO envolve a área de identidade, e o sistema de registro envolve o dono do CMDB.</w:t>
            </w:r>
          </w:p>
        </w:tc>
      </w:tr>
    </w:tbl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color w:val="1A56C4"/>
          <w:sz w:val="32"/>
          <w:szCs w:val="32"/>
        </w:rPr>
        <w:t xml:space="preserve">8. Riscos</w:t>
      </w:r>
    </w:p>
    <w:tbl>
      <w:tblPr>
        <w:tblW w:type="dxa" w:w="9638"/>
        <w:tblBorders>
          <w:top w:val="single" w:color="D9E0EC" w:sz="1"/>
          <w:left w:val="single" w:color="D9E0EC" w:sz="1"/>
          <w:bottom w:val="single" w:color="D9E0EC" w:sz="1"/>
          <w:right w:val="single" w:color="D9E0EC" w:sz="1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Risco</w:t>
            </w:r>
          </w:p>
        </w:tc>
        <w:tc>
          <w:tcPr>
            <w:tcW w:type="dxa" w:w="3300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Por que é real</w:t>
            </w:r>
          </w:p>
        </w:tc>
        <w:tc>
          <w:tcPr>
            <w:tcW w:type="dxa" w:w="4038"/>
            <w:shd w:fill="EE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4243F"/>
                <w:sz w:val="18"/>
                <w:szCs w:val="18"/>
              </w:rPr>
              <w:t xml:space="preserve">Mitigação adotada ou proposta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Catálogo que envelhece e vira ficção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É o destino de quase todo inventário corporativo: ninguém é cobrado por mantê-lo.</w:t>
            </w:r>
          </w:p>
        </w:tc>
        <w:tc>
          <w:tcPr>
            <w:tcW w:type="dxa" w:w="40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Cada tipo tem periodicidade de revalidação e nota mínima de qualidade; o painel executivo mostra o que está sem dono, incompleto ou vencido, e o papel de curador existe para caçar isso.</w:t>
            </w:r>
          </w:p>
        </w:tc>
      </w:tr>
      <w:tr>
        <w:tc>
          <w:tcPr>
            <w:tcW w:type="dxa" w:w="23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Rito virar carimbo</w:t>
            </w:r>
          </w:p>
        </w:tc>
        <w:tc>
          <w:tcPr>
            <w:tcW w:type="dxa" w:w="33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Quando aprovar é barato, aprova-se tudo.</w:t>
            </w:r>
          </w:p>
        </w:tc>
        <w:tc>
          <w:tcPr>
            <w:tcW w:type="dxa" w:w="40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Segregação de função sem exceção, papel exigido por etapa, parecer obrigatório, e prazo por etapa com aviso automático.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Adoção baixa por excesso de formulário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Cadastro manual de ativo técnico não escala.</w:t>
            </w:r>
          </w:p>
        </w:tc>
        <w:tc>
          <w:tcPr>
            <w:tcW w:type="dxa" w:w="40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Descoberta automática de contratos e repositórios, relações em lote, e o rito mais leve para os tipos de menor risco.</w:t>
            </w:r>
          </w:p>
        </w:tc>
      </w:tr>
      <w:tr>
        <w:tc>
          <w:tcPr>
            <w:tcW w:type="dxa" w:w="23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Escolha de banco não acompanhar a escala</w:t>
            </w:r>
          </w:p>
        </w:tc>
        <w:tc>
          <w:tcPr>
            <w:tcW w:type="dxa" w:w="33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O piloto usa SQLite, adequado a uso leve e concorrência baixa.</w:t>
            </w:r>
          </w:p>
        </w:tc>
        <w:tc>
          <w:tcPr>
            <w:tcW w:type="dxa" w:w="40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Migração para PostgreSQL já mapeada, com gatilho definido: uso simultâneo real ou a primeira integração agendada que escreve. O custo está concentrado em poucos trechos de SQL específico.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Notificação que não chega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O aviso depende de dois comandos agendados no servidor.</w:t>
            </w:r>
          </w:p>
        </w:tc>
        <w:tc>
          <w:tcPr>
            <w:tcW w:type="dxa" w:w="40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Fila de envio visível: notificação não despachada aparece marcada como tal. Requer que a operação agende os comandos — item de implantação, não de desenvolvimento.</w:t>
            </w:r>
          </w:p>
        </w:tc>
      </w:tr>
      <w:tr>
        <w:tc>
          <w:tcPr>
            <w:tcW w:type="dxa" w:w="23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color w:val="1F2733"/>
                <w:sz w:val="18"/>
                <w:szCs w:val="18"/>
              </w:rPr>
              <w:t xml:space="preserve">Internalização do adquirido parar no meio</w:t>
            </w:r>
          </w:p>
        </w:tc>
        <w:tc>
          <w:tcPr>
            <w:tcW w:type="dxa" w:w="3300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Mapear sistema de terceiro cansa: os primeiros 60% saem da descoberta automática, e os últimos 40% exigem conversa e leitura de código.</w:t>
            </w:r>
          </w:p>
        </w:tc>
        <w:tc>
          <w:tcPr>
            <w:tcW w:type="dxa" w:w="4038"/>
            <w:shd w:fill="F8FAF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733"/>
                <w:sz w:val="18"/>
                <w:szCs w:val="18"/>
              </w:rPr>
              <w:t xml:space="preserve">As duas coberturas da seção 3.1 tornam o avanço visível e o abandono explícito. Recomenda-se meta por trimestre e um owner formal da internalização, com o papel de curador no domínio do produto adquirido.</w:t>
            </w:r>
          </w:p>
        </w:tc>
      </w:tr>
    </w:tbl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color w:val="1A56C4"/>
          <w:sz w:val="32"/>
          <w:szCs w:val="32"/>
        </w:rPr>
        <w:t xml:space="preserve">9. Anexo técnico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Resumo para o time de implementação. O detalhamento completo está no repositório, em README.md, docs/MODELO.md e docs/CARTILHA.md.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Arquitetura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Aplicação Flask com renderização no servidor e SQLite, sem framework de front-end e sem mapeamento objeto-relacional — SQL direto.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Uma única dependência externa declarada. O grafo de dependências é desenhado em SVG próprio, sem biblioteca.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Módulos por responsabilidade: governança (políticas, pré-publicação, ciclo de vida), qualidade (nota do cadastro), serviços (casos de uso e consultas), acesso (identidade, papéis e autorização), notificações (padrão outbox), integrações (descoberta automática).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Autorização em ponto único, aplicada na rota por decorador. Esconder o botão nunca foi autorização — há teste que envia o formulário direto e confirma a recusa.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Modelo de dados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Núcleo genérico: todo ativo, de domínio a endpoint, é uma linha em item_catalogo, separada por um discriminador de tipo. Os campos específicos de cada tipo ficam em uma coluna JSON, declarados em código — criar um tipo novo é uma entrada num dicionário, não uma migração.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As duas hierarquias cabem numa auto-relação (id_pai). Quem pode ser pai de quem é regra da aplicação, não constraint de banco.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Histórico imutável: publicar grava o estado completo com hash. A dimensão histórica da camada analítica será reconstruída daí, o que dispensa captura de mudança no operacional.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Vigência em vez de exclusão em papéis, responsabilidades e relações — é o que permite responder quem respondia por um ativo numa data passada.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Sobre a virada de arquitetura da fase 5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A fase 5 é onde trabalho fora da requisição, escrita concorrente e chamadas de rede para fora deixam de caber no desenho atual. O menor passo reversível já está implementado: o padrão outbox, em que a notificação é gravada na mesma transação do fato que a gerou e um comando agendado despacha depois. Sem intermediário de mensagens e testável com o mesmo banco dos testes. A migração de banco é decisão separada, com gatilho definido.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4243F"/>
          <w:sz w:val="24"/>
          <w:szCs w:val="24"/>
        </w:rPr>
        <w:t xml:space="preserve">Referências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Modelo de dados completo, com diagrama de classes e detalhe coluna a coluna — publicado como página navegável.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Cartilha de uso por perfil — disponível dentro da própria ferramenta, em /cartilha, e versionada em docs/CARTILHA.md.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F2733"/>
          <w:sz w:val="21"/>
          <w:szCs w:val="21"/>
        </w:rPr>
        <w:t xml:space="preserve">Revisão de jornada de usuário, propostas das fases 4 e 5, e os registros de implementação de cada onda — no espaço do projeto.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0EC" w:sz="4"/>
      </w:pBdr>
      <w:spacing w:before="120"/>
      <w:jc w:val="right"/>
    </w:pPr>
    <w:r>
      <w:rPr>
        <w:rFonts w:ascii="Calibri" w:cs="Calibri" w:eastAsia="Calibri" w:hAnsi="Calibri"/>
        <w:color w:val="5B6B83"/>
        <w:sz w:val="16"/>
        <w:szCs w:val="16"/>
      </w:rPr>
      <w:t xml:space="preserve">Proposta Executiva · Catálogo Corporativo DDD · setembro de 2026    </w:t>
    </w:r>
    <w:r>
      <w:rPr>
        <w:rFonts w:ascii="Calibri" w:cs="Calibri" w:eastAsia="Calibri" w:hAnsi="Calibri"/>
        <w:b/>
        <w:bCs/>
        <w:color w:val="5B6B8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Executiva — Catálogo Corporativo DDD</dc:title>
  <dc:creator>Catálogo Corporativo DDD</dc:creator>
  <dc:description>Proposta executiva atualizada: estado da entrega, rito de governança e as três decisões em aberto.</dc:description>
  <cp:lastModifiedBy>Un-named</cp:lastModifiedBy>
  <cp:revision>1</cp:revision>
  <dcterms:created xsi:type="dcterms:W3CDTF">2026-09-18T16:11:35.058Z</dcterms:created>
  <dcterms:modified xsi:type="dcterms:W3CDTF">2026-09-18T16:11:35.067Z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