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CCD4" w14:textId="58D7D28D" w:rsidR="00C560E4" w:rsidRPr="00D767F4" w:rsidRDefault="00D767F4" w:rsidP="001D514A">
      <w:pPr>
        <w:spacing w:line="480" w:lineRule="auto"/>
        <w:jc w:val="center"/>
        <w:outlineLvl w:val="0"/>
        <w:rPr>
          <w:b/>
        </w:rPr>
      </w:pPr>
      <w:r w:rsidRPr="00D767F4">
        <w:rPr>
          <w:b/>
        </w:rPr>
        <w:t>Reframing Aural Skills Instruction Based On Research in Working Memory</w:t>
      </w:r>
    </w:p>
    <w:p w14:paraId="22D2B503" w14:textId="06272023" w:rsidR="00C560E4" w:rsidRDefault="00C560E4" w:rsidP="001D514A">
      <w:pPr>
        <w:spacing w:line="480" w:lineRule="auto"/>
      </w:pPr>
      <w:r>
        <w:tab/>
        <w:t xml:space="preserve">Gary Karpinski’s influential book </w:t>
      </w:r>
      <w:r>
        <w:rPr>
          <w:i/>
        </w:rPr>
        <w:t>Aural Skills Acquisition</w:t>
      </w:r>
      <w:r>
        <w:t xml:space="preserve"> breaks down the process of melodic dictation into four components:</w:t>
      </w:r>
    </w:p>
    <w:p w14:paraId="0876FF52" w14:textId="38F7B889" w:rsidR="00C560E4" w:rsidRDefault="00C560E4" w:rsidP="001D514A">
      <w:pPr>
        <w:pStyle w:val="ListParagraph"/>
        <w:numPr>
          <w:ilvl w:val="0"/>
          <w:numId w:val="1"/>
        </w:numPr>
        <w:spacing w:line="480" w:lineRule="auto"/>
      </w:pPr>
      <w:r>
        <w:t xml:space="preserve">Hearing: the ability to pay sufficient attention, as well as the physical and </w:t>
      </w:r>
      <w:r w:rsidR="000C4F0C">
        <w:t>neurological ability</w:t>
      </w:r>
      <w:r>
        <w:t xml:space="preserve"> to perceive sounds appropriately;</w:t>
      </w:r>
    </w:p>
    <w:p w14:paraId="582DAE5A" w14:textId="274F5BC6" w:rsidR="00C560E4" w:rsidRDefault="00C95428" w:rsidP="001D514A">
      <w:pPr>
        <w:pStyle w:val="ListParagraph"/>
        <w:numPr>
          <w:ilvl w:val="0"/>
          <w:numId w:val="1"/>
        </w:numPr>
        <w:spacing w:line="480" w:lineRule="auto"/>
      </w:pPr>
      <w:r>
        <w:t>Short-Term Melodic</w:t>
      </w:r>
      <w:r w:rsidR="00C560E4">
        <w:t xml:space="preserve"> Memory, which </w:t>
      </w:r>
      <w:r w:rsidR="00C125C5">
        <w:t xml:space="preserve">is limited but </w:t>
      </w:r>
      <w:r w:rsidR="00C560E4">
        <w:t xml:space="preserve">can be </w:t>
      </w:r>
      <w:r w:rsidR="00C125C5">
        <w:t>extended</w:t>
      </w:r>
      <w:r w:rsidR="00C560E4">
        <w:t xml:space="preserve"> through extractive listening and chunking;</w:t>
      </w:r>
    </w:p>
    <w:p w14:paraId="6B868A0F" w14:textId="77777777" w:rsidR="00C560E4" w:rsidRDefault="00C560E4" w:rsidP="001D514A">
      <w:pPr>
        <w:pStyle w:val="ListParagraph"/>
        <w:numPr>
          <w:ilvl w:val="0"/>
          <w:numId w:val="1"/>
        </w:numPr>
        <w:spacing w:line="480" w:lineRule="auto"/>
      </w:pPr>
      <w:r>
        <w:t>Musical Understanding, or the ability to label or describe remembered musical materials; and</w:t>
      </w:r>
    </w:p>
    <w:p w14:paraId="236B59B6" w14:textId="77777777" w:rsidR="00C560E4" w:rsidRDefault="00C560E4" w:rsidP="001D514A">
      <w:pPr>
        <w:pStyle w:val="ListParagraph"/>
        <w:numPr>
          <w:ilvl w:val="0"/>
          <w:numId w:val="1"/>
        </w:numPr>
        <w:spacing w:line="480" w:lineRule="auto"/>
      </w:pPr>
      <w:r>
        <w:t>Notation: familiarity and facility with music notation.</w:t>
      </w:r>
    </w:p>
    <w:p w14:paraId="685D631F" w14:textId="77777777" w:rsidR="00C560E4" w:rsidRDefault="00C560E4" w:rsidP="001D514A">
      <w:pPr>
        <w:spacing w:line="480" w:lineRule="auto"/>
      </w:pPr>
      <w:r>
        <w:t xml:space="preserve">These components are presented in roughly the chronological order in which they </w:t>
      </w:r>
      <w:r w:rsidR="001838F1">
        <w:t>must occur</w:t>
      </w:r>
      <w:r>
        <w:t xml:space="preserve"> i</w:t>
      </w:r>
      <w:r w:rsidR="001838F1">
        <w:t>n the process of dictation, and Karpinski urges instructors to keep them in mind since deficiencies in different stages of the process call for different methods of practice and remediation.</w:t>
      </w:r>
      <w:r w:rsidR="001838F1">
        <w:rPr>
          <w:rStyle w:val="FootnoteReference"/>
        </w:rPr>
        <w:footnoteReference w:id="1"/>
      </w:r>
    </w:p>
    <w:p w14:paraId="61B08B74" w14:textId="0E41DAD9" w:rsidR="001838F1" w:rsidRDefault="001838F1" w:rsidP="001D514A">
      <w:pPr>
        <w:spacing w:line="480" w:lineRule="auto"/>
        <w:ind w:firstLine="720"/>
      </w:pPr>
      <w:r>
        <w:t xml:space="preserve">While treating these components separately is indisputably useful and productive, we should recognize that doing so is also in a way misleading. Many, perhaps most, students have </w:t>
      </w:r>
      <w:r>
        <w:lastRenderedPageBreak/>
        <w:t xml:space="preserve">trouble with more than one stage of dictation, and working on individual stages is rarely as simple as it might seem in the abstract. For example, the ability to pay close attention to a melody seems intimately linked to </w:t>
      </w:r>
      <w:r w:rsidR="00C95428">
        <w:t xml:space="preserve">our ability to store it in short-term memory; meanwhile, </w:t>
      </w:r>
      <w:r>
        <w:t xml:space="preserve">deficiencies in musical memory often keep students from improving in their musical understanding, </w:t>
      </w:r>
      <w:r w:rsidR="00C95428">
        <w:t>while</w:t>
      </w:r>
      <w:r>
        <w:t xml:space="preserve"> </w:t>
      </w:r>
      <w:r w:rsidR="00C95428">
        <w:t>quick</w:t>
      </w:r>
      <w:r>
        <w:t xml:space="preserve"> encoding of scale degrees and rhythms through musical understanding </w:t>
      </w:r>
      <w:r w:rsidR="00C95428">
        <w:t xml:space="preserve">often improves </w:t>
      </w:r>
      <w:r w:rsidR="00D62C4A">
        <w:t>students’</w:t>
      </w:r>
      <w:r w:rsidR="00C95428">
        <w:t xml:space="preserve"> ability to store them in memory. Again, this is not to say that we should abandon Karpinski’s framework and methods, but rather that it would be useful to add </w:t>
      </w:r>
      <w:r w:rsidR="00D67224">
        <w:t xml:space="preserve">to them </w:t>
      </w:r>
      <w:r w:rsidR="00C95428">
        <w:t xml:space="preserve">a complementary perspective that </w:t>
      </w:r>
      <w:r w:rsidR="00991818">
        <w:t>recognizes</w:t>
      </w:r>
      <w:r w:rsidR="00C95428">
        <w:t xml:space="preserve"> the essential interconnectedness of these components.</w:t>
      </w:r>
    </w:p>
    <w:p w14:paraId="4CE2D042" w14:textId="1B800DB0" w:rsidR="00735CDB" w:rsidRDefault="00C95428" w:rsidP="001D514A">
      <w:pPr>
        <w:spacing w:line="480" w:lineRule="auto"/>
        <w:ind w:firstLine="720"/>
      </w:pPr>
      <w:r>
        <w:t>Such a perspective is afforded by recent research in</w:t>
      </w:r>
      <w:r w:rsidR="00562EEB">
        <w:t>to</w:t>
      </w:r>
      <w:r>
        <w:t xml:space="preserve"> what is generally called “working memory.”</w:t>
      </w:r>
      <w:r w:rsidR="00735CDB">
        <w:t xml:space="preserve"> Different researchers define this term in slightly different ways, </w:t>
      </w:r>
      <w:r w:rsidR="009E7731">
        <w:t>as discussed later in this article, b</w:t>
      </w:r>
      <w:r w:rsidR="00735CDB">
        <w:t xml:space="preserve">ut </w:t>
      </w:r>
      <w:r w:rsidR="009E7731">
        <w:t xml:space="preserve">for right now, we might think of working memory as the system that </w:t>
      </w:r>
      <w:r w:rsidR="001359B6">
        <w:t>coordinates</w:t>
      </w:r>
      <w:r w:rsidR="009E7731">
        <w:t xml:space="preserve"> the storage and processing of information. W</w:t>
      </w:r>
      <w:r w:rsidR="00735CDB">
        <w:t>orking memory clearly underlies all four components of the dictation process, as described by Karpinski:</w:t>
      </w:r>
    </w:p>
    <w:p w14:paraId="345C5C21" w14:textId="692AB36E" w:rsidR="00735CDB" w:rsidRDefault="00735CDB" w:rsidP="001D514A">
      <w:pPr>
        <w:pStyle w:val="ListParagraph"/>
        <w:numPr>
          <w:ilvl w:val="0"/>
          <w:numId w:val="2"/>
        </w:numPr>
        <w:spacing w:line="480" w:lineRule="auto"/>
      </w:pPr>
      <w:r>
        <w:t>control of attention is either a component of working memory or strongly corr</w:t>
      </w:r>
      <w:r w:rsidR="00E31F68">
        <w:t>elated with it</w:t>
      </w:r>
      <w:r>
        <w:t>;</w:t>
      </w:r>
    </w:p>
    <w:p w14:paraId="564723E5" w14:textId="26326CE9" w:rsidR="00C95428" w:rsidRDefault="00735CDB" w:rsidP="001D514A">
      <w:pPr>
        <w:pStyle w:val="ListParagraph"/>
        <w:numPr>
          <w:ilvl w:val="0"/>
          <w:numId w:val="2"/>
        </w:numPr>
        <w:spacing w:line="480" w:lineRule="auto"/>
      </w:pPr>
      <w:r>
        <w:t>short-term memory either is a supporting process to working memory or has been replaced by the concept of working memory, depending on the definition;</w:t>
      </w:r>
    </w:p>
    <w:p w14:paraId="0238F418" w14:textId="77777777" w:rsidR="00735CDB" w:rsidRDefault="00735CDB" w:rsidP="001D514A">
      <w:pPr>
        <w:pStyle w:val="ListParagraph"/>
        <w:numPr>
          <w:ilvl w:val="0"/>
          <w:numId w:val="2"/>
        </w:numPr>
        <w:spacing w:line="480" w:lineRule="auto"/>
      </w:pPr>
      <w:r>
        <w:t>analysis for musical understanding relies on the ability to manipulate and focus on materials stored in memory, an essential component of working memory;</w:t>
      </w:r>
    </w:p>
    <w:p w14:paraId="5DF8DF69" w14:textId="77777777" w:rsidR="00735CDB" w:rsidRDefault="00735CDB" w:rsidP="001D514A">
      <w:pPr>
        <w:pStyle w:val="ListParagraph"/>
        <w:numPr>
          <w:ilvl w:val="0"/>
          <w:numId w:val="2"/>
        </w:numPr>
        <w:spacing w:line="480" w:lineRule="auto"/>
      </w:pPr>
      <w:r>
        <w:t>and the application of rules of notation stored in long-term memory must be brought to bear in the more active system of working memory to be effective.</w:t>
      </w:r>
    </w:p>
    <w:p w14:paraId="2F9F9CCF" w14:textId="77777777" w:rsidR="00735CDB" w:rsidRDefault="00735CDB" w:rsidP="001D514A">
      <w:pPr>
        <w:spacing w:line="480" w:lineRule="auto"/>
      </w:pPr>
    </w:p>
    <w:p w14:paraId="194F7DA1" w14:textId="77777777" w:rsidR="00735CDB" w:rsidRDefault="00735CDB" w:rsidP="001D514A">
      <w:pPr>
        <w:spacing w:line="480" w:lineRule="auto"/>
      </w:pPr>
      <w:r>
        <w:t>Working memory thus provides a framework in which we can understand the connections among these components and think about ways to strengthen them all simultaneously.</w:t>
      </w:r>
    </w:p>
    <w:p w14:paraId="19934775" w14:textId="1B778117" w:rsidR="00656C01" w:rsidRDefault="00D336D3" w:rsidP="001D514A">
      <w:pPr>
        <w:spacing w:line="480" w:lineRule="auto"/>
        <w:ind w:firstLine="720"/>
      </w:pPr>
      <w:r>
        <w:t xml:space="preserve">It is perhaps unsurprising, </w:t>
      </w:r>
      <w:r w:rsidR="00B214AD">
        <w:t>if working memory underlies so many musical processes, that at least one study</w:t>
      </w:r>
      <w:r w:rsidR="00F502DF">
        <w:t xml:space="preserve"> has</w:t>
      </w:r>
      <w:r w:rsidR="00B214AD">
        <w:t xml:space="preserve"> found that working memory is enhanced in </w:t>
      </w:r>
      <w:r w:rsidR="00D359BB">
        <w:t>musicians compared to the general population.</w:t>
      </w:r>
      <w:r w:rsidR="00E9513D">
        <w:rPr>
          <w:rStyle w:val="FootnoteReference"/>
        </w:rPr>
        <w:footnoteReference w:id="2"/>
      </w:r>
      <w:r w:rsidR="00762AF6">
        <w:t xml:space="preserve"> Indeed, many musical tasks are notable for the extent to which they involve control of attention and memory</w:t>
      </w:r>
      <w:r w:rsidR="009F48D5">
        <w:t>,</w:t>
      </w:r>
      <w:r w:rsidR="009F48D5" w:rsidRPr="009F48D5">
        <w:t xml:space="preserve"> </w:t>
      </w:r>
      <w:r w:rsidR="009F48D5">
        <w:t xml:space="preserve">two crucial aspects of working memory. To give but one example, an article by Charles Chaffin describes in detail the cognitive load associated with instrumental conducting, which involves formulating a </w:t>
      </w:r>
      <w:r w:rsidR="00694911">
        <w:t>“</w:t>
      </w:r>
      <w:r w:rsidR="009F48D5">
        <w:t>mental representation of the score</w:t>
      </w:r>
      <w:r w:rsidR="00762AF6">
        <w:t>,</w:t>
      </w:r>
      <w:r w:rsidR="009F48D5">
        <w:t>” a long-term memory construct which must be brough</w:t>
      </w:r>
      <w:r w:rsidR="001415AD">
        <w:t>t</w:t>
      </w:r>
      <w:r w:rsidR="009F48D5">
        <w:t xml:space="preserve"> to bear in the moment; formulating gesture, which must respond in real time to the ensemble’s playing; and “[analyzing] the performance of the ensemble,” which requires error-detection, aesthetic judgment, </w:t>
      </w:r>
      <w:r w:rsidR="009F48D5">
        <w:lastRenderedPageBreak/>
        <w:t>appropriate mental constructs</w:t>
      </w:r>
      <w:r w:rsidR="001415AD">
        <w:t>, and focused attention</w:t>
      </w:r>
      <w:r w:rsidR="009F48D5">
        <w:t>.</w:t>
      </w:r>
      <w:r w:rsidR="002F47B1">
        <w:rPr>
          <w:rStyle w:val="FootnoteReference"/>
        </w:rPr>
        <w:footnoteReference w:id="3"/>
      </w:r>
      <w:r w:rsidR="00066571">
        <w:t xml:space="preserve"> Clearly, improving working memory in students will be valuable for virtually any career in music.</w:t>
      </w:r>
    </w:p>
    <w:p w14:paraId="42290F4C" w14:textId="7EE4C179" w:rsidR="00D50B65" w:rsidRDefault="003B17A3" w:rsidP="001D514A">
      <w:pPr>
        <w:spacing w:line="480" w:lineRule="auto"/>
        <w:ind w:firstLine="720"/>
      </w:pPr>
      <w:r>
        <w:t>I</w:t>
      </w:r>
      <w:r w:rsidR="00D50B65">
        <w:t xml:space="preserve">mproving working memory in our students is also </w:t>
      </w:r>
      <w:r w:rsidR="005332F2">
        <w:t>attractive</w:t>
      </w:r>
      <w:r w:rsidR="00D50B65">
        <w:t xml:space="preserve"> for a nonmusical reason: wo</w:t>
      </w:r>
      <w:r w:rsidR="00A31151">
        <w:t>rking memory capacity has been the</w:t>
      </w:r>
      <w:r w:rsidR="00D50B65">
        <w:t xml:space="preserve"> subject of much research and attention at least in part because it has been consistently found to correlate with </w:t>
      </w:r>
      <w:r w:rsidR="00786BE0">
        <w:t>performance on a wide range of higher-order cognitive tasks, including language-related tasks, reasoning, and logical thinking.</w:t>
      </w:r>
      <w:r w:rsidR="00786BE0">
        <w:rPr>
          <w:rStyle w:val="FootnoteReference"/>
        </w:rPr>
        <w:footnoteReference w:id="4"/>
      </w:r>
      <w:r w:rsidR="00786BE0">
        <w:t xml:space="preserve"> </w:t>
      </w:r>
      <w:r w:rsidR="00A332EC">
        <w:t>One study</w:t>
      </w:r>
      <w:r w:rsidR="00FD493C">
        <w:t xml:space="preserve"> </w:t>
      </w:r>
      <w:r w:rsidR="00A332EC">
        <w:t>notes links between working-memory capacity and a “wide variety of real world skills” and “applications to issues in cognitive development and de</w:t>
      </w:r>
      <w:r w:rsidR="002952FF">
        <w:t>velopmental cognitive disorders</w:t>
      </w:r>
      <w:r w:rsidR="00606481">
        <w:t>.”</w:t>
      </w:r>
      <w:r w:rsidR="00606481">
        <w:rPr>
          <w:rStyle w:val="FootnoteReference"/>
        </w:rPr>
        <w:footnoteReference w:id="5"/>
      </w:r>
      <w:r w:rsidR="00606481">
        <w:t xml:space="preserve"> </w:t>
      </w:r>
      <w:r w:rsidR="00A332EC">
        <w:t xml:space="preserve">Thus it seems that improvements in students’ working memory have the potential </w:t>
      </w:r>
      <w:r w:rsidR="00C60685">
        <w:t xml:space="preserve">to increase </w:t>
      </w:r>
      <w:r w:rsidR="00D03D68">
        <w:t xml:space="preserve">not only </w:t>
      </w:r>
      <w:r w:rsidR="00C60685">
        <w:t xml:space="preserve">students’ dictation </w:t>
      </w:r>
      <w:r w:rsidR="00A332EC">
        <w:t>skills, but also their ability to deal with a broad range of musical and non-music-specific tasks.</w:t>
      </w:r>
    </w:p>
    <w:p w14:paraId="14C7CE00" w14:textId="3C479D02" w:rsidR="00DE559D" w:rsidRDefault="00DE559D" w:rsidP="001D514A">
      <w:pPr>
        <w:spacing w:line="480" w:lineRule="auto"/>
        <w:ind w:firstLine="720"/>
      </w:pPr>
      <w:r>
        <w:t xml:space="preserve">This article thus </w:t>
      </w:r>
      <w:r w:rsidR="00B55C86">
        <w:t xml:space="preserve">presents a new understanding of the cognitive systems that all musical skills rely on. These systems are complex and unified, in contrast to the “component” model presented by Karpinski. Given the complexity of working memory and the impossibility of truly isolating any one component, it will be important to have practical ways of working on the </w:t>
      </w:r>
      <w:r w:rsidR="00B55C86">
        <w:lastRenderedPageBreak/>
        <w:t xml:space="preserve">system as a whole. </w:t>
      </w:r>
      <w:r w:rsidR="00406967">
        <w:t>Thus,</w:t>
      </w:r>
      <w:r w:rsidR="00B55C86">
        <w:t xml:space="preserve"> </w:t>
      </w:r>
      <w:r w:rsidR="00BC2458">
        <w:t xml:space="preserve">the core of this article is practical: </w:t>
      </w:r>
      <w:r w:rsidR="00B55C86">
        <w:t xml:space="preserve">after a discussion of definitions, models, and research on working-memory training, </w:t>
      </w:r>
      <w:r w:rsidR="00BC2458">
        <w:t>I will present</w:t>
      </w:r>
      <w:r w:rsidR="00B55C86">
        <w:t xml:space="preserve"> exercises derived from working-memory research that activate and exercise working memory in different ways. </w:t>
      </w:r>
      <w:r w:rsidR="004848DF">
        <w:t>These sections together</w:t>
      </w:r>
      <w:r w:rsidR="00853E65">
        <w:t xml:space="preserve"> serve to bring our attention to the </w:t>
      </w:r>
      <w:r w:rsidR="00845AE7">
        <w:t xml:space="preserve">unified </w:t>
      </w:r>
      <w:r w:rsidR="00853E65">
        <w:t xml:space="preserve">underlying system that all musical skills rely on—one that is difficult to understand, but also one in which improvements will have broad benefits both for students’ musical study and </w:t>
      </w:r>
      <w:r w:rsidR="0034699D">
        <w:t xml:space="preserve">in </w:t>
      </w:r>
      <w:r w:rsidR="00853E65">
        <w:t>their broader lives.</w:t>
      </w:r>
    </w:p>
    <w:p w14:paraId="7F8B9167" w14:textId="64BFFB10" w:rsidR="00C93F3A" w:rsidRDefault="00C93F3A" w:rsidP="001D514A">
      <w:pPr>
        <w:spacing w:line="480" w:lineRule="auto"/>
        <w:jc w:val="center"/>
        <w:outlineLvl w:val="0"/>
      </w:pPr>
      <w:r>
        <w:rPr>
          <w:b/>
        </w:rPr>
        <w:t>Defining Working Memory in Aural Skills Instruction</w:t>
      </w:r>
    </w:p>
    <w:p w14:paraId="340F8CC6" w14:textId="49A3C22B" w:rsidR="00C93F3A" w:rsidRDefault="00DB200A" w:rsidP="001D514A">
      <w:pPr>
        <w:spacing w:line="480" w:lineRule="auto"/>
        <w:ind w:firstLine="720"/>
      </w:pPr>
      <w:r>
        <w:t>The common thread among all definitions of working memory is that it is the cognitive system responsible for short-term storage and manipulation of information.</w:t>
      </w:r>
      <w:r>
        <w:rPr>
          <w:rStyle w:val="FootnoteReference"/>
        </w:rPr>
        <w:footnoteReference w:id="6"/>
      </w:r>
      <w:r w:rsidR="00FF3CAD">
        <w:t xml:space="preserve"> It is </w:t>
      </w:r>
      <w:r w:rsidR="001535D3">
        <w:t xml:space="preserve">most often described as </w:t>
      </w:r>
      <w:r w:rsidR="00FF3CAD">
        <w:t xml:space="preserve">a multi-component system: while researchers differ in the number of components they describe, the three most common are a “central executive” </w:t>
      </w:r>
      <w:r w:rsidR="005702A5">
        <w:t>which coordinates the work of</w:t>
      </w:r>
      <w:r w:rsidR="00FF3CAD">
        <w:t xml:space="preserve"> two “</w:t>
      </w:r>
      <w:r w:rsidR="005702A5">
        <w:t>slave systems.”</w:t>
      </w:r>
      <w:r w:rsidR="0021360E">
        <w:rPr>
          <w:rStyle w:val="FootnoteReference"/>
        </w:rPr>
        <w:footnoteReference w:id="7"/>
      </w:r>
      <w:r w:rsidR="005702A5">
        <w:t xml:space="preserve"> The slave systems are the “visuo-spatial scratchpad,” responsible for visual and spatial information, and the “phonological loop,” for verbal information.</w:t>
      </w:r>
      <w:r w:rsidR="001E6B9A">
        <w:rPr>
          <w:rStyle w:val="FootnoteReference"/>
        </w:rPr>
        <w:footnoteReference w:id="8"/>
      </w:r>
      <w:r w:rsidR="005702A5">
        <w:t xml:space="preserve"> Many </w:t>
      </w:r>
      <w:r w:rsidR="00AC7453">
        <w:lastRenderedPageBreak/>
        <w:t>models</w:t>
      </w:r>
      <w:r w:rsidR="005702A5">
        <w:t xml:space="preserve"> now also include another component called the “episodic buffer,” used for </w:t>
      </w:r>
      <w:r w:rsidR="0021360E">
        <w:t>communication between the other systems and long-term memory.</w:t>
      </w:r>
      <w:r w:rsidR="0021360E">
        <w:rPr>
          <w:rStyle w:val="FootnoteReference"/>
        </w:rPr>
        <w:footnoteReference w:id="9"/>
      </w:r>
      <w:r w:rsidR="006674AA">
        <w:t xml:space="preserve"> </w:t>
      </w:r>
      <w:r w:rsidR="00AC7453">
        <w:t>Scholars differ on whether they still preserve “short-term memory” as a d</w:t>
      </w:r>
      <w:r w:rsidR="00AF1D35">
        <w:t>istinct concept: Alan Baddeley</w:t>
      </w:r>
      <w:r w:rsidR="00AC7453">
        <w:t>, who developed the most influential model of working memory, says</w:t>
      </w:r>
      <w:r w:rsidR="001E04F5">
        <w:t>,</w:t>
      </w:r>
      <w:r w:rsidR="00AC7453">
        <w:t xml:space="preserve"> “The concept of working memory has increasingly replaced the old</w:t>
      </w:r>
      <w:r w:rsidR="002952FF">
        <w:t>er concept of short-term memory</w:t>
      </w:r>
      <w:r w:rsidR="00E758DE">
        <w:t>,” but he still uses both terms</w:t>
      </w:r>
      <w:r w:rsidR="009524F5">
        <w:t>.</w:t>
      </w:r>
      <w:r w:rsidR="00616F07">
        <w:rPr>
          <w:rStyle w:val="FootnoteReference"/>
        </w:rPr>
        <w:footnoteReference w:id="10"/>
      </w:r>
    </w:p>
    <w:p w14:paraId="33757AE4" w14:textId="5C4125B2" w:rsidR="003B34BE" w:rsidRDefault="00795BCC" w:rsidP="001D514A">
      <w:pPr>
        <w:spacing w:line="480" w:lineRule="auto"/>
        <w:ind w:firstLine="720"/>
      </w:pPr>
      <w:r>
        <w:t>An</w:t>
      </w:r>
      <w:r w:rsidR="00574D49">
        <w:t>other</w:t>
      </w:r>
      <w:r>
        <w:t xml:space="preserve"> </w:t>
      </w:r>
      <w:r w:rsidR="004A16B9">
        <w:t>model</w:t>
      </w:r>
      <w:r w:rsidR="00574D49">
        <w:t>,</w:t>
      </w:r>
      <w:r w:rsidR="004A16B9">
        <w:t xml:space="preserve"> associated with Cowan</w:t>
      </w:r>
      <w:r w:rsidR="00574D49">
        <w:t>,</w:t>
      </w:r>
      <w:r w:rsidR="004A16B9">
        <w:t xml:space="preserve"> emphasizes</w:t>
      </w:r>
      <w:r w:rsidR="00E770FC">
        <w:t xml:space="preserve"> working memory’s role within a broader cognitive context</w:t>
      </w:r>
      <w:r w:rsidR="004A16B9">
        <w:t>.</w:t>
      </w:r>
      <w:r w:rsidR="00E13C06">
        <w:rPr>
          <w:rStyle w:val="FootnoteReference"/>
        </w:rPr>
        <w:footnoteReference w:id="11"/>
      </w:r>
      <w:r>
        <w:t xml:space="preserve"> </w:t>
      </w:r>
      <w:r w:rsidR="004A16B9">
        <w:t xml:space="preserve">In Cowan’s words, “short term memory is derived from a temporarily activated subset of information in long-term memory… A subset of the activated </w:t>
      </w:r>
      <w:r w:rsidR="004A16B9">
        <w:lastRenderedPageBreak/>
        <w:t>information is the focus of attention, which appears to be lim</w:t>
      </w:r>
      <w:r w:rsidR="00D221BE">
        <w:t>ited in chunk capacity</w:t>
      </w:r>
      <w:r w:rsidR="004A16B9">
        <w:t>.</w:t>
      </w:r>
      <w:r w:rsidR="00D221BE">
        <w:t>”</w:t>
      </w:r>
      <w:r w:rsidR="00DC475E">
        <w:rPr>
          <w:rStyle w:val="FootnoteReference"/>
        </w:rPr>
        <w:footnoteReference w:id="12"/>
      </w:r>
      <w:r w:rsidR="004A16B9">
        <w:t xml:space="preserve"> Other scholars </w:t>
      </w:r>
      <w:r w:rsidR="00463F4A">
        <w:t>point out</w:t>
      </w:r>
      <w:r w:rsidR="004A16B9">
        <w:t xml:space="preserve"> that within this focus of attention, only one item</w:t>
      </w:r>
      <w:r w:rsidR="00835730">
        <w:t xml:space="preserve"> at a time</w:t>
      </w:r>
      <w:r w:rsidR="004A16B9">
        <w:t xml:space="preserve"> is “available as the target of cognitive processes.</w:t>
      </w:r>
      <w:r w:rsidR="00D221BE">
        <w:t>”</w:t>
      </w:r>
      <w:r w:rsidR="00D221BE">
        <w:rPr>
          <w:rStyle w:val="FootnoteReference"/>
        </w:rPr>
        <w:footnoteReference w:id="13"/>
      </w:r>
      <w:r w:rsidR="004A16B9">
        <w:t xml:space="preserve"> </w:t>
      </w:r>
      <w:r w:rsidR="0068515B">
        <w:t>Th</w:t>
      </w:r>
      <w:r w:rsidR="0025426B">
        <w:t xml:space="preserve">us Klaus Oberauer describes this model of working memory as a “concentric structure,” </w:t>
      </w:r>
      <w:r w:rsidR="003B34BE">
        <w:t xml:space="preserve">and visualizes it </w:t>
      </w:r>
      <w:r w:rsidR="00B65479">
        <w:t>as</w:t>
      </w:r>
      <w:bookmarkStart w:id="0" w:name="_GoBack"/>
      <w:bookmarkEnd w:id="0"/>
      <w:r w:rsidR="003B34BE">
        <w:t xml:space="preserve"> shown in </w:t>
      </w:r>
      <w:r w:rsidR="003B34BE" w:rsidRPr="00322209">
        <w:rPr>
          <w:b/>
        </w:rPr>
        <w:t>Example 1</w:t>
      </w:r>
      <w:r w:rsidR="003B34BE">
        <w:t>.</w:t>
      </w:r>
      <w:r w:rsidR="00A168C7">
        <w:rPr>
          <w:rStyle w:val="FootnoteReference"/>
        </w:rPr>
        <w:footnoteReference w:id="14"/>
      </w:r>
      <w:r w:rsidR="003B34BE">
        <w:t xml:space="preserve"> We might imagine, in taking dictation, that long-term memory (</w:t>
      </w:r>
      <w:r w:rsidR="00FE2AE1">
        <w:t>all</w:t>
      </w:r>
      <w:r w:rsidR="003B34BE">
        <w:t xml:space="preserve"> nodes and lines</w:t>
      </w:r>
      <w:r w:rsidR="009C5F53">
        <w:t xml:space="preserve"> in the example</w:t>
      </w:r>
      <w:r w:rsidR="003B34BE">
        <w:t xml:space="preserve">) includes our internal representations of scale degrees, tone and duration relationships, schemata, etc; that the “activated information” (filled-in nodes) represents the entire excerpt we have heard; that the “region of direct access” (outer circle) includes the section of the excerpt we are </w:t>
      </w:r>
      <w:r w:rsidR="00DC475E">
        <w:t xml:space="preserve">able to </w:t>
      </w:r>
      <w:r w:rsidR="00DC475E">
        <w:lastRenderedPageBreak/>
        <w:t>remember with integrity</w:t>
      </w:r>
      <w:r w:rsidR="003B34BE">
        <w:t xml:space="preserve">, and that the “focus of attention” (circled node) is the </w:t>
      </w:r>
      <w:r w:rsidR="00747522">
        <w:t>chunk</w:t>
      </w:r>
      <w:r w:rsidR="003B34BE">
        <w:t xml:space="preserve"> that we are currently trying to identify</w:t>
      </w:r>
      <w:r w:rsidR="00747522">
        <w:t xml:space="preserve"> with </w:t>
      </w:r>
      <w:r w:rsidR="00E27404">
        <w:t>functional labels</w:t>
      </w:r>
      <w:r w:rsidR="00747522">
        <w:t>, rhythmic durations, etc</w:t>
      </w:r>
      <w:r w:rsidR="003B34BE">
        <w:t>.</w:t>
      </w:r>
      <w:r w:rsidR="00DC475E">
        <w:t xml:space="preserve"> </w:t>
      </w:r>
    </w:p>
    <w:p w14:paraId="0E967FFC" w14:textId="3A8C1648" w:rsidR="003B34BE" w:rsidRDefault="003B34BE" w:rsidP="001D514A">
      <w:pPr>
        <w:spacing w:line="480" w:lineRule="auto"/>
      </w:pPr>
      <w:r>
        <w:t xml:space="preserve">Example 1. “Concentric” visualization of working memory </w:t>
      </w:r>
      <w:r w:rsidR="00412904">
        <w:t xml:space="preserve">based on </w:t>
      </w:r>
      <w:r w:rsidR="00A168C7">
        <w:t>Klaus</w:t>
      </w:r>
      <w:r>
        <w:t xml:space="preserve"> Oberauer</w:t>
      </w:r>
      <w:r w:rsidR="00A168C7">
        <w:t xml:space="preserve">, “Access to Information in Working Memory: Exploring the Focus of Attention,” </w:t>
      </w:r>
      <w:r w:rsidR="00A168C7">
        <w:rPr>
          <w:i/>
        </w:rPr>
        <w:t>Journal of Experimental Psychology: Learning, Memory and Cognition</w:t>
      </w:r>
      <w:r w:rsidR="00A168C7">
        <w:t xml:space="preserve"> 28, No. 3 (2002)</w:t>
      </w:r>
      <w:r>
        <w:t>, 412. Nodes and lines represent long-term memory, filled-in nodes are activated parts of long-term memory, the outer circle identifies the region of direct access, and the inner circle identifies the focus of attention.</w:t>
      </w:r>
    </w:p>
    <w:p w14:paraId="6B159587" w14:textId="566EDF21" w:rsidR="003B34BE" w:rsidRDefault="009B1B7F" w:rsidP="001D514A">
      <w:pPr>
        <w:spacing w:line="480" w:lineRule="auto"/>
        <w:ind w:firstLine="720"/>
      </w:pPr>
      <w:r>
        <w:t>INSERT EXAMPLE 1 HERE</w:t>
      </w:r>
    </w:p>
    <w:p w14:paraId="7BC4B842" w14:textId="17678151" w:rsidR="003B34BE" w:rsidRDefault="000E0D42" w:rsidP="001D514A">
      <w:pPr>
        <w:spacing w:line="480" w:lineRule="auto"/>
        <w:ind w:firstLine="720"/>
      </w:pPr>
      <w:r>
        <w:t xml:space="preserve">Regardless of model, all </w:t>
      </w:r>
      <w:r w:rsidR="00FA63FE">
        <w:t>scholars</w:t>
      </w:r>
      <w:r>
        <w:t xml:space="preserve"> on working memory place a heavy emphasis on the role of attention.</w:t>
      </w:r>
      <w:r w:rsidR="00FB3BBC">
        <w:t xml:space="preserve"> </w:t>
      </w:r>
      <w:r w:rsidR="00E46372">
        <w:t>It</w:t>
      </w:r>
      <w:r w:rsidR="00557C23">
        <w:t>s</w:t>
      </w:r>
      <w:r w:rsidR="00E46372">
        <w:t xml:space="preserve"> focus is</w:t>
      </w:r>
      <w:r w:rsidR="00557C23">
        <w:t xml:space="preserve"> the central </w:t>
      </w:r>
      <w:r w:rsidR="00186D4D">
        <w:t>node</w:t>
      </w:r>
      <w:r w:rsidR="00557C23">
        <w:t xml:space="preserve"> of the concentric model, and in the multi-component model, the central executive—the driver of working memory—plays a crucial role in directing attention. </w:t>
      </w:r>
      <w:r w:rsidR="00BF3246">
        <w:t xml:space="preserve">Thus while Karpinski </w:t>
      </w:r>
      <w:r w:rsidR="00F71DF0">
        <w:t>place</w:t>
      </w:r>
      <w:r w:rsidR="00BF3246">
        <w:t>s control of attention</w:t>
      </w:r>
      <w:r w:rsidR="00F71DF0">
        <w:t xml:space="preserve"> in the “hearing” stage of dictation and storage in the “short-term memory” stage, models of working memory treat these components as interconnected. Several stud</w:t>
      </w:r>
      <w:r w:rsidR="00EE55CE">
        <w:t>ies confirm this connection: Fukuda and Vogel</w:t>
      </w:r>
      <w:r w:rsidR="00193B73">
        <w:t xml:space="preserve"> </w:t>
      </w:r>
      <w:r w:rsidR="00EE55CE">
        <w:t>demonstrated that individuals with higher working-memory capacity (storage) were better able to recover from distractions (</w:t>
      </w:r>
      <w:r w:rsidR="0044024F">
        <w:t xml:space="preserve">through </w:t>
      </w:r>
      <w:r w:rsidR="00EE55CE">
        <w:t xml:space="preserve">attentional control); </w:t>
      </w:r>
      <w:r w:rsidR="00A10AF1">
        <w:t>Fockert et al. provided evidence that “working memory serves to con</w:t>
      </w:r>
      <w:r w:rsidR="00B5455E">
        <w:t>trol visual selective attention,</w:t>
      </w:r>
      <w:r w:rsidR="00193B73">
        <w:t>”</w:t>
      </w:r>
      <w:r w:rsidR="00B5455E">
        <w:t xml:space="preserve"> and Engle declared that whatever it is that working memory tasks measure “is at least related to, and maybe isomorphic to, general fluid intelli</w:t>
      </w:r>
      <w:r w:rsidR="00193B73">
        <w:t>gence and executive attention</w:t>
      </w:r>
      <w:r w:rsidR="00B5455E">
        <w:t>.</w:t>
      </w:r>
      <w:r w:rsidR="00193B73">
        <w:t>”</w:t>
      </w:r>
      <w:r w:rsidR="00193B73">
        <w:rPr>
          <w:rStyle w:val="FootnoteReference"/>
        </w:rPr>
        <w:footnoteReference w:id="15"/>
      </w:r>
      <w:r w:rsidR="00B5455E">
        <w:t xml:space="preserve"> Thus attention is </w:t>
      </w:r>
      <w:r w:rsidR="00B5455E">
        <w:lastRenderedPageBreak/>
        <w:t>either a component of working memory (perhaps a function of the central executive) or strongly correlated with its capacity.</w:t>
      </w:r>
    </w:p>
    <w:p w14:paraId="22163C66" w14:textId="30C42877" w:rsidR="00F71A6E" w:rsidRDefault="00937BA4" w:rsidP="001D514A">
      <w:pPr>
        <w:spacing w:line="480" w:lineRule="auto"/>
        <w:ind w:firstLine="720"/>
      </w:pPr>
      <w:r>
        <w:t>Though many scholars believe the number of elements that can be stored</w:t>
      </w:r>
      <w:r w:rsidR="009F3216">
        <w:t xml:space="preserve"> in working memory is limited</w:t>
      </w:r>
      <w:r w:rsidR="00F71A6E">
        <w:t xml:space="preserve">, this is still a controversial element of </w:t>
      </w:r>
      <w:r>
        <w:t>the</w:t>
      </w:r>
      <w:r w:rsidR="00F71A6E">
        <w:t xml:space="preserve"> theory. Nelson Cowan and his co-authors, updating the work of George Miller, suggested that only three-to-four chunks could be placed in immediately available storage.</w:t>
      </w:r>
      <w:r w:rsidR="00A475D0">
        <w:rPr>
          <w:rStyle w:val="FootnoteReference"/>
        </w:rPr>
        <w:footnoteReference w:id="16"/>
      </w:r>
      <w:r w:rsidR="00F71A6E">
        <w:t xml:space="preserve"> </w:t>
      </w:r>
      <w:r w:rsidR="009847AC">
        <w:t xml:space="preserve">This model of “slots to be filled” suggests that objects are either remembered with integrity (placed into a slot) or not, leaving little room for “fuzzy memory” or remembering different objects with different levels of precision. </w:t>
      </w:r>
      <w:r w:rsidR="006E506C">
        <w:t xml:space="preserve">Wei Ji </w:t>
      </w:r>
      <w:r w:rsidR="009847AC">
        <w:t xml:space="preserve">Ma </w:t>
      </w:r>
      <w:r w:rsidR="00FC28EF">
        <w:t xml:space="preserve">and his coauthors, </w:t>
      </w:r>
      <w:r w:rsidR="009847AC">
        <w:t xml:space="preserve">on the other hand, </w:t>
      </w:r>
      <w:r w:rsidR="00FC28EF">
        <w:t>have reviewed</w:t>
      </w:r>
      <w:r w:rsidR="009847AC">
        <w:t xml:space="preserve"> emerging evidence that working memory capacity might be a more continuous resource</w:t>
      </w:r>
      <w:r w:rsidR="00EE3959">
        <w:t>, though still of fixed capacity,</w:t>
      </w:r>
      <w:r w:rsidR="009847AC">
        <w:t xml:space="preserve"> that can be allocated according to perceived importance.</w:t>
      </w:r>
      <w:r w:rsidR="00FC28EF">
        <w:rPr>
          <w:rStyle w:val="FootnoteReference"/>
        </w:rPr>
        <w:footnoteReference w:id="17"/>
      </w:r>
      <w:r w:rsidR="009847AC">
        <w:t xml:space="preserve"> For example, upon being presented with five chunks, one might determine Chunk 5 to be of primary importance and allocate 50% of working memory capacity to it, spreading the remaining 50% of working memory capacity among Chunks 1–4 and thus remembering them with lesser precision. </w:t>
      </w:r>
      <w:r w:rsidR="009F7488">
        <w:t>This model suggest</w:t>
      </w:r>
      <w:r w:rsidR="00EE0172">
        <w:t>s</w:t>
      </w:r>
      <w:r w:rsidR="009F7488">
        <w:t xml:space="preserve"> that an important part of our role as aural skills instructors </w:t>
      </w:r>
      <w:r w:rsidR="00E11E67">
        <w:t>is</w:t>
      </w:r>
      <w:r w:rsidR="009F7488">
        <w:t xml:space="preserve"> helping students internalize mental models that encourage appropriate and efficient allocation of this resource.   </w:t>
      </w:r>
    </w:p>
    <w:p w14:paraId="17E9F86B" w14:textId="74647022" w:rsidR="004513B4" w:rsidRDefault="00011A44" w:rsidP="001D514A">
      <w:pPr>
        <w:spacing w:line="480" w:lineRule="auto"/>
        <w:ind w:firstLine="720"/>
      </w:pPr>
      <w:r>
        <w:lastRenderedPageBreak/>
        <w:t xml:space="preserve">It is difficult to </w:t>
      </w:r>
      <w:r w:rsidR="00684959">
        <w:t>determine</w:t>
      </w:r>
      <w:r>
        <w:t xml:space="preserve"> exactly how we may apply these frameworks in re-imagining aural skills instruction and difficulties. Such a </w:t>
      </w:r>
      <w:r w:rsidR="00A73FD9">
        <w:t xml:space="preserve">project will need to await a greater maturity of the field of working-memory research and more </w:t>
      </w:r>
      <w:r>
        <w:t xml:space="preserve">music-specific research in order to map aspects of these cognitive models onto different tasks and abilities. But it helps to explain </w:t>
      </w:r>
      <w:r w:rsidR="00263593">
        <w:t xml:space="preserve">the existence of </w:t>
      </w:r>
      <w:r w:rsidR="00A10096">
        <w:t xml:space="preserve">student </w:t>
      </w:r>
      <w:r>
        <w:t xml:space="preserve">difficulties that are not clearly described in Karpinski’s text. There are certainly students whose </w:t>
      </w:r>
      <w:r w:rsidR="00830C26">
        <w:t>deficiencies</w:t>
      </w:r>
      <w:r>
        <w:t xml:space="preserve"> fall neatly into one of Karpinski’s four components of dictation.  But many more have complex problems that involve multiple components, and we can now understand these as resulting from the interconnectedness of the complex system of working memory.</w:t>
      </w:r>
    </w:p>
    <w:p w14:paraId="2E1A104A" w14:textId="77777777" w:rsidR="00C10169" w:rsidRPr="002936AC" w:rsidRDefault="00C10169" w:rsidP="001D514A">
      <w:pPr>
        <w:spacing w:line="480" w:lineRule="auto"/>
        <w:jc w:val="center"/>
        <w:outlineLvl w:val="0"/>
        <w:rPr>
          <w:b/>
        </w:rPr>
      </w:pPr>
      <w:r>
        <w:rPr>
          <w:b/>
        </w:rPr>
        <w:t>Effectiveness of Working-Memory Training</w:t>
      </w:r>
    </w:p>
    <w:p w14:paraId="3CD9286B" w14:textId="11BCE6A6" w:rsidR="00C95775" w:rsidRDefault="00C10169" w:rsidP="001D514A">
      <w:pPr>
        <w:spacing w:line="480" w:lineRule="auto"/>
        <w:ind w:firstLine="720"/>
      </w:pPr>
      <w:r>
        <w:t xml:space="preserve">There is a large </w:t>
      </w:r>
      <w:r w:rsidR="00F37400">
        <w:t>industry built on the idea that exercising</w:t>
      </w:r>
      <w:r w:rsidR="00A66BB9">
        <w:t xml:space="preserve"> working memory</w:t>
      </w:r>
      <w:r>
        <w:t xml:space="preserve"> can increase </w:t>
      </w:r>
      <w:r w:rsidR="00A66BB9">
        <w:t>its</w:t>
      </w:r>
      <w:r>
        <w:t xml:space="preserve"> capacity. The companies Lumosity, CogniFit, CogMed, and Jungle Memory all operate on some variation of this principle. Yet this</w:t>
      </w:r>
      <w:r w:rsidR="00584D31">
        <w:t xml:space="preserve"> premise</w:t>
      </w:r>
      <w:r>
        <w:t xml:space="preserve"> is not at this point clearly supported by studies, and Lumosity settled with the Federal Trade Commision in early 2016, </w:t>
      </w:r>
      <w:r w:rsidRPr="007671F1">
        <w:t xml:space="preserve">admitting they did not have settled science </w:t>
      </w:r>
      <w:r>
        <w:t xml:space="preserve">to support claims </w:t>
      </w:r>
      <w:r w:rsidRPr="007671F1">
        <w:t xml:space="preserve">that their exercises improve </w:t>
      </w:r>
      <w:r>
        <w:t>school/work performance or reduce age-related cognitive decline</w:t>
      </w:r>
      <w:r w:rsidRPr="007671F1">
        <w:t>.</w:t>
      </w:r>
      <w:r>
        <w:rPr>
          <w:rStyle w:val="FootnoteReference"/>
        </w:rPr>
        <w:footnoteReference w:id="18"/>
      </w:r>
      <w:r>
        <w:t xml:space="preserve"> Indeed, an often-cited meta-analysis of studies </w:t>
      </w:r>
      <w:r w:rsidR="006842DA">
        <w:t>in</w:t>
      </w:r>
      <w:r>
        <w:t xml:space="preserve"> </w:t>
      </w:r>
      <w:r w:rsidR="004F1A25">
        <w:t xml:space="preserve">2013 </w:t>
      </w:r>
      <w:r>
        <w:t xml:space="preserve">concluded that so-called “brain-training” programs have only been proven to give “near-transfer benefits,” that is, improvement on the task practiced </w:t>
      </w:r>
      <w:r w:rsidR="00E1669A">
        <w:t xml:space="preserve">and related tasks </w:t>
      </w:r>
      <w:r>
        <w:t xml:space="preserve">but </w:t>
      </w:r>
      <w:r>
        <w:lastRenderedPageBreak/>
        <w:t>not on other related measures of cognitive ability, and that even such benefits may not be sustained once the training ended.</w:t>
      </w:r>
      <w:r w:rsidR="000D43DD">
        <w:rPr>
          <w:rStyle w:val="FootnoteReference"/>
        </w:rPr>
        <w:footnoteReference w:id="19"/>
      </w:r>
    </w:p>
    <w:p w14:paraId="38EFB8B5" w14:textId="08A53850" w:rsidR="00C10169" w:rsidRDefault="00C95775" w:rsidP="001D514A">
      <w:pPr>
        <w:spacing w:line="480" w:lineRule="auto"/>
        <w:ind w:firstLine="720"/>
      </w:pPr>
      <w:r>
        <w:t xml:space="preserve">Nevertheless, these conclusions are difficult to apply directly to aural skills instruction. </w:t>
      </w:r>
      <w:r w:rsidR="00A00D8E">
        <w:t>Most</w:t>
      </w:r>
      <w:r w:rsidR="00B00487">
        <w:t xml:space="preserve"> aural skills courses are designed primarily to give “near-transfer</w:t>
      </w:r>
      <w:r w:rsidR="00C17C35">
        <w:t xml:space="preserve">” </w:t>
      </w:r>
      <w:r w:rsidR="00B500A5">
        <w:t>music-related</w:t>
      </w:r>
      <w:r w:rsidR="00B00487">
        <w:t xml:space="preserve"> benefits, so </w:t>
      </w:r>
      <w:r>
        <w:t xml:space="preserve">the lack of </w:t>
      </w:r>
      <w:r w:rsidR="00C83E64">
        <w:t>proven</w:t>
      </w:r>
      <w:r>
        <w:t xml:space="preserve"> far-transfer benefits is not necessarily a problem</w:t>
      </w:r>
      <w:r w:rsidR="00B00487">
        <w:t xml:space="preserve">. In addition, aural skills classes are </w:t>
      </w:r>
      <w:r w:rsidR="00AD18C3">
        <w:t xml:space="preserve">quite </w:t>
      </w:r>
      <w:r w:rsidR="00B00487">
        <w:t xml:space="preserve">different in format from the studies cited by </w:t>
      </w:r>
      <w:r w:rsidR="00DF4CAB">
        <w:t>in the meta-analysis</w:t>
      </w:r>
      <w:r>
        <w:t xml:space="preserve">. </w:t>
      </w:r>
      <w:r w:rsidR="00EA2B27">
        <w:t>C</w:t>
      </w:r>
      <w:r>
        <w:t>lasses often meet for up to 40 hours over the course of each semester for several semesters, and even summer breaks are not</w:t>
      </w:r>
      <w:r w:rsidR="009F2398">
        <w:t xml:space="preserve"> generally</w:t>
      </w:r>
      <w:r>
        <w:t xml:space="preserve"> more than 4 months (though students may of course take breaks of their own). </w:t>
      </w:r>
      <w:r w:rsidR="00FB7F21">
        <w:t>The meta-analysis</w:t>
      </w:r>
      <w:r>
        <w:t>, in contrast, considered studies to have used a “large dose” of training if the training period was more than 8 hours</w:t>
      </w:r>
      <w:r w:rsidR="009D6334">
        <w:t xml:space="preserve">. While they found that the “large immediate gains on measures of verbal working memory” disappeared over time, the long-term follow-up test was usually given </w:t>
      </w:r>
      <w:r w:rsidR="00FC1264">
        <w:t>after</w:t>
      </w:r>
      <w:r w:rsidR="009D6334">
        <w:t xml:space="preserve"> 9 months </w:t>
      </w:r>
      <w:r w:rsidR="00FC1264">
        <w:t>of not</w:t>
      </w:r>
      <w:r w:rsidR="009D6334">
        <w:t xml:space="preserve"> training.</w:t>
      </w:r>
      <w:r w:rsidR="00A90C72">
        <w:rPr>
          <w:rStyle w:val="FootnoteReference"/>
        </w:rPr>
        <w:footnoteReference w:id="20"/>
      </w:r>
      <w:r w:rsidR="009D6334">
        <w:t xml:space="preserve"> It is </w:t>
      </w:r>
      <w:r w:rsidR="000338C9">
        <w:t xml:space="preserve">probable </w:t>
      </w:r>
      <w:r w:rsidR="009D6334">
        <w:t xml:space="preserve">that these differences </w:t>
      </w:r>
      <w:r w:rsidR="000338C9">
        <w:t xml:space="preserve">would </w:t>
      </w:r>
      <w:r w:rsidR="009D6334">
        <w:t>result in different outcomes.</w:t>
      </w:r>
    </w:p>
    <w:p w14:paraId="0E0D44EE" w14:textId="055CED59" w:rsidR="00C10169" w:rsidRDefault="00555BC3" w:rsidP="001D514A">
      <w:pPr>
        <w:spacing w:line="480" w:lineRule="auto"/>
        <w:ind w:firstLine="720"/>
      </w:pPr>
      <w:r>
        <w:t xml:space="preserve">Karpinski’s “Model for Music Perception and Cognition During Dictation” in </w:t>
      </w:r>
      <w:r>
        <w:rPr>
          <w:i/>
        </w:rPr>
        <w:t xml:space="preserve">Aural Skills Acquisition </w:t>
      </w:r>
      <w:r>
        <w:t>also treats the capacity of what he calls “short-term memory”—which he assumes is roughly equivalent to the “magical number seven plus or minus two” proposed by George Mill</w:t>
      </w:r>
      <w:r w:rsidR="00D355D2">
        <w:t xml:space="preserve">er in 1956—as a limited </w:t>
      </w:r>
      <w:r w:rsidR="000A5126">
        <w:t>number of slots</w:t>
      </w:r>
      <w:r w:rsidR="00D355D2">
        <w:t xml:space="preserve"> that cannot be expanded with training</w:t>
      </w:r>
      <w:r>
        <w:t xml:space="preserve">. Karpinski’s text thus asserts that the only ways to extend the capacity of short-term memory are through “extractive listening” and “chunking.” In extractive listening, a listener focuses their attention </w:t>
      </w:r>
      <w:r>
        <w:lastRenderedPageBreak/>
        <w:t>on a ce</w:t>
      </w:r>
      <w:r w:rsidR="00C17C35">
        <w:t>rtain part of a musical excerpt—say, the first half—</w:t>
      </w:r>
      <w:r>
        <w:t xml:space="preserve">and selectively memorizes it despite sonic interference from other parts of the excerpt. Understood with regard to the model of working memory, this clearly involves significant control of attention. In chunking, listeners use </w:t>
      </w:r>
      <w:r w:rsidR="005168CF">
        <w:t>mental schemata</w:t>
      </w:r>
      <w:r>
        <w:t xml:space="preserve"> to grou</w:t>
      </w:r>
      <w:r w:rsidR="001E66D5">
        <w:t xml:space="preserve">p </w:t>
      </w:r>
      <w:r>
        <w:t>music into larger “bits,” allowing more notes to fit into each “slot” of musical memory.</w:t>
      </w:r>
      <w:r>
        <w:rPr>
          <w:rStyle w:val="FootnoteReference"/>
        </w:rPr>
        <w:footnoteReference w:id="21"/>
      </w:r>
      <w:r w:rsidR="00C17C35">
        <w:t xml:space="preserve"> As students learn more and more complex patterns, their relatively fixed number of memory slots is thus able to store greater and greater amounts of information. </w:t>
      </w:r>
      <w:r w:rsidR="0087516F">
        <w:t>Nevertheless, s</w:t>
      </w:r>
      <w:r w:rsidR="0070064F">
        <w:t xml:space="preserve">ince chunking is an invisible, </w:t>
      </w:r>
      <w:r w:rsidR="002211F8">
        <w:t xml:space="preserve">mostly </w:t>
      </w:r>
      <w:r w:rsidR="0070064F">
        <w:t xml:space="preserve">unconscious process, it would take carefully designed experiments to determine whether the ability to remember longer melodies in more advanced musicians is indeed from increasing chunk size alone or whether it </w:t>
      </w:r>
      <w:r w:rsidR="004858F5">
        <w:t xml:space="preserve">might also </w:t>
      </w:r>
      <w:r w:rsidR="002F37E5">
        <w:t>reflect a</w:t>
      </w:r>
      <w:r w:rsidR="00AC6AB1">
        <w:t>n</w:t>
      </w:r>
      <w:r w:rsidR="002F37E5">
        <w:t xml:space="preserve"> </w:t>
      </w:r>
      <w:r w:rsidR="004858F5">
        <w:t>expanded working-memory capacity.</w:t>
      </w:r>
    </w:p>
    <w:p w14:paraId="463AB520" w14:textId="21AF52BB" w:rsidR="002F37E5" w:rsidRDefault="00456AFC" w:rsidP="001D514A">
      <w:pPr>
        <w:spacing w:line="480" w:lineRule="auto"/>
        <w:ind w:firstLine="720"/>
      </w:pPr>
      <w:r>
        <w:t xml:space="preserve">There are still reasons to focus on working memory </w:t>
      </w:r>
      <w:r w:rsidR="00652C1A">
        <w:t xml:space="preserve">even </w:t>
      </w:r>
      <w:r>
        <w:t>without settled science on whether or not its capacity can be expanded.</w:t>
      </w:r>
      <w:r w:rsidR="00767D67">
        <w:t xml:space="preserve"> </w:t>
      </w:r>
      <w:r w:rsidR="00D06515">
        <w:t xml:space="preserve">First, it does appear that music </w:t>
      </w:r>
      <w:r w:rsidR="00B32CC8">
        <w:t xml:space="preserve">training </w:t>
      </w:r>
      <w:r w:rsidR="00D06515">
        <w:t xml:space="preserve">and working memory have a strong correlation and that one might be able to affect the other: </w:t>
      </w:r>
      <w:r w:rsidR="00E54395">
        <w:t>one study</w:t>
      </w:r>
      <w:r w:rsidR="00D06515">
        <w:t xml:space="preserve"> found that “training in rhythm, pitch, melody, voice, and basic musical concepts” improved students’ verbal intelligence </w:t>
      </w:r>
      <w:r w:rsidR="00643551">
        <w:t xml:space="preserve">(a far-transfer benefit) </w:t>
      </w:r>
      <w:r w:rsidR="00D06515">
        <w:t>compared to st</w:t>
      </w:r>
      <w:r w:rsidR="00927178">
        <w:t>udents who studied visual art</w:t>
      </w:r>
      <w:r w:rsidR="00D06515">
        <w:t>.</w:t>
      </w:r>
      <w:r w:rsidR="00E54395">
        <w:rPr>
          <w:rStyle w:val="FootnoteReference"/>
        </w:rPr>
        <w:footnoteReference w:id="22"/>
      </w:r>
    </w:p>
    <w:p w14:paraId="472CFD39" w14:textId="317757B2" w:rsidR="00927178" w:rsidRDefault="00927178" w:rsidP="001D514A">
      <w:pPr>
        <w:spacing w:line="480" w:lineRule="auto"/>
        <w:ind w:firstLine="720"/>
      </w:pPr>
      <w:r>
        <w:t xml:space="preserve">Second, and perhaps more convincing, while working-memory capacity may be </w:t>
      </w:r>
      <w:r w:rsidR="00A84896">
        <w:t>fixed</w:t>
      </w:r>
      <w:r>
        <w:t xml:space="preserve">, it may </w:t>
      </w:r>
      <w:r w:rsidR="004143A7">
        <w:t xml:space="preserve">also </w:t>
      </w:r>
      <w:r>
        <w:t>be possible to make this limited system more efficient,</w:t>
      </w:r>
      <w:r w:rsidR="00FF5D35">
        <w:t xml:space="preserve"> flexible,</w:t>
      </w:r>
      <w:r>
        <w:t xml:space="preserve"> accurate, and </w:t>
      </w:r>
      <w:r w:rsidR="00FF5D35">
        <w:t>quick</w:t>
      </w:r>
      <w:r>
        <w:t xml:space="preserve">. </w:t>
      </w:r>
      <w:r w:rsidR="005F25EF">
        <w:lastRenderedPageBreak/>
        <w:t>One study</w:t>
      </w:r>
      <w:r w:rsidR="005E39A3">
        <w:t xml:space="preserve"> found that in a relatively easy task, while all subjects were able to complete the task, </w:t>
      </w:r>
      <w:r w:rsidR="00D3359F">
        <w:t>musicians “performed better as reflected in reaction times and error rates</w:t>
      </w:r>
      <w:r w:rsidR="00747E8C">
        <w:t xml:space="preserve">.” </w:t>
      </w:r>
      <w:r w:rsidR="00D3359F">
        <w:t xml:space="preserve">The authors </w:t>
      </w:r>
      <w:r w:rsidR="00747E8C">
        <w:t>suggested that this is due to musicians’ ability to recruit “more brain resources to sustain cognitive control”</w:t>
      </w:r>
      <w:r w:rsidR="00AE46A3">
        <w:t>—in other words, musicians did not necessarily have a greater memory capacity but were able to use it more effectively</w:t>
      </w:r>
      <w:r w:rsidR="00747E8C">
        <w:t>.</w:t>
      </w:r>
      <w:r w:rsidR="00564DFF">
        <w:rPr>
          <w:rStyle w:val="FootnoteReference"/>
        </w:rPr>
        <w:footnoteReference w:id="23"/>
      </w:r>
      <w:r w:rsidR="00FF2427">
        <w:t xml:space="preserve"> The focus on “cognitive control” is probably significant: if working-memory capacity is fixed, then improvements will come </w:t>
      </w:r>
      <w:r w:rsidR="0039650D">
        <w:t>in large part</w:t>
      </w:r>
      <w:r w:rsidR="00FF2427">
        <w:t xml:space="preserve"> from the “central executive” component, which </w:t>
      </w:r>
      <w:r w:rsidR="00DE6D85">
        <w:t>is “concerned with attentional control of behavior.</w:t>
      </w:r>
      <w:r w:rsidR="009547AE">
        <w:t>”</w:t>
      </w:r>
      <w:r w:rsidR="009547AE">
        <w:rPr>
          <w:rStyle w:val="FootnoteReference"/>
        </w:rPr>
        <w:footnoteReference w:id="24"/>
      </w:r>
      <w:r w:rsidR="00DE6D85">
        <w:t xml:space="preserve"> </w:t>
      </w:r>
      <w:r w:rsidR="00A62797">
        <w:t xml:space="preserve">This is suggested also by the “continuous resource” model of </w:t>
      </w:r>
      <w:r w:rsidR="009547AE">
        <w:t>working-memory capacity: if</w:t>
      </w:r>
      <w:r w:rsidR="00A62797">
        <w:t xml:space="preserve"> improvements in working memory performance come from </w:t>
      </w:r>
      <w:r w:rsidR="00A305A5">
        <w:t>better</w:t>
      </w:r>
      <w:r w:rsidR="00A62797">
        <w:t xml:space="preserve"> allocation of memory rather than </w:t>
      </w:r>
      <w:r w:rsidR="00655E64">
        <w:t>from</w:t>
      </w:r>
      <w:r w:rsidR="00A62797">
        <w:t xml:space="preserve"> </w:t>
      </w:r>
      <w:r w:rsidR="00E735D0">
        <w:t xml:space="preserve">increases in </w:t>
      </w:r>
      <w:r w:rsidR="00A62797">
        <w:t xml:space="preserve">capacity, this will likely require improved </w:t>
      </w:r>
      <w:r w:rsidR="00216A8A">
        <w:t>control of the system</w:t>
      </w:r>
      <w:r w:rsidR="00A62797">
        <w:t>.</w:t>
      </w:r>
    </w:p>
    <w:p w14:paraId="0413F50C" w14:textId="6A29A1E9" w:rsidR="00A62797" w:rsidRPr="00555BC3" w:rsidRDefault="00A41046" w:rsidP="001D514A">
      <w:pPr>
        <w:spacing w:line="480" w:lineRule="auto"/>
        <w:ind w:firstLine="720"/>
      </w:pPr>
      <w:r>
        <w:t xml:space="preserve">Therefore, my focus </w:t>
      </w:r>
      <w:r w:rsidR="007E7459">
        <w:t xml:space="preserve">in the practical section below </w:t>
      </w:r>
      <w:r>
        <w:t xml:space="preserve">is not on increasing working-memory capacity, which may be fixed, but rather on improving the flexibility, speed, </w:t>
      </w:r>
      <w:r w:rsidR="000C6916">
        <w:t xml:space="preserve">efficiency, </w:t>
      </w:r>
      <w:r>
        <w:t>and accuracy of the system</w:t>
      </w:r>
      <w:r w:rsidR="000C6916">
        <w:t xml:space="preserve"> through greater cognitive control</w:t>
      </w:r>
      <w:r w:rsidR="00102051">
        <w:t xml:space="preserve">—an essential part (perhaps </w:t>
      </w:r>
      <w:r w:rsidR="00102051" w:rsidRPr="00102051">
        <w:rPr>
          <w:i/>
        </w:rPr>
        <w:t>the</w:t>
      </w:r>
      <w:r w:rsidR="00102051">
        <w:t xml:space="preserve"> essential part) of what we often </w:t>
      </w:r>
      <w:r w:rsidR="00481433">
        <w:t>call</w:t>
      </w:r>
      <w:r w:rsidR="00102051">
        <w:t xml:space="preserve"> “active listening</w:t>
      </w:r>
      <w:r>
        <w:t>.</w:t>
      </w:r>
      <w:r w:rsidR="00102051">
        <w:t>”</w:t>
      </w:r>
      <w:r w:rsidR="000C6916">
        <w:t xml:space="preserve"> In his section on the “Hearing” component of dictation,</w:t>
      </w:r>
      <w:r>
        <w:t xml:space="preserve"> Karpinski describes students who “have let entire playings pass by without the slightest sensory intake” as a result of “attention deficit disorder.</w:t>
      </w:r>
      <w:r w:rsidR="005A186C">
        <w:t>”</w:t>
      </w:r>
      <w:r w:rsidR="005A186C">
        <w:rPr>
          <w:rStyle w:val="FootnoteReference"/>
        </w:rPr>
        <w:footnoteReference w:id="25"/>
      </w:r>
      <w:r>
        <w:t xml:space="preserve"> While this kind of problem can certainly be a sign of </w:t>
      </w:r>
      <w:r w:rsidR="00215420">
        <w:t xml:space="preserve">different </w:t>
      </w:r>
      <w:r w:rsidR="001B2ED3">
        <w:t xml:space="preserve">inherent </w:t>
      </w:r>
      <w:r>
        <w:t xml:space="preserve">learning </w:t>
      </w:r>
      <w:r w:rsidR="00215420">
        <w:t>abilities</w:t>
      </w:r>
      <w:r>
        <w:t xml:space="preserve">, </w:t>
      </w:r>
      <w:r w:rsidR="00CF1CF9">
        <w:t xml:space="preserve">in many students it </w:t>
      </w:r>
      <w:r>
        <w:lastRenderedPageBreak/>
        <w:t>and l</w:t>
      </w:r>
      <w:r w:rsidR="00CF1CF9">
        <w:t>esser forms of the same problem</w:t>
      </w:r>
      <w:r>
        <w:t xml:space="preserve"> may come instead from a fixable lack of attentional control. If students have been especially well-trained in passive listening, the ability to decide beforehand </w:t>
      </w:r>
      <w:r w:rsidR="00474097">
        <w:t>what</w:t>
      </w:r>
      <w:r>
        <w:t xml:space="preserve"> they will pay attention </w:t>
      </w:r>
      <w:r w:rsidR="00474097">
        <w:t xml:space="preserve">to </w:t>
      </w:r>
      <w:r w:rsidR="009B1B6E">
        <w:t>and remember—and then to follow through on that plan—</w:t>
      </w:r>
      <w:r>
        <w:t xml:space="preserve">may be </w:t>
      </w:r>
      <w:r w:rsidR="002A5C4A">
        <w:t>extremely difficult</w:t>
      </w:r>
      <w:r>
        <w:t xml:space="preserve">. Working-memory exercises give one way of forcing such students to find ways to regain control of their listening through attentional control and </w:t>
      </w:r>
      <w:r w:rsidR="00B93112">
        <w:t>more efficient</w:t>
      </w:r>
      <w:r>
        <w:t xml:space="preserve"> functioning of working memory.</w:t>
      </w:r>
    </w:p>
    <w:p w14:paraId="32F7AA22" w14:textId="62469D7C" w:rsidR="00011A44" w:rsidRPr="00011A44" w:rsidRDefault="00011A44" w:rsidP="001D514A">
      <w:pPr>
        <w:spacing w:line="480" w:lineRule="auto"/>
        <w:jc w:val="center"/>
        <w:outlineLvl w:val="0"/>
        <w:rPr>
          <w:b/>
        </w:rPr>
      </w:pPr>
      <w:r>
        <w:rPr>
          <w:b/>
        </w:rPr>
        <w:t>Working Memory Exercises</w:t>
      </w:r>
    </w:p>
    <w:p w14:paraId="1522479B" w14:textId="0EF8C794" w:rsidR="000E6DEE" w:rsidRDefault="00011A44" w:rsidP="001D514A">
      <w:pPr>
        <w:spacing w:line="480" w:lineRule="auto"/>
        <w:ind w:firstLine="720"/>
      </w:pPr>
      <w:r>
        <w:t>Researchers on working memory</w:t>
      </w:r>
      <w:r w:rsidR="00FE67D0">
        <w:t xml:space="preserve"> have</w:t>
      </w:r>
      <w:r>
        <w:t xml:space="preserve"> an extensive battery of tests that are des</w:t>
      </w:r>
      <w:r w:rsidR="00FE67D0">
        <w:t xml:space="preserve">igned to test working memory </w:t>
      </w:r>
      <w:r w:rsidR="00650A83">
        <w:t xml:space="preserve">understood as </w:t>
      </w:r>
      <w:r w:rsidR="00D07AF1">
        <w:t>an integrated system</w:t>
      </w:r>
      <w:r w:rsidR="00650A83">
        <w:t>.</w:t>
      </w:r>
      <w:r>
        <w:t xml:space="preserve"> To the extent that these tests exercise working memory, they may be useful in helping to increase its capacit</w:t>
      </w:r>
      <w:r w:rsidR="00E20FEE">
        <w:t xml:space="preserve">y, or, more likely, in improving its </w:t>
      </w:r>
      <w:r w:rsidR="009632F2">
        <w:t xml:space="preserve">control, </w:t>
      </w:r>
      <w:r w:rsidR="00E20FEE">
        <w:t>speed, flexibility, and accuracy. T</w:t>
      </w:r>
      <w:r>
        <w:t xml:space="preserve">hey </w:t>
      </w:r>
      <w:r w:rsidR="00E20FEE">
        <w:t xml:space="preserve">also </w:t>
      </w:r>
      <w:r>
        <w:t xml:space="preserve">suggest new, interesting ways of </w:t>
      </w:r>
      <w:r w:rsidR="00CC6C9B">
        <w:t xml:space="preserve">exercising </w:t>
      </w:r>
      <w:r w:rsidR="00474CC4">
        <w:t>aural skills</w:t>
      </w:r>
      <w:r w:rsidR="005C5F7A">
        <w:t xml:space="preserve"> regardless of new benefits</w:t>
      </w:r>
      <w:r w:rsidR="00474CC4">
        <w:t>.</w:t>
      </w:r>
      <w:r w:rsidR="00A71FD2">
        <w:t xml:space="preserve"> </w:t>
      </w:r>
      <w:r w:rsidR="00F505F6">
        <w:t>This section</w:t>
      </w:r>
      <w:r>
        <w:t xml:space="preserve"> will describe </w:t>
      </w:r>
      <w:r w:rsidR="00FE67D0">
        <w:t xml:space="preserve">common tests of working memory and </w:t>
      </w:r>
      <w:r w:rsidR="001D2909">
        <w:t xml:space="preserve">my own </w:t>
      </w:r>
      <w:r w:rsidR="00FE67D0">
        <w:t>adaptations of these tests into aural skills exercises.</w:t>
      </w:r>
      <w:r w:rsidR="00474CC4">
        <w:t xml:space="preserve"> Each test may suggest multiple exercises, and the ones given are intended as a starting point for developing variations suitable to d</w:t>
      </w:r>
      <w:r w:rsidR="000B07EC">
        <w:t>ifferent instructors and goals.</w:t>
      </w:r>
    </w:p>
    <w:p w14:paraId="02D0AE09" w14:textId="1FD049F0" w:rsidR="00C102BF" w:rsidRDefault="00474CC4" w:rsidP="001D514A">
      <w:pPr>
        <w:spacing w:line="480" w:lineRule="auto"/>
        <w:ind w:firstLine="720"/>
      </w:pPr>
      <w:r>
        <w:t>Most</w:t>
      </w:r>
      <w:r w:rsidR="000E6DEE">
        <w:t xml:space="preserve"> of these</w:t>
      </w:r>
      <w:r>
        <w:t xml:space="preserve"> tests involve objects</w:t>
      </w:r>
      <w:r w:rsidR="00D05280">
        <w:t xml:space="preserve"> or stimuli</w:t>
      </w:r>
      <w:r>
        <w:t xml:space="preserve">, which in working memory research are </w:t>
      </w:r>
      <w:r w:rsidR="00E84A2B">
        <w:t>generally</w:t>
      </w:r>
      <w:r>
        <w:t xml:space="preserve"> verbal (sentences, words, or letters), spatial</w:t>
      </w:r>
      <w:r w:rsidR="00577B28">
        <w:t xml:space="preserve"> (e.g., shapes placed in different locations on a 3 x 3 grid)</w:t>
      </w:r>
      <w:r>
        <w:t xml:space="preserve">, or numeric. In music, these objects </w:t>
      </w:r>
      <w:r w:rsidR="00A0383C">
        <w:t>could</w:t>
      </w:r>
      <w:r>
        <w:t xml:space="preserve"> be tones, scale degrees, chords, functions, durations, rhythmic cells, dynamics, </w:t>
      </w:r>
      <w:r w:rsidR="00BC3246">
        <w:t xml:space="preserve">registers, </w:t>
      </w:r>
      <w:r w:rsidR="00AB1B89">
        <w:t>timbres, etc.</w:t>
      </w:r>
      <w:r w:rsidR="00B85EFD">
        <w:t xml:space="preserve"> In</w:t>
      </w:r>
      <w:r>
        <w:t xml:space="preserve"> some cases</w:t>
      </w:r>
      <w:r w:rsidR="00B85EFD">
        <w:t>,</w:t>
      </w:r>
      <w:r>
        <w:t xml:space="preserve"> teachers will need to help students understand how the objects are defined</w:t>
      </w:r>
      <w:r w:rsidR="00306EF4">
        <w:t>. F</w:t>
      </w:r>
      <w:r>
        <w:t xml:space="preserve">or example, </w:t>
      </w:r>
      <w:r w:rsidR="00403187">
        <w:t xml:space="preserve">two chords could be considered instances of the same object based </w:t>
      </w:r>
      <w:r w:rsidR="00E34C82">
        <w:t>on root, inversion, or voicing/spacing</w:t>
      </w:r>
      <w:r w:rsidR="00403187">
        <w:t>, or any combination of these.</w:t>
      </w:r>
    </w:p>
    <w:p w14:paraId="483C0121" w14:textId="1251349B" w:rsidR="00EF51FB" w:rsidRDefault="000B07EC" w:rsidP="001D514A">
      <w:pPr>
        <w:spacing w:line="480" w:lineRule="auto"/>
        <w:ind w:firstLine="720"/>
      </w:pPr>
      <w:r>
        <w:lastRenderedPageBreak/>
        <w:t>I</w:t>
      </w:r>
      <w:r w:rsidR="00474CC4">
        <w:t xml:space="preserve">n many cases, students do not need to </w:t>
      </w:r>
      <w:r>
        <w:t xml:space="preserve">label these objects in order to complete the tasks: for example, to determine whether two </w:t>
      </w:r>
      <w:r w:rsidR="004C76DC">
        <w:t>tones</w:t>
      </w:r>
      <w:r>
        <w:t xml:space="preserve"> are the same, </w:t>
      </w:r>
      <w:r w:rsidR="004C76DC">
        <w:t>one does not necessarily need to know their solfege syllable</w:t>
      </w:r>
      <w:r w:rsidR="003E2677">
        <w:t>s</w:t>
      </w:r>
      <w:r w:rsidR="004C76DC">
        <w:t xml:space="preserve"> or letter name</w:t>
      </w:r>
      <w:r w:rsidR="003E2677">
        <w:t>s</w:t>
      </w:r>
      <w:r w:rsidR="004C76DC">
        <w:t>; to compare two rhythmic cells, one does not necessarily need to know their rhythmic values.</w:t>
      </w:r>
      <w:r w:rsidR="003E2677">
        <w:t xml:space="preserve"> </w:t>
      </w:r>
      <w:r w:rsidR="00306EF4">
        <w:t xml:space="preserve">This is a distinct strength of these exercises, as they may be used at various stages of learning. </w:t>
      </w:r>
      <w:r w:rsidR="00EF51FB">
        <w:t>Instructors may</w:t>
      </w:r>
      <w:r w:rsidR="003C4DC0">
        <w:t xml:space="preserve"> also</w:t>
      </w:r>
      <w:r w:rsidR="00EF51FB">
        <w:t xml:space="preserve"> decide whether or not to use labels themselves in presenting the objects. For example, in presenting a melody for an </w:t>
      </w:r>
      <w:r w:rsidR="00EF51FB" w:rsidRPr="00C102BF">
        <w:rPr>
          <w:i/>
        </w:rPr>
        <w:t>N</w:t>
      </w:r>
      <w:r w:rsidR="00EF51FB">
        <w:t>-back test</w:t>
      </w:r>
      <w:r w:rsidR="006C2A65">
        <w:t xml:space="preserve"> (defined below)</w:t>
      </w:r>
      <w:r w:rsidR="00EF51FB">
        <w:t xml:space="preserve">, an instructor may or may not choose to sing the melody on solfege. If the purpose is simply to strengthen working memory, solfege may give students more ways to encode the information </w:t>
      </w:r>
      <w:r w:rsidR="00830616">
        <w:t xml:space="preserve">accurately </w:t>
      </w:r>
      <w:r w:rsidR="00EF51FB">
        <w:t xml:space="preserve">as it </w:t>
      </w:r>
      <w:r w:rsidR="00830616">
        <w:t>is presented</w:t>
      </w:r>
      <w:r w:rsidR="00EF51FB">
        <w:t xml:space="preserve">. Of course, if the instructor wishes </w:t>
      </w:r>
      <w:r w:rsidR="003616BC">
        <w:t xml:space="preserve">for </w:t>
      </w:r>
      <w:r w:rsidR="00EF51FB">
        <w:t xml:space="preserve">students to practice their scale-degree identification at the same time, they will want to omit solfege and sing </w:t>
      </w:r>
      <w:r w:rsidR="003616BC">
        <w:t xml:space="preserve">or play </w:t>
      </w:r>
      <w:r w:rsidR="00EF51FB">
        <w:t>on a neutral syllable.</w:t>
      </w:r>
    </w:p>
    <w:p w14:paraId="6B5BB1D8" w14:textId="756CB5BF" w:rsidR="00A036AB" w:rsidRDefault="00A036AB" w:rsidP="001D514A">
      <w:pPr>
        <w:spacing w:line="480" w:lineRule="auto"/>
        <w:ind w:firstLine="720"/>
      </w:pPr>
      <w:r>
        <w:rPr>
          <w:b/>
        </w:rPr>
        <w:t>Sternberg task.</w:t>
      </w:r>
      <w:r>
        <w:t xml:space="preserve"> </w:t>
      </w:r>
      <w:r w:rsidR="00F80DA9">
        <w:t>In this method, which derives from the work of Saul Sternberg in the late 1960s, one presents a “list of items for memorization” (in music, for example,</w:t>
      </w:r>
      <w:r w:rsidR="00B17ED9">
        <w:t xml:space="preserve"> this</w:t>
      </w:r>
      <w:r w:rsidR="00F80DA9">
        <w:t xml:space="preserve"> could be a </w:t>
      </w:r>
      <w:r w:rsidR="005B32CC">
        <w:t xml:space="preserve">series of chords </w:t>
      </w:r>
      <w:r w:rsidR="00F80DA9">
        <w:t>or a rhythm composed of rhythmic cells), then asks the subjects questions about this list</w:t>
      </w:r>
      <w:r w:rsidR="00E71085">
        <w:t>, usually about whether a “probe item” (say, a specific chord</w:t>
      </w:r>
      <w:r w:rsidR="00261F22">
        <w:t xml:space="preserve"> or rhythmic cell</w:t>
      </w:r>
      <w:r w:rsidR="00E71085">
        <w:t>) was contained within that list</w:t>
      </w:r>
      <w:r w:rsidR="00F80DA9">
        <w:t>.</w:t>
      </w:r>
      <w:r w:rsidR="00F80DA9">
        <w:rPr>
          <w:rStyle w:val="FootnoteReference"/>
        </w:rPr>
        <w:footnoteReference w:id="26"/>
      </w:r>
      <w:r w:rsidR="00174481">
        <w:t xml:space="preserve"> The value of this rather simple task in</w:t>
      </w:r>
      <w:r w:rsidR="008F4DB3">
        <w:t xml:space="preserve"> music is at least two-fold. </w:t>
      </w:r>
      <w:r w:rsidR="008F4DB3">
        <w:lastRenderedPageBreak/>
        <w:t>First</w:t>
      </w:r>
      <w:r w:rsidR="00174481">
        <w:t xml:space="preserve">, it is a way to work with musical materials and musical memory without the need for labels and notation. </w:t>
      </w:r>
      <w:r w:rsidR="008F4DB3">
        <w:t>Second</w:t>
      </w:r>
      <w:r w:rsidR="00174481">
        <w:t>, it encourages active listening</w:t>
      </w:r>
      <w:r w:rsidR="000274B3">
        <w:t>, encoding,</w:t>
      </w:r>
      <w:r w:rsidR="00174481">
        <w:t xml:space="preserve"> and then re-hearing, in order to answer the questions.</w:t>
      </w:r>
    </w:p>
    <w:p w14:paraId="459E87B6" w14:textId="3742624A" w:rsidR="008D098B" w:rsidRPr="008D098B" w:rsidRDefault="008D098B" w:rsidP="001D514A">
      <w:pPr>
        <w:spacing w:line="480" w:lineRule="auto"/>
        <w:ind w:firstLine="720"/>
      </w:pPr>
      <w:r>
        <w:rPr>
          <w:b/>
        </w:rPr>
        <w:t>Change detection.</w:t>
      </w:r>
      <w:r>
        <w:t xml:space="preserve"> </w:t>
      </w:r>
      <w:r w:rsidR="00D6378C">
        <w:t>In a change detection test, a subject is prese</w:t>
      </w:r>
      <w:r w:rsidR="00137637">
        <w:t>nted with two stimuli—</w:t>
      </w:r>
      <w:r w:rsidR="008B6EB2">
        <w:t>for example</w:t>
      </w:r>
      <w:r w:rsidR="00137637">
        <w:t>, two melodies—in series</w:t>
      </w:r>
      <w:r w:rsidR="00D6378C">
        <w:t xml:space="preserve"> and asked to determine whether they are the same or different. </w:t>
      </w:r>
      <w:r w:rsidR="0054128B">
        <w:t>This is similar to classic aural skills error detection, though in traditional error detection an aural stimulus is usually compared with a written stimulus</w:t>
      </w:r>
      <w:r w:rsidR="000B44B9">
        <w:t>. T</w:t>
      </w:r>
      <w:r w:rsidR="0054128B">
        <w:t>he stimuli in a more broadly-defined change detection t</w:t>
      </w:r>
      <w:r w:rsidR="000B44B9">
        <w:t xml:space="preserve">est can of course both be aural, requiring neither knowledge of notation nor skill in solfege for a correct answer. A natural way to follow up would be to ask students what exactly was different, though this would of course </w:t>
      </w:r>
      <w:r w:rsidR="006246A0">
        <w:t xml:space="preserve">require some kind of </w:t>
      </w:r>
      <w:r w:rsidR="000B44B9">
        <w:t>descriptive system (such as solfege).</w:t>
      </w:r>
    </w:p>
    <w:p w14:paraId="7087B38F" w14:textId="1EC8570C" w:rsidR="005C4DA9" w:rsidRPr="0099436E" w:rsidRDefault="005C4DA9" w:rsidP="001D514A">
      <w:pPr>
        <w:spacing w:line="480" w:lineRule="auto"/>
        <w:ind w:firstLine="720"/>
      </w:pPr>
      <w:r>
        <w:rPr>
          <w:b/>
        </w:rPr>
        <w:t>Counter updating task.</w:t>
      </w:r>
      <w:r>
        <w:t xml:space="preserve"> In this similarly simple task, subjects are given a small number of objects to keep track of, then presented with a series of stimuli</w:t>
      </w:r>
      <w:r w:rsidR="0099436E">
        <w:t xml:space="preserve"> including but not limited to those objects</w:t>
      </w:r>
      <w:r>
        <w:t xml:space="preserve">. As the </w:t>
      </w:r>
      <w:r w:rsidR="00F16678">
        <w:t>series</w:t>
      </w:r>
      <w:r>
        <w:t xml:space="preserve"> </w:t>
      </w:r>
      <w:r w:rsidR="00C720D8">
        <w:t>is presented</w:t>
      </w:r>
      <w:r>
        <w:t xml:space="preserve">, subjects count the number of times each of their assigned objects appears. </w:t>
      </w:r>
      <w:r w:rsidR="00111085">
        <w:t xml:space="preserve">For example, an instructor who wishes to draw students’ attention to the distinction between the often-confused rhythmic cells that occupy the end of the first measure and beginning of the second measure in </w:t>
      </w:r>
      <w:r w:rsidR="00111085" w:rsidRPr="00322209">
        <w:rPr>
          <w:b/>
        </w:rPr>
        <w:t>Example 2</w:t>
      </w:r>
      <w:r w:rsidR="00111085">
        <w:t xml:space="preserve"> might write them on the board, then ask students to count the number of times each occurs in the course of the rhythm. (In </w:t>
      </w:r>
      <w:r w:rsidR="00110380">
        <w:lastRenderedPageBreak/>
        <w:t>E</w:t>
      </w:r>
      <w:r w:rsidR="00356F3D">
        <w:t>xample</w:t>
      </w:r>
      <w:r w:rsidR="00110380">
        <w:t xml:space="preserve"> 2</w:t>
      </w:r>
      <w:r w:rsidR="00111085">
        <w:t>, each occurs twice.)</w:t>
      </w:r>
      <w:r w:rsidR="0099436E">
        <w:t xml:space="preserve"> Or an instructor might sing or play a melody, asking students to count the number of times scale degrees 1 and 5 occur.</w:t>
      </w:r>
    </w:p>
    <w:p w14:paraId="39368B0A" w14:textId="06DFB885" w:rsidR="00111085" w:rsidRDefault="00111085" w:rsidP="001D514A">
      <w:pPr>
        <w:spacing w:line="480" w:lineRule="auto"/>
      </w:pPr>
      <w:r>
        <w:t>Example 2. Sample counter-updating rhythm.</w:t>
      </w:r>
    </w:p>
    <w:p w14:paraId="7941E794" w14:textId="1FC94A64" w:rsidR="00111085" w:rsidRPr="005C4DA9" w:rsidRDefault="006273DA" w:rsidP="001D514A">
      <w:pPr>
        <w:spacing w:line="480" w:lineRule="auto"/>
      </w:pPr>
      <w:r>
        <w:t>INSERT EXAMPLE 2 HERE</w:t>
      </w:r>
    </w:p>
    <w:p w14:paraId="4B6533C6" w14:textId="1941BA04" w:rsidR="00F15479" w:rsidRPr="00590463" w:rsidRDefault="00F15479" w:rsidP="001D514A">
      <w:pPr>
        <w:spacing w:line="480" w:lineRule="auto"/>
        <w:ind w:firstLine="720"/>
      </w:pPr>
      <w:r>
        <w:rPr>
          <w:b/>
          <w:i/>
        </w:rPr>
        <w:t>N</w:t>
      </w:r>
      <w:r>
        <w:rPr>
          <w:b/>
        </w:rPr>
        <w:t>-back test.</w:t>
      </w:r>
      <w:r>
        <w:t xml:space="preserve"> </w:t>
      </w:r>
      <w:r w:rsidR="00A14C6B">
        <w:t xml:space="preserve">In an </w:t>
      </w:r>
      <w:r w:rsidR="00A14C6B">
        <w:rPr>
          <w:i/>
        </w:rPr>
        <w:t>N</w:t>
      </w:r>
      <w:r w:rsidR="00A14C6B">
        <w:rPr>
          <w:b/>
          <w:i/>
        </w:rPr>
        <w:t>-</w:t>
      </w:r>
      <w:r w:rsidR="00A14C6B">
        <w:t xml:space="preserve">back test, subjects are presented with a series of stimuli one after another and asked to </w:t>
      </w:r>
      <w:r w:rsidR="00D34D3C">
        <w:t>respond in some way</w:t>
      </w:r>
      <w:r w:rsidR="00A14C6B">
        <w:t xml:space="preserve"> </w:t>
      </w:r>
      <w:r w:rsidR="00D34D3C">
        <w:t>whenever</w:t>
      </w:r>
      <w:r w:rsidR="00A14C6B">
        <w:t xml:space="preserve"> the currently-presented stimulus is identical to the stimulus </w:t>
      </w:r>
      <w:r w:rsidR="00A14C6B">
        <w:rPr>
          <w:i/>
        </w:rPr>
        <w:t>N</w:t>
      </w:r>
      <w:r w:rsidR="00A14C6B">
        <w:t>-back in the series. For example, an instructor could present a melody in even note values and ask students to hum the currently sounding note when it is identical to the note two earlier in the series</w:t>
      </w:r>
      <w:r w:rsidR="00752174">
        <w:t xml:space="preserve"> (</w:t>
      </w:r>
      <w:r w:rsidR="00752174">
        <w:rPr>
          <w:i/>
        </w:rPr>
        <w:t>N</w:t>
      </w:r>
      <w:r w:rsidR="00752174">
        <w:t xml:space="preserve"> = 2)</w:t>
      </w:r>
      <w:r w:rsidR="003B619F">
        <w:t xml:space="preserve">. </w:t>
      </w:r>
      <w:r w:rsidR="00876EBB">
        <w:t>I</w:t>
      </w:r>
      <w:r w:rsidR="00111085">
        <w:t xml:space="preserve">f the melody in </w:t>
      </w:r>
      <w:r w:rsidR="00111085" w:rsidRPr="00322209">
        <w:rPr>
          <w:b/>
        </w:rPr>
        <w:t>Example 3</w:t>
      </w:r>
      <w:r w:rsidR="003B619F">
        <w:t xml:space="preserve"> were sung, students sh</w:t>
      </w:r>
      <w:r w:rsidR="00A14C6B">
        <w:t xml:space="preserve">ould hum along (or raise their hands, or indicate in some other way) at notes </w:t>
      </w:r>
      <w:r w:rsidR="00752174">
        <w:t>4, 9, and 10, since they match (respectively) notes 2, 7, and 8.</w:t>
      </w:r>
      <w:r w:rsidR="00590463">
        <w:t xml:space="preserve"> As the </w:t>
      </w:r>
      <w:r w:rsidR="00BF1B23">
        <w:t>value of</w:t>
      </w:r>
      <w:r w:rsidR="00590463">
        <w:t xml:space="preserve"> </w:t>
      </w:r>
      <w:r w:rsidR="00590463">
        <w:rPr>
          <w:i/>
        </w:rPr>
        <w:t>N</w:t>
      </w:r>
      <w:r w:rsidR="00590463">
        <w:t xml:space="preserve"> increases, the task gets exponentially more difficult for both instructor and student: even at </w:t>
      </w:r>
      <w:r w:rsidR="00590463">
        <w:rPr>
          <w:i/>
        </w:rPr>
        <w:t>N</w:t>
      </w:r>
      <w:r w:rsidR="00590463">
        <w:t xml:space="preserve"> = 2, I have found it useful to plan a melody beforehand rather than improvising on the spot.</w:t>
      </w:r>
      <w:r w:rsidR="00A036AB">
        <w:t xml:space="preserve"> Students also take time to adjust to this unfamiliar task, but do improve with practice.</w:t>
      </w:r>
    </w:p>
    <w:p w14:paraId="38590AF9" w14:textId="27DB21DE" w:rsidR="00752174" w:rsidRPr="00752174" w:rsidRDefault="00111085" w:rsidP="001D514A">
      <w:pPr>
        <w:spacing w:line="480" w:lineRule="auto"/>
      </w:pPr>
      <w:r>
        <w:t>Example 3</w:t>
      </w:r>
      <w:r w:rsidR="00752174">
        <w:t xml:space="preserve">. Sample </w:t>
      </w:r>
      <w:r w:rsidR="00752174">
        <w:rPr>
          <w:i/>
        </w:rPr>
        <w:t>N</w:t>
      </w:r>
      <w:r w:rsidR="00752174">
        <w:t>-back melody.</w:t>
      </w:r>
    </w:p>
    <w:p w14:paraId="284EE481" w14:textId="576E372B" w:rsidR="00752174" w:rsidRPr="00A14C6B" w:rsidRDefault="006273DA" w:rsidP="001D514A">
      <w:pPr>
        <w:spacing w:line="480" w:lineRule="auto"/>
      </w:pPr>
      <w:r>
        <w:t>INSERT EXAMPLE 3 HERE</w:t>
      </w:r>
    </w:p>
    <w:p w14:paraId="45E9C159" w14:textId="3B28F765" w:rsidR="003616BC" w:rsidRDefault="00A036AB" w:rsidP="001D514A">
      <w:pPr>
        <w:spacing w:line="480" w:lineRule="auto"/>
      </w:pPr>
      <w:r>
        <w:tab/>
      </w:r>
      <w:r w:rsidR="00387EAF">
        <w:t>There are n</w:t>
      </w:r>
      <w:r w:rsidR="009F3D4B">
        <w:t>otable similarities between the</w:t>
      </w:r>
      <w:r w:rsidR="00387EAF">
        <w:t xml:space="preserve"> </w:t>
      </w:r>
      <w:r w:rsidR="00387EAF">
        <w:rPr>
          <w:i/>
        </w:rPr>
        <w:t>N</w:t>
      </w:r>
      <w:r w:rsidR="00387EAF">
        <w:t xml:space="preserve">-back test and </w:t>
      </w:r>
      <w:r w:rsidR="00320B22">
        <w:t>the kind</w:t>
      </w:r>
      <w:r w:rsidR="00C06606">
        <w:t xml:space="preserve"> of on-the-spot canon </w:t>
      </w:r>
      <w:r w:rsidR="00387EAF">
        <w:t xml:space="preserve">singing advocated by </w:t>
      </w:r>
      <w:r w:rsidR="00F1601D">
        <w:t>several scholars with an interest in historically-based pedagogy</w:t>
      </w:r>
      <w:r w:rsidR="00387EAF">
        <w:t>.</w:t>
      </w:r>
      <w:r w:rsidR="00F1601D">
        <w:rPr>
          <w:rStyle w:val="FootnoteReference"/>
        </w:rPr>
        <w:footnoteReference w:id="27"/>
      </w:r>
      <w:r w:rsidR="00387EAF">
        <w:t xml:space="preserve"> </w:t>
      </w:r>
      <w:r w:rsidR="00387EAF">
        <w:lastRenderedPageBreak/>
        <w:t xml:space="preserve">These scholars present canon improvisation </w:t>
      </w:r>
      <w:r w:rsidR="00C06606">
        <w:t xml:space="preserve">primarily </w:t>
      </w:r>
      <w:r w:rsidR="00387EAF">
        <w:t xml:space="preserve">as a theoretical/historical exercise for the person improvising the </w:t>
      </w:r>
      <w:r w:rsidR="00387EAF">
        <w:rPr>
          <w:i/>
        </w:rPr>
        <w:t>dux</w:t>
      </w:r>
      <w:r w:rsidR="00387EAF">
        <w:t xml:space="preserve">, who must follow rules that </w:t>
      </w:r>
      <w:r w:rsidR="00F37E98">
        <w:t xml:space="preserve">create acceptable harmonic intervals when a following voice is added, and secondarily as an aural skills exercise for the singer of the </w:t>
      </w:r>
      <w:r w:rsidR="00F37E98">
        <w:rPr>
          <w:i/>
        </w:rPr>
        <w:t>comes</w:t>
      </w:r>
      <w:r w:rsidR="00F37E98">
        <w:t>, who must listen and imitate at a given</w:t>
      </w:r>
      <w:r w:rsidR="006E51FD">
        <w:t xml:space="preserve"> time and pitch</w:t>
      </w:r>
      <w:r w:rsidR="00F37E98">
        <w:t xml:space="preserve"> interval. Those who are less interested in the historical/theoretical value of this exercise may still </w:t>
      </w:r>
      <w:r w:rsidR="004B6EFA">
        <w:t>appreciate</w:t>
      </w:r>
      <w:r w:rsidR="00F37E98">
        <w:t xml:space="preserve"> the aural skills value of having a following voice sing the note </w:t>
      </w:r>
      <w:r w:rsidR="00F37E98">
        <w:rPr>
          <w:i/>
        </w:rPr>
        <w:t>N</w:t>
      </w:r>
      <w:r w:rsidR="00F37E98">
        <w:t xml:space="preserve">-back in a series (melody) sung by another student or the instructor. One may choose whether or not to try to follow traditional rules of counterpoint in this </w:t>
      </w:r>
      <w:r w:rsidR="00D27CB1">
        <w:t>case</w:t>
      </w:r>
      <w:r w:rsidR="00EE71C4">
        <w:t>; unprepared dissonances will likely increase the level of difficulty.</w:t>
      </w:r>
    </w:p>
    <w:p w14:paraId="39D9EF7E" w14:textId="231F90E8" w:rsidR="006455FE" w:rsidRDefault="002F486D" w:rsidP="001D514A">
      <w:pPr>
        <w:spacing w:line="480" w:lineRule="auto"/>
        <w:ind w:firstLine="720"/>
      </w:pPr>
      <w:r>
        <w:rPr>
          <w:b/>
        </w:rPr>
        <w:t>Word (or melody, chord progression, etc.) updating task.</w:t>
      </w:r>
      <w:r>
        <w:t xml:space="preserve"> In </w:t>
      </w:r>
      <w:r w:rsidR="007E314C">
        <w:t>a</w:t>
      </w:r>
      <w:r>
        <w:t xml:space="preserve"> word updating task, </w:t>
      </w:r>
      <w:r w:rsidR="0077567B">
        <w:t xml:space="preserve">subjects are first given a word. They are then instructed to mentally replace certain letters in the word with </w:t>
      </w:r>
      <w:r w:rsidR="006365C0">
        <w:t>specific</w:t>
      </w:r>
      <w:r w:rsidR="0077567B">
        <w:t xml:space="preserve"> new letters over and over to create new words.</w:t>
      </w:r>
      <w:r w:rsidR="00380D7A">
        <w:rPr>
          <w:rStyle w:val="FootnoteReference"/>
        </w:rPr>
        <w:footnoteReference w:id="28"/>
      </w:r>
      <w:r w:rsidR="007A15DD">
        <w:t xml:space="preserve">  </w:t>
      </w:r>
      <w:r w:rsidR="006455FE">
        <w:t xml:space="preserve">In music, we might imagine giving students a melody, either in notation (for students who are fairly fluent </w:t>
      </w:r>
      <w:r w:rsidR="00464F53">
        <w:t>at</w:t>
      </w:r>
      <w:r w:rsidR="006455FE">
        <w:t xml:space="preserve"> </w:t>
      </w:r>
      <w:r w:rsidR="00380D7A">
        <w:t>auralizing</w:t>
      </w:r>
      <w:r w:rsidR="00024C43">
        <w:t xml:space="preserve"> from a score</w:t>
      </w:r>
      <w:r w:rsidR="006455FE">
        <w:t xml:space="preserve">) or aurally. Then we might ask them to silently replace specific tones in </w:t>
      </w:r>
      <w:r w:rsidR="006455FE">
        <w:lastRenderedPageBreak/>
        <w:t>that melody with other tones. After a (probably small) number of such swaps, students could be asked to compare the</w:t>
      </w:r>
      <w:r w:rsidR="00135197">
        <w:t>ir results with their neighbor or sing them for the teacher</w:t>
      </w:r>
      <w:r w:rsidR="006455FE">
        <w:t>.</w:t>
      </w:r>
      <w:r w:rsidR="0058639D">
        <w:t xml:space="preserve"> </w:t>
      </w:r>
      <w:r w:rsidR="0058639D" w:rsidRPr="00963F63">
        <w:rPr>
          <w:b/>
        </w:rPr>
        <w:t>Example 4</w:t>
      </w:r>
      <w:r w:rsidR="0058639D">
        <w:t xml:space="preserve"> gives a sample instance</w:t>
      </w:r>
      <w:r w:rsidR="00A51012">
        <w:t xml:space="preserve"> based on a familiar melody</w:t>
      </w:r>
      <w:r w:rsidR="0058639D">
        <w:t>.</w:t>
      </w:r>
      <w:r w:rsidR="00591FE0">
        <w:rPr>
          <w:rStyle w:val="FootnoteReference"/>
        </w:rPr>
        <w:footnoteReference w:id="29"/>
      </w:r>
    </w:p>
    <w:p w14:paraId="4B6DC597" w14:textId="70C6B57A" w:rsidR="0058639D" w:rsidRDefault="0058639D" w:rsidP="001D514A">
      <w:pPr>
        <w:spacing w:line="480" w:lineRule="auto"/>
      </w:pPr>
      <w:r>
        <w:t xml:space="preserve">Example 4. </w:t>
      </w:r>
      <w:r w:rsidR="00B81E47">
        <w:t>Sample melody-updating task based on the first line of “Mary Had a Little Lamb”</w:t>
      </w:r>
    </w:p>
    <w:p w14:paraId="0C672DA6" w14:textId="71895467" w:rsidR="00B81E47" w:rsidRDefault="00B81E47" w:rsidP="001D514A">
      <w:pPr>
        <w:spacing w:line="480" w:lineRule="auto"/>
      </w:pPr>
      <w:r>
        <w:t>Original melody:</w:t>
      </w:r>
    </w:p>
    <w:p w14:paraId="782F4FB2" w14:textId="7645E400" w:rsidR="0058639D" w:rsidRDefault="002948E5" w:rsidP="001D514A">
      <w:pPr>
        <w:spacing w:line="480" w:lineRule="auto"/>
      </w:pPr>
      <w:r>
        <w:t>INSERT EXAMPLE 4 HERE</w:t>
      </w:r>
    </w:p>
    <w:p w14:paraId="0B3EFE86" w14:textId="0AB7223D" w:rsidR="005B61F0" w:rsidRDefault="005B61F0" w:rsidP="001D514A">
      <w:pPr>
        <w:spacing w:line="480" w:lineRule="auto"/>
      </w:pPr>
      <w:r>
        <w:t>Instructions:</w:t>
      </w:r>
    </w:p>
    <w:p w14:paraId="122D028F" w14:textId="3640E2C5" w:rsidR="00B81E47" w:rsidRDefault="00B81E47" w:rsidP="001D514A">
      <w:pPr>
        <w:pStyle w:val="ListParagraph"/>
        <w:numPr>
          <w:ilvl w:val="0"/>
          <w:numId w:val="4"/>
        </w:numPr>
        <w:spacing w:line="480" w:lineRule="auto"/>
      </w:pPr>
      <w:r>
        <w:t xml:space="preserve">“Replace the final note with high </w:t>
      </w:r>
      <w:r w:rsidRPr="00B81E47">
        <w:rPr>
          <w:i/>
        </w:rPr>
        <w:t>do</w:t>
      </w:r>
      <w:r>
        <w:t>.” [Silence while students mentally rehearse]</w:t>
      </w:r>
    </w:p>
    <w:p w14:paraId="487520E3" w14:textId="602FEA6B" w:rsidR="00B81E47" w:rsidRDefault="00B81E47" w:rsidP="001D514A">
      <w:pPr>
        <w:pStyle w:val="ListParagraph"/>
        <w:numPr>
          <w:ilvl w:val="0"/>
          <w:numId w:val="4"/>
        </w:numPr>
        <w:spacing w:line="480" w:lineRule="auto"/>
      </w:pPr>
      <w:r>
        <w:t xml:space="preserve">Replace the opening </w:t>
      </w:r>
      <w:r>
        <w:rPr>
          <w:i/>
        </w:rPr>
        <w:t>mi-re-do</w:t>
      </w:r>
      <w:r>
        <w:t xml:space="preserve"> with </w:t>
      </w:r>
      <w:r>
        <w:rPr>
          <w:i/>
        </w:rPr>
        <w:t>sol-mi-do</w:t>
      </w:r>
      <w:r>
        <w:t>.” [Silence while students mentally rehearse]</w:t>
      </w:r>
    </w:p>
    <w:p w14:paraId="491369E0" w14:textId="1E63A9B4" w:rsidR="00464CDF" w:rsidRDefault="00B81E47" w:rsidP="001D514A">
      <w:pPr>
        <w:pStyle w:val="ListParagraph"/>
        <w:numPr>
          <w:ilvl w:val="0"/>
          <w:numId w:val="4"/>
        </w:numPr>
        <w:spacing w:line="480" w:lineRule="auto"/>
      </w:pPr>
      <w:r>
        <w:t xml:space="preserve">Replace the </w:t>
      </w:r>
      <w:r>
        <w:rPr>
          <w:i/>
        </w:rPr>
        <w:t>re-re-re</w:t>
      </w:r>
      <w:r>
        <w:t xml:space="preserve"> with </w:t>
      </w:r>
      <w:r>
        <w:rPr>
          <w:i/>
        </w:rPr>
        <w:t>sol-sol-sol</w:t>
      </w:r>
      <w:r>
        <w:t>. [Silence while students mentally rehearse]</w:t>
      </w:r>
    </w:p>
    <w:p w14:paraId="70721BD4" w14:textId="77777777" w:rsidR="007D59C6" w:rsidRDefault="007D59C6" w:rsidP="001D514A">
      <w:pPr>
        <w:spacing w:line="480" w:lineRule="auto"/>
      </w:pPr>
    </w:p>
    <w:p w14:paraId="667472F5" w14:textId="2A88C94F" w:rsidR="00B81E47" w:rsidRDefault="00B81E47" w:rsidP="001D514A">
      <w:pPr>
        <w:spacing w:line="480" w:lineRule="auto"/>
      </w:pPr>
      <w:r>
        <w:t>Expected result:</w:t>
      </w:r>
    </w:p>
    <w:p w14:paraId="080F6422" w14:textId="6AE2B006" w:rsidR="00B81E47" w:rsidRDefault="002948E5" w:rsidP="001D514A">
      <w:pPr>
        <w:spacing w:line="480" w:lineRule="auto"/>
      </w:pPr>
      <w:r>
        <w:t>INSERT EXAMPLE 5 HERE</w:t>
      </w:r>
    </w:p>
    <w:p w14:paraId="472E545E" w14:textId="77777777" w:rsidR="00313350" w:rsidRDefault="00313350" w:rsidP="001D514A">
      <w:pPr>
        <w:spacing w:line="480" w:lineRule="auto"/>
      </w:pPr>
    </w:p>
    <w:p w14:paraId="18FC095D" w14:textId="48CF2FA0" w:rsidR="0058639D" w:rsidRDefault="00101F2C" w:rsidP="001D514A">
      <w:pPr>
        <w:spacing w:line="480" w:lineRule="auto"/>
        <w:ind w:firstLine="720"/>
      </w:pPr>
      <w:r>
        <w:rPr>
          <w:b/>
        </w:rPr>
        <w:t>Stroop task.</w:t>
      </w:r>
      <w:r>
        <w:t xml:space="preserve"> In the famous Stroop effect, </w:t>
      </w:r>
      <w:r w:rsidR="00D17875">
        <w:t>subjects</w:t>
      </w:r>
      <w:r w:rsidR="009A5EDB">
        <w:t xml:space="preserve"> presented with a list of colors spelled out in colors not denoted by their names (e.g., the </w:t>
      </w:r>
      <w:r w:rsidR="00D17875">
        <w:t xml:space="preserve">word “pink” printed in purple) </w:t>
      </w:r>
      <w:r w:rsidR="009A5EDB">
        <w:t xml:space="preserve">have greater </w:t>
      </w:r>
      <w:r w:rsidR="009A5EDB">
        <w:lastRenderedPageBreak/>
        <w:t>difficulty naming the</w:t>
      </w:r>
      <w:r w:rsidR="00135197">
        <w:t xml:space="preserve"> printed</w:t>
      </w:r>
      <w:r w:rsidR="009A5EDB">
        <w:t xml:space="preserve"> colors of the words than if they were printed in their designated color. This suggests a possible musical application, though this will likely be most effective with students who are already fairly well familiarized with solfege. An instructor could either sing a melody with incorrect solfege syllables (admittedly difficult!) or present a notated melody with incorrect syllables written below, and then ask students to sing the melody back with correct solfege.</w:t>
      </w:r>
      <w:r w:rsidR="00BC6103">
        <w:t xml:space="preserve"> Of course, this is not so different from the kinds of error dictation that many instructors already use.</w:t>
      </w:r>
    </w:p>
    <w:p w14:paraId="6D480093" w14:textId="63C38B46" w:rsidR="00BC6103" w:rsidRDefault="00866094" w:rsidP="001D514A">
      <w:pPr>
        <w:spacing w:line="480" w:lineRule="auto"/>
        <w:ind w:firstLine="720"/>
      </w:pPr>
      <w:r>
        <w:rPr>
          <w:b/>
        </w:rPr>
        <w:t>Running memory span.</w:t>
      </w:r>
      <w:r w:rsidR="00085E07">
        <w:rPr>
          <w:b/>
        </w:rPr>
        <w:t xml:space="preserve"> </w:t>
      </w:r>
      <w:r w:rsidR="00085E07">
        <w:t>As described by Cowan, this is “</w:t>
      </w:r>
      <w:r w:rsidR="00085E07" w:rsidRPr="00085E07">
        <w:t>a procedure in which a list of an unpredictable, long length is presented, the task being to recall as many items from the end of the list as pos</w:t>
      </w:r>
      <w:r w:rsidR="00E0619D">
        <w:t>sible after the list terminates</w:t>
      </w:r>
      <w:r w:rsidR="00085E07">
        <w:t>.</w:t>
      </w:r>
      <w:r w:rsidR="00E0619D">
        <w:t>”</w:t>
      </w:r>
      <w:r w:rsidR="001667A5">
        <w:rPr>
          <w:rStyle w:val="FootnoteReference"/>
        </w:rPr>
        <w:footnoteReference w:id="30"/>
      </w:r>
      <w:r w:rsidR="00D52885">
        <w:t xml:space="preserve"> </w:t>
      </w:r>
      <w:r w:rsidR="00D7698B">
        <w:t>In music</w:t>
      </w:r>
      <w:r w:rsidR="005A7942">
        <w:t xml:space="preserve">, the </w:t>
      </w:r>
      <w:r w:rsidR="00E302C7">
        <w:t>“</w:t>
      </w:r>
      <w:r w:rsidR="005A7942">
        <w:t>list</w:t>
      </w:r>
      <w:r w:rsidR="00E302C7">
        <w:t>”</w:t>
      </w:r>
      <w:r w:rsidR="005A7942">
        <w:t xml:space="preserve"> could be </w:t>
      </w:r>
      <w:r w:rsidR="00E302C7">
        <w:t>a string of</w:t>
      </w:r>
      <w:r w:rsidR="005A7942">
        <w:t xml:space="preserve"> any of the objects mentioned above: tones</w:t>
      </w:r>
      <w:r w:rsidR="00B13187">
        <w:t xml:space="preserve"> (a melody)</w:t>
      </w:r>
      <w:r w:rsidR="005A7942">
        <w:t>, scale degrees</w:t>
      </w:r>
      <w:r w:rsidR="00B13187">
        <w:t xml:space="preserve"> (a tonal melody)</w:t>
      </w:r>
      <w:r w:rsidR="005A7942">
        <w:t>, chords</w:t>
      </w:r>
      <w:r w:rsidR="00B13187">
        <w:t xml:space="preserve"> (a chord progression)</w:t>
      </w:r>
      <w:r w:rsidR="005A7942">
        <w:t>, rhythmic cells</w:t>
      </w:r>
      <w:r w:rsidR="00B13187">
        <w:t xml:space="preserve"> (a rhythm)</w:t>
      </w:r>
      <w:r w:rsidR="005A7942">
        <w:t>, etc.</w:t>
      </w:r>
    </w:p>
    <w:p w14:paraId="7691E86B" w14:textId="3C623643" w:rsidR="003871E4" w:rsidRDefault="001235B5" w:rsidP="001D514A">
      <w:pPr>
        <w:spacing w:line="480" w:lineRule="auto"/>
        <w:ind w:firstLine="720"/>
      </w:pPr>
      <w:r>
        <w:rPr>
          <w:b/>
        </w:rPr>
        <w:t>Dichotic listening task.</w:t>
      </w:r>
      <w:r>
        <w:t xml:space="preserve"> Since control of attention is either important to or strongly correlated with working memory capacity (and, of course, an important skill on its own), a significant number of working-memory tests examine subjects’ ability to focus on desired information and tune out irrelevant information. In a classic dichotic listening task, </w:t>
      </w:r>
      <w:r w:rsidR="00D914B7">
        <w:t xml:space="preserve">for example, </w:t>
      </w:r>
      <w:r w:rsidR="004D3E10">
        <w:t>subjects listen, usually through headphones, to two usually unrelated</w:t>
      </w:r>
      <w:r>
        <w:t xml:space="preserve"> streams of speech</w:t>
      </w:r>
      <w:r w:rsidR="00EA2DC4">
        <w:t xml:space="preserve"> </w:t>
      </w:r>
      <w:r>
        <w:t xml:space="preserve">and are instructed to pay attention to and remember one and ignore the other. This task is already exercised in many aural skills classrooms when students are asked to do dictation in a room with less-than soundproofed walls, but it is probably more effective and less stressful when the </w:t>
      </w:r>
      <w:r>
        <w:lastRenderedPageBreak/>
        <w:t>task is set up with purpose and planning. The most obvious musical adaptation would be for two sound s</w:t>
      </w:r>
      <w:r w:rsidR="00556280">
        <w:t xml:space="preserve">ources (performers, </w:t>
      </w:r>
      <w:r>
        <w:t xml:space="preserve">speakers, etc.) to be set up </w:t>
      </w:r>
      <w:r w:rsidR="001846B8">
        <w:t xml:space="preserve">to play/sing unrelated musical excerpts simultaneously </w:t>
      </w:r>
      <w:r>
        <w:t xml:space="preserve">on opposite sides of the </w:t>
      </w:r>
      <w:r w:rsidR="001846B8">
        <w:t>room</w:t>
      </w:r>
      <w:r w:rsidR="00007253">
        <w:t>; s</w:t>
      </w:r>
      <w:r>
        <w:t>tudents would be asked to ignore one and listen to the other in order to sing it back</w:t>
      </w:r>
      <w:r w:rsidR="00E427FF">
        <w:t>, similar in some ways to two-voice dictation.</w:t>
      </w:r>
      <w:r w:rsidR="002041B2">
        <w:t xml:space="preserve"> This task can be altered in many ways, however, while preserving the desired goal of taxing control of attention. For example, students could be asked to sing a melody over and over while the instructor plays increasingly loud conflicting music over a sound system or on an instrument, or two groups of students could sing in different keys</w:t>
      </w:r>
      <w:r w:rsidR="00007253">
        <w:t>,</w:t>
      </w:r>
      <w:r w:rsidR="002041B2">
        <w:t xml:space="preserve"> or sing different melodies</w:t>
      </w:r>
      <w:r w:rsidR="00007253">
        <w:t>,</w:t>
      </w:r>
      <w:r w:rsidR="002041B2">
        <w:t xml:space="preserve"> simultaneously.</w:t>
      </w:r>
    </w:p>
    <w:p w14:paraId="5ED9ACC7" w14:textId="3BA9BAFB" w:rsidR="002041B2" w:rsidRPr="001235B5" w:rsidRDefault="001F7FC9" w:rsidP="001D514A">
      <w:pPr>
        <w:spacing w:line="480" w:lineRule="auto"/>
        <w:ind w:firstLine="720"/>
      </w:pPr>
      <w:r>
        <w:t xml:space="preserve">While these adaptations of control-of-attention tasks may seem useful only for students with a fairly high level of confidence and accomplishment, they can be adapted to students at any level of the curriculum. </w:t>
      </w:r>
      <w:r w:rsidR="00DC399E">
        <w:t xml:space="preserve">In fact, one of the most useful adaptations I have </w:t>
      </w:r>
      <w:r w:rsidR="00FA6147">
        <w:t>implemented</w:t>
      </w:r>
      <w:r w:rsidR="00DC399E">
        <w:t xml:space="preserve"> </w:t>
      </w:r>
      <w:r w:rsidR="004A76CC">
        <w:t xml:space="preserve">also </w:t>
      </w:r>
      <w:r w:rsidR="00C634A8">
        <w:t xml:space="preserve">helps beginning students to develop </w:t>
      </w:r>
      <w:r w:rsidR="00BF235A">
        <w:t>their internal hearing</w:t>
      </w:r>
      <w:r w:rsidR="007853B3">
        <w:t xml:space="preserve">. I first </w:t>
      </w:r>
      <w:r w:rsidR="00BF235A">
        <w:t>gi</w:t>
      </w:r>
      <w:r w:rsidR="007853B3">
        <w:t xml:space="preserve">ve them a single pitch to hum </w:t>
      </w:r>
      <w:r w:rsidR="00072A02">
        <w:t>for a long time, breathing as necessary,</w:t>
      </w:r>
      <w:r w:rsidR="00F220E7">
        <w:t xml:space="preserve"> </w:t>
      </w:r>
      <w:r w:rsidR="007853B3">
        <w:t xml:space="preserve">and ask </w:t>
      </w:r>
      <w:r w:rsidR="00DC399E">
        <w:t xml:space="preserve">them to </w:t>
      </w:r>
      <w:r w:rsidR="00B23933">
        <w:t>use the position of my hand to determine their dynamics, from high</w:t>
      </w:r>
      <w:r w:rsidR="00E427FF">
        <w:t xml:space="preserve"> (loud) to low (</w:t>
      </w:r>
      <w:r w:rsidR="00B23933">
        <w:t>silent</w:t>
      </w:r>
      <w:r w:rsidR="00E427FF">
        <w:t>)</w:t>
      </w:r>
      <w:r w:rsidR="00B23933">
        <w:t>. After students have dealt with some periods of silence (a kind of distractor), I start introducing soft irrelevant tones and music first while they are humming, then also in the silences. Finally, I combine these with a</w:t>
      </w:r>
      <w:r w:rsidR="00787DCB">
        <w:t xml:space="preserve"> kind of</w:t>
      </w:r>
      <w:r w:rsidR="00B23933">
        <w:t xml:space="preserve"> tone-updating task by asking them, in the silences, to go (say) up a half step, then up a whole step, then sing the resulting pitch.</w:t>
      </w:r>
      <w:r w:rsidR="00FD73B4">
        <w:t xml:space="preserve"> These</w:t>
      </w:r>
      <w:r w:rsidR="00DD7899">
        <w:t xml:space="preserve"> valuable exercises have given some</w:t>
      </w:r>
      <w:r w:rsidR="00FD73B4">
        <w:t xml:space="preserve"> </w:t>
      </w:r>
      <w:r w:rsidR="00DD7899">
        <w:t xml:space="preserve">of my </w:t>
      </w:r>
      <w:r w:rsidR="00FD73B4">
        <w:t>beginning students</w:t>
      </w:r>
      <w:r w:rsidR="00DD7899">
        <w:t xml:space="preserve"> their first </w:t>
      </w:r>
      <w:r w:rsidR="004158A4">
        <w:t xml:space="preserve">clear </w:t>
      </w:r>
      <w:r w:rsidR="00DD7899">
        <w:t>experience of internal hearing</w:t>
      </w:r>
      <w:r w:rsidR="00FD73B4">
        <w:t>.</w:t>
      </w:r>
    </w:p>
    <w:p w14:paraId="6E7D8C06" w14:textId="3A30CA52" w:rsidR="00464CDF" w:rsidRDefault="00093B3B" w:rsidP="001D514A">
      <w:pPr>
        <w:spacing w:line="480" w:lineRule="auto"/>
        <w:ind w:firstLine="720"/>
      </w:pPr>
      <w:r>
        <w:t>Among all these exercises,</w:t>
      </w:r>
      <w:r w:rsidR="00832575">
        <w:t xml:space="preserve"> I have found those intended to improve control of attention to be </w:t>
      </w:r>
      <w:r w:rsidR="00EE58DF">
        <w:t xml:space="preserve">especially </w:t>
      </w:r>
      <w:r w:rsidR="00832575">
        <w:t xml:space="preserve">useful in the classroom. Students often have difficulty controlling their attention, whether from mental and attentional habits encouraged by modern media or from </w:t>
      </w:r>
      <w:r w:rsidR="00832575">
        <w:lastRenderedPageBreak/>
        <w:t xml:space="preserve">distracting events in students’ outside-the-classroom lives. </w:t>
      </w:r>
      <w:r w:rsidR="00832575">
        <w:rPr>
          <w:i/>
        </w:rPr>
        <w:t>N</w:t>
      </w:r>
      <w:r w:rsidR="00832575">
        <w:t>-back exercises and control-of-attention tasks in particular may help students be fully (attentionally) present in what they are doing and able to control what they listen to.</w:t>
      </w:r>
      <w:r w:rsidR="00832575">
        <w:rPr>
          <w:rStyle w:val="FootnoteReference"/>
        </w:rPr>
        <w:footnoteReference w:id="31"/>
      </w:r>
      <w:r w:rsidR="00A708F2">
        <w:t xml:space="preserve"> Beyond these </w:t>
      </w:r>
      <w:r w:rsidR="006A4130">
        <w:t>benefits, the</w:t>
      </w:r>
      <w:r w:rsidR="00A708F2">
        <w:t xml:space="preserve"> exercises are often fun and provide a welcome contrast to traditional sight-reading and dictation tasks. Increases in working memory</w:t>
      </w:r>
      <w:r w:rsidR="00945C89">
        <w:t xml:space="preserve"> capacity</w:t>
      </w:r>
      <w:r w:rsidR="00A708F2">
        <w:t xml:space="preserve">, if they occur, </w:t>
      </w:r>
      <w:r w:rsidR="00F91A69">
        <w:t>might</w:t>
      </w:r>
      <w:r w:rsidR="00A708F2">
        <w:t xml:space="preserve"> thus be the most valuable benefit of the exercises, but they are far from the only ones.</w:t>
      </w:r>
    </w:p>
    <w:p w14:paraId="25C51445" w14:textId="123A7361" w:rsidR="00D017AB" w:rsidRPr="003E79FB" w:rsidRDefault="003E79FB" w:rsidP="001D514A">
      <w:pPr>
        <w:spacing w:line="480" w:lineRule="auto"/>
        <w:jc w:val="center"/>
        <w:outlineLvl w:val="0"/>
        <w:rPr>
          <w:b/>
        </w:rPr>
      </w:pPr>
      <w:r>
        <w:rPr>
          <w:b/>
        </w:rPr>
        <w:t>Assessment</w:t>
      </w:r>
    </w:p>
    <w:p w14:paraId="6753BB04" w14:textId="7BA76EDC" w:rsidR="003E79FB" w:rsidRDefault="00B36FE2" w:rsidP="001D514A">
      <w:pPr>
        <w:spacing w:line="480" w:lineRule="auto"/>
        <w:ind w:firstLine="720"/>
      </w:pPr>
      <w:r>
        <w:t xml:space="preserve">As with any aspect of our teaching, we must think about assessment. Should we directly assess students’ working memory? There is a spectrum of approaches one might take. On one (probably easier) end, one could decide not to test working memory. The exercises suggested above could still be used in class as fun, short warmups or breaks from other activities. On the other end of the spectrum, most of these activities could be adapted into assessments. For example, the instructor could use a running-memory-span-based test: play a long melody and instruct students that when it stops, they must write down the last five scale degrees they heard. A melody-updating task, on the other hand, would be more appropriate for an individual hearing. </w:t>
      </w:r>
      <w:r w:rsidR="0083467E">
        <w:t>T</w:t>
      </w:r>
      <w:r w:rsidR="00BA3753">
        <w:t>esting can</w:t>
      </w:r>
      <w:r>
        <w:t xml:space="preserve"> communicate to students that these exercises are </w:t>
      </w:r>
      <w:r w:rsidR="001E78B3">
        <w:t>va</w:t>
      </w:r>
      <w:r w:rsidR="00D3148F">
        <w:t xml:space="preserve">lued </w:t>
      </w:r>
      <w:r>
        <w:t xml:space="preserve">and that they might want to practice them outside of class. In between these two extremes are any number </w:t>
      </w:r>
      <w:r>
        <w:lastRenderedPageBreak/>
        <w:t>of middle positions, including requiring students to pass a pass/fail working memory hearing by a certain point in the semes</w:t>
      </w:r>
      <w:r w:rsidR="00A94225">
        <w:t>ter or to spend a certain amount of time on these outside of class each week.</w:t>
      </w:r>
    </w:p>
    <w:p w14:paraId="334930B8" w14:textId="466DB99E" w:rsidR="00EA7949" w:rsidRDefault="00C36AFD" w:rsidP="001D514A">
      <w:pPr>
        <w:spacing w:line="480" w:lineRule="auto"/>
        <w:ind w:firstLine="720"/>
      </w:pPr>
      <w:r>
        <w:t>When designing assessments, however, it is important to keep in mind that stress has consistently been shown to have a negative effect on working memory performance.</w:t>
      </w:r>
      <w:r>
        <w:rPr>
          <w:rStyle w:val="FootnoteReference"/>
        </w:rPr>
        <w:footnoteReference w:id="32"/>
      </w:r>
      <w:r w:rsidR="00771E21">
        <w:t xml:space="preserve"> In particular, Qin and </w:t>
      </w:r>
      <w:r w:rsidR="00423B1F">
        <w:t xml:space="preserve">his </w:t>
      </w:r>
      <w:r w:rsidR="00771E21">
        <w:t xml:space="preserve">co-authors </w:t>
      </w:r>
      <w:r w:rsidR="00423B1F">
        <w:t>noted that stress induced “reallocation of resources away from executive function networks” in favor of “adaptive and habitual responses</w:t>
      </w:r>
      <w:r w:rsidR="001E78B3">
        <w:t>,</w:t>
      </w:r>
      <w:r w:rsidR="00423B1F">
        <w:t xml:space="preserve">” </w:t>
      </w:r>
      <w:r w:rsidR="00E468CF">
        <w:t xml:space="preserve">which </w:t>
      </w:r>
      <w:r w:rsidR="00423B1F">
        <w:t>will certainly be destructive to the kind of focused listening and attention</w:t>
      </w:r>
      <w:r w:rsidR="004B2178">
        <w:t>al control</w:t>
      </w:r>
      <w:r w:rsidR="00423B1F">
        <w:t xml:space="preserve"> that </w:t>
      </w:r>
      <w:r w:rsidR="002A7B7A">
        <w:t>aural skills tasks</w:t>
      </w:r>
      <w:r w:rsidR="00423B1F">
        <w:t xml:space="preserve"> typically require.</w:t>
      </w:r>
      <w:r w:rsidR="001E78B3" w:rsidRPr="001E78B3">
        <w:rPr>
          <w:rStyle w:val="FootnoteReference"/>
        </w:rPr>
        <w:t xml:space="preserve"> </w:t>
      </w:r>
      <w:r w:rsidR="001E78B3">
        <w:rPr>
          <w:rStyle w:val="FootnoteReference"/>
        </w:rPr>
        <w:footnoteReference w:id="33"/>
      </w:r>
      <w:r w:rsidR="002F5056">
        <w:t xml:space="preserve"> Since the most promising benefit of working-memory training is that it may increase attentional control, pushing students into “habitual responses” will be particularly destructive to efficiency, speed, and accurac</w:t>
      </w:r>
      <w:r w:rsidR="00EA7949">
        <w:t xml:space="preserve">y of working memory performance and can develop bad habits that </w:t>
      </w:r>
      <w:r w:rsidR="005F56CD">
        <w:t>may</w:t>
      </w:r>
      <w:r w:rsidR="00EA7949">
        <w:t xml:space="preserve"> then spread to other areas of a student’s musical life.</w:t>
      </w:r>
      <w:r w:rsidR="00D8766B">
        <w:t xml:space="preserve"> </w:t>
      </w:r>
      <w:r w:rsidR="00FE7FE4">
        <w:t xml:space="preserve">This </w:t>
      </w:r>
      <w:r w:rsidR="00FE7FE4">
        <w:lastRenderedPageBreak/>
        <w:t xml:space="preserve">research suggests the urgency of making the aural-skills environment </w:t>
      </w:r>
      <w:r w:rsidR="00D8766B">
        <w:t xml:space="preserve">as low </w:t>
      </w:r>
      <w:r w:rsidR="0051100F">
        <w:t xml:space="preserve">in </w:t>
      </w:r>
      <w:r w:rsidR="00D8766B">
        <w:t>stress as possible.</w:t>
      </w:r>
    </w:p>
    <w:p w14:paraId="12E69209" w14:textId="30BFF376" w:rsidR="007258DC" w:rsidRPr="007258DC" w:rsidRDefault="007258DC" w:rsidP="001D514A">
      <w:pPr>
        <w:spacing w:line="480" w:lineRule="auto"/>
        <w:jc w:val="center"/>
        <w:outlineLvl w:val="0"/>
        <w:rPr>
          <w:b/>
        </w:rPr>
      </w:pPr>
      <w:r>
        <w:rPr>
          <w:b/>
        </w:rPr>
        <w:t>Conclusion</w:t>
      </w:r>
    </w:p>
    <w:p w14:paraId="6AA07B9B" w14:textId="0A3C660F" w:rsidR="001E0A97" w:rsidRDefault="001E0A97" w:rsidP="001D514A">
      <w:pPr>
        <w:spacing w:line="480" w:lineRule="auto"/>
        <w:ind w:firstLine="720"/>
      </w:pPr>
      <w:r>
        <w:t xml:space="preserve">The current state of research on working memory clearly complicates the ways we understand the process of taking dictation. </w:t>
      </w:r>
      <w:r w:rsidR="00622BC6">
        <w:t xml:space="preserve">In light of the unified nature of the working memory system, we must sacrifice the simplicity of understanding this process as a series of separable components. This is not to say that Karpinski’s framework is no longer useful: rather, we must now </w:t>
      </w:r>
      <w:r w:rsidR="00BB61BC">
        <w:t>understand the four components</w:t>
      </w:r>
      <w:r w:rsidR="00622BC6">
        <w:t xml:space="preserve"> as different windows into an essentially unified system. We can </w:t>
      </w:r>
      <w:r w:rsidR="00212D06">
        <w:t xml:space="preserve">still </w:t>
      </w:r>
      <w:r w:rsidR="00622BC6">
        <w:t>treat them separately, but they all ultimately interconnect and rely on each other. This unified framework can help explain why many students’ deficiencies seem to fall into at least two of Karpinski’s categories.</w:t>
      </w:r>
    </w:p>
    <w:p w14:paraId="4AAE8463" w14:textId="36C5C589" w:rsidR="00995C54" w:rsidRDefault="004E6109" w:rsidP="001D514A">
      <w:pPr>
        <w:spacing w:line="480" w:lineRule="auto"/>
        <w:ind w:firstLine="720"/>
      </w:pPr>
      <w:r>
        <w:t xml:space="preserve">Understanding this framework should also </w:t>
      </w:r>
      <w:r w:rsidR="00212D06">
        <w:t>have an effect</w:t>
      </w:r>
      <w:r w:rsidR="00F35213">
        <w:t xml:space="preserve"> on</w:t>
      </w:r>
      <w:r>
        <w:t xml:space="preserve"> the way we understand the purpose of aural skills classes. Well-established </w:t>
      </w:r>
      <w:r w:rsidR="00822A37">
        <w:t xml:space="preserve">learning </w:t>
      </w:r>
      <w:r>
        <w:t xml:space="preserve">goals such as internalizing </w:t>
      </w:r>
      <w:r w:rsidR="00F45B42">
        <w:t xml:space="preserve">musical </w:t>
      </w:r>
      <w:r>
        <w:t xml:space="preserve">schemata and </w:t>
      </w:r>
      <w:r w:rsidR="00F45B42">
        <w:t xml:space="preserve">gaining fluency with notation should not be replaced, but we must understand that at the root of nearly every task we do—and particularly tasks that must be done in a time-sensitive manner, like sight singing and dictation—is the system of working memory. </w:t>
      </w:r>
      <w:r w:rsidR="00D94086">
        <w:t>T</w:t>
      </w:r>
      <w:r w:rsidR="00F45B42">
        <w:t>o better reach these traditional goals, we should pay attention to our students’</w:t>
      </w:r>
      <w:r w:rsidR="007F7F22">
        <w:t xml:space="preserve"> working memory skills—a</w:t>
      </w:r>
      <w:r w:rsidR="00F45B42">
        <w:t>nd, of course, these skills are valuable in and of themselves.</w:t>
      </w:r>
      <w:r w:rsidR="003E3A65">
        <w:t xml:space="preserve"> While we may not be able to increase the capacity of working memory, we might add to our traditional goals something like, “This class will increase the speed, efficiency, flexibility, and accuracy of students’ working memory.”</w:t>
      </w:r>
    </w:p>
    <w:p w14:paraId="6C20C361" w14:textId="596D723B" w:rsidR="00796073" w:rsidRDefault="0079230B" w:rsidP="001D514A">
      <w:pPr>
        <w:spacing w:line="480" w:lineRule="auto"/>
        <w:ind w:firstLine="720"/>
      </w:pPr>
      <w:r>
        <w:lastRenderedPageBreak/>
        <w:t xml:space="preserve">A more detailed model of exactly how dictation (or sight singing, or improvisation, or many other musical tasks) uses the various components of working memory will need to await further studies, both of working memory generally and of applications to music. But in the meantime, we can use exercises based on the working-memory literature and develop a sensitivity especially to the role of students’ attentional control. </w:t>
      </w:r>
      <w:r w:rsidR="00964AA6">
        <w:t>Making these changes at the very least gives us new ways to exercise traditional skills, and may even improve students’ performance—both within music and in their broader lives.</w:t>
      </w:r>
    </w:p>
    <w:p w14:paraId="34A375B5" w14:textId="77777777" w:rsidR="002F010B" w:rsidRDefault="002F010B" w:rsidP="001D514A">
      <w:pPr>
        <w:spacing w:line="480" w:lineRule="auto"/>
        <w:ind w:firstLine="720"/>
      </w:pPr>
    </w:p>
    <w:p w14:paraId="74190154" w14:textId="7E54ECE5" w:rsidR="007B3F6A" w:rsidRPr="007B3F6A" w:rsidRDefault="007B3F6A" w:rsidP="001D514A">
      <w:pPr>
        <w:spacing w:after="120" w:line="480" w:lineRule="auto"/>
        <w:ind w:left="720" w:hanging="720"/>
        <w:jc w:val="center"/>
        <w:outlineLvl w:val="0"/>
        <w:rPr>
          <w:b/>
          <w:u w:val="single"/>
        </w:rPr>
      </w:pPr>
      <w:r w:rsidRPr="007B3F6A">
        <w:rPr>
          <w:b/>
          <w:u w:val="single"/>
        </w:rPr>
        <w:t>Works Cited</w:t>
      </w:r>
    </w:p>
    <w:p w14:paraId="4E02ABB2" w14:textId="40CAA62D" w:rsidR="00F0695E" w:rsidRPr="00F0695E" w:rsidRDefault="00F0695E" w:rsidP="001D514A">
      <w:pPr>
        <w:spacing w:after="120" w:line="480" w:lineRule="auto"/>
        <w:ind w:left="720" w:hanging="720"/>
      </w:pPr>
      <w:r>
        <w:t xml:space="preserve">Baddeley, Alan. “Working Memory: Theories, Models, and Controversies.” </w:t>
      </w:r>
      <w:r>
        <w:rPr>
          <w:i/>
        </w:rPr>
        <w:t>Annual Review of Psychology</w:t>
      </w:r>
      <w:r>
        <w:t xml:space="preserve"> 63 (2012): 1–29.</w:t>
      </w:r>
    </w:p>
    <w:p w14:paraId="70D0E0E2" w14:textId="235B2724" w:rsidR="00836707" w:rsidRPr="00836707" w:rsidRDefault="00F0695E" w:rsidP="001D514A">
      <w:pPr>
        <w:spacing w:after="120" w:line="480" w:lineRule="auto"/>
        <w:ind w:left="720" w:hanging="720"/>
      </w:pPr>
      <w:r>
        <w:t xml:space="preserve">------. </w:t>
      </w:r>
      <w:r w:rsidR="00836707">
        <w:t xml:space="preserve">“Working Memory.” </w:t>
      </w:r>
      <w:r w:rsidR="00836707">
        <w:rPr>
          <w:i/>
        </w:rPr>
        <w:t>Science</w:t>
      </w:r>
      <w:r w:rsidR="00836707">
        <w:t>, New Series 255, No. 5044 (1992): 556–559.</w:t>
      </w:r>
    </w:p>
    <w:p w14:paraId="3CB3D03C" w14:textId="258EBE58" w:rsidR="0084769D" w:rsidRPr="00B97F21" w:rsidRDefault="0084769D" w:rsidP="001D514A">
      <w:pPr>
        <w:spacing w:after="120" w:line="480" w:lineRule="auto"/>
        <w:ind w:left="720" w:hanging="720"/>
      </w:pPr>
      <w:r>
        <w:t xml:space="preserve">Baddeley, Alan, and </w:t>
      </w:r>
      <w:r w:rsidR="00826A87">
        <w:t xml:space="preserve">Graham Hitch. “Working Memory.” </w:t>
      </w:r>
      <w:r w:rsidR="00826A87">
        <w:rPr>
          <w:i/>
        </w:rPr>
        <w:t>The Psychology of Learning and Motivation</w:t>
      </w:r>
      <w:r w:rsidR="00DC3D6B">
        <w:t xml:space="preserve"> 8 (1974): 47–89.</w:t>
      </w:r>
      <w:r w:rsidR="00B97F21">
        <w:t xml:space="preserve"> </w:t>
      </w:r>
    </w:p>
    <w:p w14:paraId="6A98F0EF" w14:textId="7C9E05C3" w:rsidR="006A4EAC" w:rsidRPr="006A4EAC" w:rsidRDefault="006A4EAC" w:rsidP="001D514A">
      <w:pPr>
        <w:spacing w:after="120" w:line="480" w:lineRule="auto"/>
        <w:ind w:left="720" w:hanging="720"/>
      </w:pPr>
      <w:r>
        <w:t>Chaffin, Charles. “</w:t>
      </w:r>
      <w:r w:rsidRPr="006A4EAC">
        <w:t>An Examination of the Cognitive Workload Associated with Conducting in an Instrumental Music</w:t>
      </w:r>
      <w:r>
        <w:t xml:space="preserve"> Context: A Review of Literature.” </w:t>
      </w:r>
      <w:r w:rsidRPr="006A4EAC">
        <w:rPr>
          <w:i/>
        </w:rPr>
        <w:t>Bulletin of the Council for Research in Music Education</w:t>
      </w:r>
      <w:r w:rsidRPr="006A4EAC">
        <w:t xml:space="preserve"> </w:t>
      </w:r>
      <w:r>
        <w:t>189 (2011): 73–87.</w:t>
      </w:r>
    </w:p>
    <w:p w14:paraId="3E4911B4" w14:textId="086000F5" w:rsidR="00664C78" w:rsidRPr="00664C78" w:rsidRDefault="00664C78" w:rsidP="001D514A">
      <w:pPr>
        <w:spacing w:after="120" w:line="480" w:lineRule="auto"/>
        <w:ind w:left="720" w:hanging="720"/>
      </w:pPr>
      <w:r w:rsidRPr="00664C78">
        <w:t>Col</w:t>
      </w:r>
      <w:r w:rsidR="00FF2135">
        <w:t>lins, Denis. “’So You Want to Write a Canon?’</w:t>
      </w:r>
      <w:r w:rsidRPr="00664C78">
        <w:t xml:space="preserve"> An Historically-Informed New Approach for the Modern Theory Class." </w:t>
      </w:r>
      <w:r w:rsidRPr="00664C78">
        <w:rPr>
          <w:i/>
          <w:iCs/>
        </w:rPr>
        <w:t>College Music Symposium</w:t>
      </w:r>
      <w:r w:rsidR="009B596F">
        <w:t xml:space="preserve"> 48</w:t>
      </w:r>
      <w:r w:rsidR="00FF2135">
        <w:t xml:space="preserve"> (2008)</w:t>
      </w:r>
      <w:r w:rsidR="009B596F">
        <w:t>:</w:t>
      </w:r>
      <w:r w:rsidR="001223E6">
        <w:t xml:space="preserve"> 108–123.</w:t>
      </w:r>
    </w:p>
    <w:p w14:paraId="1438F85E" w14:textId="5706B4F6" w:rsidR="00664C78" w:rsidRPr="00664C78" w:rsidRDefault="00FF2135" w:rsidP="001D514A">
      <w:pPr>
        <w:spacing w:after="120" w:line="480" w:lineRule="auto"/>
        <w:ind w:left="720" w:hanging="720"/>
      </w:pPr>
      <w:r>
        <w:t>Cowan, Nelson</w:t>
      </w:r>
      <w:r w:rsidR="00B85095">
        <w:t>. "What A</w:t>
      </w:r>
      <w:r w:rsidR="00664C78" w:rsidRPr="00664C78">
        <w:t xml:space="preserve">re the Differences Between Long-Term, Short-Term, and Working Memory?" </w:t>
      </w:r>
      <w:r w:rsidR="00664C78" w:rsidRPr="00664C78">
        <w:rPr>
          <w:i/>
          <w:iCs/>
        </w:rPr>
        <w:t>Progress in Brain Research</w:t>
      </w:r>
      <w:r w:rsidR="00664C78" w:rsidRPr="00664C78">
        <w:t xml:space="preserve"> 169</w:t>
      </w:r>
      <w:r>
        <w:t xml:space="preserve"> (</w:t>
      </w:r>
      <w:r w:rsidRPr="00664C78">
        <w:t>2008</w:t>
      </w:r>
      <w:r>
        <w:t>)</w:t>
      </w:r>
      <w:r w:rsidR="00664C78" w:rsidRPr="00664C78">
        <w:t>: 323–338.</w:t>
      </w:r>
    </w:p>
    <w:p w14:paraId="7521153A" w14:textId="4E8EE189" w:rsidR="00F31E98" w:rsidRPr="00731EF9" w:rsidRDefault="00731EF9" w:rsidP="001D514A">
      <w:pPr>
        <w:spacing w:after="120" w:line="480" w:lineRule="auto"/>
        <w:ind w:left="720" w:hanging="720"/>
      </w:pPr>
      <w:r>
        <w:lastRenderedPageBreak/>
        <w:t xml:space="preserve">Cowan, Nelson, et al. “On the Capacity of Attention: Its Estimation and its Role in Working Memory and Cognitive Aptitudes.” </w:t>
      </w:r>
      <w:r>
        <w:rPr>
          <w:i/>
        </w:rPr>
        <w:t>Cognitive Psychology</w:t>
      </w:r>
      <w:r>
        <w:t xml:space="preserve"> 51 (2005): 42–100.</w:t>
      </w:r>
    </w:p>
    <w:p w14:paraId="68F07858" w14:textId="4F7B351A" w:rsidR="003A0DC5" w:rsidRPr="003A0DC5" w:rsidRDefault="003A0DC5" w:rsidP="001D514A">
      <w:pPr>
        <w:spacing w:after="120" w:line="480" w:lineRule="auto"/>
        <w:ind w:left="720" w:hanging="720"/>
      </w:pPr>
      <w:r>
        <w:t>Cowan, Nelson, Zhijian Chen and Jeffrey N. Rouder. “</w:t>
      </w:r>
      <w:r w:rsidRPr="003A0DC5">
        <w:t xml:space="preserve">Constant Capacity in an Immediate Serial-Recall Task: A </w:t>
      </w:r>
      <w:r>
        <w:t xml:space="preserve">Logical Sequel to Miller (1956).” </w:t>
      </w:r>
      <w:r>
        <w:rPr>
          <w:i/>
        </w:rPr>
        <w:t>Psychological Science</w:t>
      </w:r>
      <w:r>
        <w:t xml:space="preserve"> 15, No. 9 (2004): 634–640.</w:t>
      </w:r>
    </w:p>
    <w:p w14:paraId="689CEDAF" w14:textId="5F60B4A5" w:rsidR="00664C78" w:rsidRDefault="00FF2135" w:rsidP="001D514A">
      <w:pPr>
        <w:spacing w:after="120" w:line="480" w:lineRule="auto"/>
        <w:ind w:left="720" w:hanging="720"/>
      </w:pPr>
      <w:r>
        <w:t>Cumming, Julie E</w:t>
      </w:r>
      <w:r w:rsidR="00664C78" w:rsidRPr="00664C78">
        <w:t xml:space="preserve">. "Renaissance Improvisation and Musicology." </w:t>
      </w:r>
      <w:r w:rsidR="00664C78" w:rsidRPr="00664C78">
        <w:rPr>
          <w:i/>
          <w:iCs/>
        </w:rPr>
        <w:t>Music Theory Online</w:t>
      </w:r>
      <w:r w:rsidR="00664C78" w:rsidRPr="00664C78">
        <w:t xml:space="preserve"> </w:t>
      </w:r>
      <w:r w:rsidR="009B596F">
        <w:t>19, No. 2</w:t>
      </w:r>
      <w:r>
        <w:t xml:space="preserve"> (</w:t>
      </w:r>
      <w:r w:rsidRPr="00664C78">
        <w:t>2013</w:t>
      </w:r>
      <w:r>
        <w:t>)</w:t>
      </w:r>
      <w:r w:rsidR="00664C78" w:rsidRPr="00664C78">
        <w:t>.</w:t>
      </w:r>
      <w:r w:rsidR="009B596F">
        <w:t xml:space="preserve"> </w:t>
      </w:r>
      <w:r w:rsidR="00853065" w:rsidRPr="00853065">
        <w:t>http://mtosmt.org/issues/mto.13.19.2/mto.13.19.2.cumming.html</w:t>
      </w:r>
      <w:r>
        <w:t>.</w:t>
      </w:r>
    </w:p>
    <w:p w14:paraId="43B26F8D" w14:textId="18E107EA" w:rsidR="00853065" w:rsidRPr="00853065" w:rsidRDefault="00853065" w:rsidP="001D514A">
      <w:pPr>
        <w:spacing w:after="120" w:line="480" w:lineRule="auto"/>
        <w:ind w:left="720" w:hanging="720"/>
      </w:pPr>
      <w:r>
        <w:t xml:space="preserve">Damschroder, David A. </w:t>
      </w:r>
      <w:r>
        <w:rPr>
          <w:i/>
        </w:rPr>
        <w:t>Listen and Sing: Lessons in Ear-Training and Sight-Singing</w:t>
      </w:r>
      <w:r>
        <w:t xml:space="preserve">. </w:t>
      </w:r>
      <w:r w:rsidR="009F5383">
        <w:t>New York: Schirmer, 1995.</w:t>
      </w:r>
    </w:p>
    <w:p w14:paraId="72509EEE" w14:textId="425282CF" w:rsidR="00C16560" w:rsidRPr="00C16560" w:rsidRDefault="00C16560" w:rsidP="001D514A">
      <w:pPr>
        <w:spacing w:after="120" w:line="480" w:lineRule="auto"/>
        <w:ind w:left="720" w:hanging="720"/>
      </w:pPr>
      <w:r>
        <w:t>Engle, Randall W. “</w:t>
      </w:r>
      <w:r w:rsidRPr="00C16560">
        <w:rPr>
          <w:bCs/>
        </w:rPr>
        <w:t>Working Memory Capacity as Executive Attention.”</w:t>
      </w:r>
      <w:r>
        <w:rPr>
          <w:bCs/>
        </w:rPr>
        <w:t xml:space="preserve"> </w:t>
      </w:r>
      <w:r>
        <w:rPr>
          <w:bCs/>
          <w:i/>
        </w:rPr>
        <w:t>Current Directions in Psychological Science</w:t>
      </w:r>
      <w:r>
        <w:rPr>
          <w:bCs/>
        </w:rPr>
        <w:t xml:space="preserve"> </w:t>
      </w:r>
      <w:r w:rsidR="0004404B">
        <w:rPr>
          <w:bCs/>
        </w:rPr>
        <w:t>11, No. 1 (2002): 19–23.</w:t>
      </w:r>
    </w:p>
    <w:p w14:paraId="4E93EDA9" w14:textId="470300C2" w:rsidR="00334BF6" w:rsidRPr="00AD034F" w:rsidRDefault="00AD034F" w:rsidP="001D514A">
      <w:pPr>
        <w:spacing w:after="120" w:line="480" w:lineRule="auto"/>
        <w:ind w:left="720" w:hanging="720"/>
      </w:pPr>
      <w:r>
        <w:t>de Fockert, Jan W., et al. “</w:t>
      </w:r>
      <w:r w:rsidRPr="00AD034F">
        <w:t>The Role of Working Memo</w:t>
      </w:r>
      <w:r>
        <w:t xml:space="preserve">ry in Visual Selective Attention.” </w:t>
      </w:r>
      <w:r>
        <w:rPr>
          <w:i/>
        </w:rPr>
        <w:t>Science</w:t>
      </w:r>
      <w:r>
        <w:t>, New Series 291, No. 5509 (2001): 1803–1806.</w:t>
      </w:r>
    </w:p>
    <w:p w14:paraId="675753F9" w14:textId="3EC41AD3" w:rsidR="00664C78" w:rsidRPr="00664C78" w:rsidRDefault="00664C78" w:rsidP="001D514A">
      <w:pPr>
        <w:spacing w:after="120" w:line="480" w:lineRule="auto"/>
        <w:ind w:left="720" w:hanging="720"/>
      </w:pPr>
      <w:r w:rsidRPr="00664C78">
        <w:t>Fukud</w:t>
      </w:r>
      <w:r w:rsidR="00FF2135">
        <w:t>a, Keisuke, and Edward K. Vogel</w:t>
      </w:r>
      <w:r w:rsidRPr="00664C78">
        <w:t xml:space="preserve">. "Human Variation in Overriding Attentional Capture." </w:t>
      </w:r>
      <w:r w:rsidRPr="00664C78">
        <w:rPr>
          <w:i/>
          <w:iCs/>
        </w:rPr>
        <w:t>The Journal of Neuroscience</w:t>
      </w:r>
      <w:r w:rsidR="00FF2135">
        <w:t xml:space="preserve"> 29 (</w:t>
      </w:r>
      <w:r w:rsidR="00FF2135" w:rsidRPr="00664C78">
        <w:t>2009</w:t>
      </w:r>
      <w:r w:rsidR="00FF2135">
        <w:t xml:space="preserve">): </w:t>
      </w:r>
      <w:r w:rsidR="009B596F">
        <w:t>8726 – 8733</w:t>
      </w:r>
      <w:r w:rsidRPr="00664C78">
        <w:t>.</w:t>
      </w:r>
    </w:p>
    <w:p w14:paraId="6E7686A1" w14:textId="4FB48C75" w:rsidR="00D514DC" w:rsidRPr="00B30268" w:rsidRDefault="00D514DC" w:rsidP="001D514A">
      <w:pPr>
        <w:spacing w:after="120" w:line="480" w:lineRule="auto"/>
        <w:ind w:left="720" w:hanging="720"/>
      </w:pPr>
      <w:r>
        <w:t>Janczyk, Markus, and Joachim Grabowski. “The Focus of Attention in Working M</w:t>
      </w:r>
      <w:r w:rsidRPr="00D514DC">
        <w:t>emory: Evi</w:t>
      </w:r>
      <w:r>
        <w:t xml:space="preserve">dence </w:t>
      </w:r>
      <w:r w:rsidR="00D221BE">
        <w:t>from</w:t>
      </w:r>
      <w:r>
        <w:t xml:space="preserve"> a Word Updating Task.” </w:t>
      </w:r>
      <w:r w:rsidR="00B30268">
        <w:rPr>
          <w:i/>
        </w:rPr>
        <w:t>Memory</w:t>
      </w:r>
      <w:r w:rsidR="00B30268">
        <w:t xml:space="preserve"> 19, No. 2 (2011): 211–225.</w:t>
      </w:r>
    </w:p>
    <w:p w14:paraId="1C3D6BE6" w14:textId="34BE7500" w:rsidR="00664C78" w:rsidRPr="00664C78" w:rsidRDefault="00FF2135" w:rsidP="001D514A">
      <w:pPr>
        <w:spacing w:after="120" w:line="480" w:lineRule="auto"/>
        <w:ind w:left="720" w:hanging="720"/>
      </w:pPr>
      <w:r>
        <w:t>Karpinski, Gary S</w:t>
      </w:r>
      <w:r w:rsidR="00664C78" w:rsidRPr="00664C78">
        <w:t xml:space="preserve">. </w:t>
      </w:r>
      <w:r w:rsidR="00664C78" w:rsidRPr="00664C78">
        <w:rPr>
          <w:i/>
          <w:iCs/>
        </w:rPr>
        <w:t>Aural Skills Acquisition: The Development of Listening, Reading, and Performing Skills in College-Level Musicians</w:t>
      </w:r>
      <w:r w:rsidR="00664C78" w:rsidRPr="00664C78">
        <w:t>. Oxford: Oxford University Press</w:t>
      </w:r>
      <w:r>
        <w:t xml:space="preserve">, </w:t>
      </w:r>
      <w:r w:rsidRPr="00664C78">
        <w:t>2000</w:t>
      </w:r>
      <w:r w:rsidR="00664C78" w:rsidRPr="00664C78">
        <w:t>.</w:t>
      </w:r>
    </w:p>
    <w:p w14:paraId="7B61145E" w14:textId="010D8C0E" w:rsidR="00664C78" w:rsidRPr="00664C78" w:rsidRDefault="00963658" w:rsidP="001D514A">
      <w:pPr>
        <w:spacing w:after="120" w:line="480" w:lineRule="auto"/>
        <w:ind w:left="720" w:hanging="720"/>
      </w:pPr>
      <w:r>
        <w:lastRenderedPageBreak/>
        <w:t>------</w:t>
      </w:r>
      <w:r w:rsidR="00664C78" w:rsidRPr="00664C78">
        <w:t xml:space="preserve">. “A Model for Music Perception and its Implications in Melodic Dictation.” </w:t>
      </w:r>
      <w:r w:rsidR="00664C78" w:rsidRPr="00664C78">
        <w:rPr>
          <w:i/>
        </w:rPr>
        <w:t>Journal of Music Theory Pedagogy</w:t>
      </w:r>
      <w:r w:rsidR="00664C78" w:rsidRPr="00664C78">
        <w:t xml:space="preserve"> 4</w:t>
      </w:r>
      <w:r>
        <w:t xml:space="preserve"> (</w:t>
      </w:r>
      <w:r w:rsidRPr="00664C78">
        <w:t>2000</w:t>
      </w:r>
      <w:r>
        <w:t>)</w:t>
      </w:r>
      <w:r w:rsidR="00664C78" w:rsidRPr="00664C78">
        <w:t>: 191–229.</w:t>
      </w:r>
    </w:p>
    <w:p w14:paraId="565754BB" w14:textId="40647B1F" w:rsidR="00664C78" w:rsidRPr="00664C78" w:rsidRDefault="00664C78" w:rsidP="001D514A">
      <w:pPr>
        <w:spacing w:after="120" w:line="480" w:lineRule="auto"/>
        <w:ind w:left="720" w:hanging="720"/>
      </w:pPr>
      <w:r w:rsidRPr="00664C78">
        <w:t>Luethi, Mathia</w:t>
      </w:r>
      <w:r w:rsidR="00963658">
        <w:t>s, Beat Meier, and Carmen Sandi</w:t>
      </w:r>
      <w:r w:rsidRPr="00664C78">
        <w:t>. "Stress Effects on Working Memory, Explicit Memory, and Implicit Memory for Neutral an</w:t>
      </w:r>
      <w:r w:rsidR="001D168E">
        <w:t>d Emotional Stimuli in Healthy M</w:t>
      </w:r>
      <w:r w:rsidRPr="00664C78">
        <w:t xml:space="preserve">en." </w:t>
      </w:r>
      <w:r w:rsidRPr="00664C78">
        <w:rPr>
          <w:i/>
          <w:iCs/>
        </w:rPr>
        <w:t>Frontiers in Behavioral Neuroscience</w:t>
      </w:r>
      <w:r w:rsidR="00963658">
        <w:t xml:space="preserve"> 2, No.</w:t>
      </w:r>
      <w:r w:rsidRPr="00664C78">
        <w:t xml:space="preserve"> 5</w:t>
      </w:r>
      <w:r w:rsidR="00963658">
        <w:t xml:space="preserve"> (</w:t>
      </w:r>
      <w:r w:rsidR="00963658" w:rsidRPr="00664C78">
        <w:t>2009</w:t>
      </w:r>
      <w:r w:rsidR="00963658">
        <w:t>)</w:t>
      </w:r>
      <w:r w:rsidRPr="00664C78">
        <w:t>. https://www.ncbi.nlm.nih.gov/pmc/articles/PMC2628592/</w:t>
      </w:r>
      <w:r w:rsidR="00963658">
        <w:t>.</w:t>
      </w:r>
    </w:p>
    <w:p w14:paraId="6F5A6A10" w14:textId="40AC20B7" w:rsidR="00664C78" w:rsidRPr="00664C78" w:rsidRDefault="00664C78" w:rsidP="001D514A">
      <w:pPr>
        <w:spacing w:after="120" w:line="480" w:lineRule="auto"/>
        <w:ind w:left="720" w:hanging="720"/>
      </w:pPr>
      <w:r w:rsidRPr="00664C78">
        <w:t>Ma, Wei Ji</w:t>
      </w:r>
      <w:r w:rsidR="00E37AF4">
        <w:t>, Masud Husain, and Paul M</w:t>
      </w:r>
      <w:r w:rsidR="005822F2">
        <w:t>.</w:t>
      </w:r>
      <w:r w:rsidR="00E37AF4">
        <w:t xml:space="preserve"> Bays</w:t>
      </w:r>
      <w:r w:rsidRPr="00664C78">
        <w:t xml:space="preserve">. "Changing Concepts of Working Memory." </w:t>
      </w:r>
      <w:r w:rsidRPr="00664C78">
        <w:rPr>
          <w:i/>
          <w:iCs/>
        </w:rPr>
        <w:t>Nature Neuroscience</w:t>
      </w:r>
      <w:r w:rsidRPr="00664C78">
        <w:t xml:space="preserve"> </w:t>
      </w:r>
      <w:r w:rsidR="00E37AF4">
        <w:t>17, No. 3 (</w:t>
      </w:r>
      <w:r w:rsidR="00E37AF4" w:rsidRPr="00664C78">
        <w:t>2014</w:t>
      </w:r>
      <w:r w:rsidR="00E37AF4">
        <w:t>)</w:t>
      </w:r>
      <w:r w:rsidRPr="00664C78">
        <w:t>: 347–356.</w:t>
      </w:r>
    </w:p>
    <w:p w14:paraId="7AA3E9BC" w14:textId="454AA93C" w:rsidR="00664C78" w:rsidRPr="00664C78" w:rsidRDefault="00664C78" w:rsidP="001D514A">
      <w:pPr>
        <w:spacing w:after="120" w:line="480" w:lineRule="auto"/>
        <w:ind w:left="720" w:hanging="720"/>
      </w:pPr>
      <w:r w:rsidRPr="00664C78">
        <w:t>Melby-Le</w:t>
      </w:r>
      <w:r w:rsidR="00DC0C32">
        <w:t>rvåg, Monica, and Charles Hulme</w:t>
      </w:r>
      <w:r w:rsidRPr="00664C78">
        <w:t xml:space="preserve">. "Is Working Memory Training Effective? A Meta-Analytic Review." </w:t>
      </w:r>
      <w:r w:rsidRPr="00664C78">
        <w:rPr>
          <w:i/>
          <w:iCs/>
        </w:rPr>
        <w:t>Developmental Psychology</w:t>
      </w:r>
      <w:r w:rsidRPr="00664C78">
        <w:t xml:space="preserve"> </w:t>
      </w:r>
      <w:r w:rsidR="00DC0C32">
        <w:t>49, No. 2 (2013)</w:t>
      </w:r>
      <w:r w:rsidRPr="00664C78">
        <w:t>: 270–291.</w:t>
      </w:r>
    </w:p>
    <w:p w14:paraId="33D56A4E" w14:textId="0FF3F804" w:rsidR="00522DF4" w:rsidRPr="00522DF4" w:rsidRDefault="00522DF4" w:rsidP="001D514A">
      <w:pPr>
        <w:spacing w:after="120" w:line="480" w:lineRule="auto"/>
        <w:ind w:left="720" w:hanging="720"/>
      </w:pPr>
      <w:r>
        <w:t xml:space="preserve">Miller, George A. “The Magical Number Seven, Plus or Minus Two: Some Limits on Our Capacity for Processing Information.” </w:t>
      </w:r>
      <w:r>
        <w:rPr>
          <w:i/>
        </w:rPr>
        <w:t>Psychological Review</w:t>
      </w:r>
      <w:r>
        <w:t xml:space="preserve"> 63, No. 2: 81–97.</w:t>
      </w:r>
    </w:p>
    <w:p w14:paraId="50FB93DC" w14:textId="76E6EC98" w:rsidR="008C0F15" w:rsidRPr="008C0F15" w:rsidRDefault="008C0F15" w:rsidP="001D514A">
      <w:pPr>
        <w:spacing w:after="120" w:line="480" w:lineRule="auto"/>
        <w:ind w:left="720" w:hanging="720"/>
      </w:pPr>
      <w:r>
        <w:t>Moreno, Sylvain, et al. “</w:t>
      </w:r>
      <w:r w:rsidRPr="008C0F15">
        <w:t>Short-Term Music Training Enhances Verbal Inte</w:t>
      </w:r>
      <w:r>
        <w:t xml:space="preserve">lligence and Executive Function.” </w:t>
      </w:r>
      <w:r>
        <w:rPr>
          <w:i/>
        </w:rPr>
        <w:t>Psychological Science</w:t>
      </w:r>
      <w:r>
        <w:t xml:space="preserve"> 22, No. 11 (2011): 1425–1433.</w:t>
      </w:r>
    </w:p>
    <w:p w14:paraId="3FDE16FD" w14:textId="076FFEC7" w:rsidR="00B868EB" w:rsidRPr="00B868EB" w:rsidRDefault="00B868EB" w:rsidP="001D514A">
      <w:pPr>
        <w:spacing w:after="120" w:line="480" w:lineRule="auto"/>
        <w:ind w:left="720" w:hanging="720"/>
      </w:pPr>
      <w:r>
        <w:t>Oberauer, Klaus. “</w:t>
      </w:r>
      <w:r w:rsidRPr="00B868EB">
        <w:t>Access to Information in Working Memory: E</w:t>
      </w:r>
      <w:r>
        <w:t xml:space="preserve">xploring the Focus of Attention.” </w:t>
      </w:r>
      <w:r>
        <w:rPr>
          <w:i/>
        </w:rPr>
        <w:t>Journal of Experimental Psychology: Learning, Memory, and Cognition</w:t>
      </w:r>
      <w:r>
        <w:t xml:space="preserve"> 28, No. 3 (2002): 411–421.</w:t>
      </w:r>
    </w:p>
    <w:p w14:paraId="28902E41" w14:textId="374AE767" w:rsidR="00664C78" w:rsidRPr="00664C78" w:rsidRDefault="00664C78" w:rsidP="001D514A">
      <w:pPr>
        <w:spacing w:after="120" w:line="480" w:lineRule="auto"/>
        <w:ind w:left="720" w:hanging="720"/>
      </w:pPr>
      <w:r w:rsidRPr="00664C78">
        <w:t xml:space="preserve">Pallesen, Karen Johanne, </w:t>
      </w:r>
      <w:r w:rsidR="007B3989">
        <w:t>et al</w:t>
      </w:r>
      <w:r w:rsidRPr="00664C78">
        <w:t xml:space="preserve">. "Cognitive Control in Auditory Working Memory Is Enhanced in Musicians." </w:t>
      </w:r>
      <w:r w:rsidRPr="00664C78">
        <w:rPr>
          <w:i/>
          <w:iCs/>
        </w:rPr>
        <w:t xml:space="preserve">PLoS ONE </w:t>
      </w:r>
      <w:r w:rsidR="00DC0C32">
        <w:t xml:space="preserve">5, No. </w:t>
      </w:r>
      <w:r w:rsidRPr="00664C78">
        <w:t>6</w:t>
      </w:r>
      <w:r w:rsidR="00DC0C32">
        <w:t xml:space="preserve"> (2010</w:t>
      </w:r>
      <w:r w:rsidRPr="00664C78">
        <w:t xml:space="preserve">): 1–12. </w:t>
      </w:r>
    </w:p>
    <w:p w14:paraId="537D47AB" w14:textId="0575FF9D" w:rsidR="00F31A58" w:rsidRPr="00F31A58" w:rsidRDefault="00F31A58" w:rsidP="001D514A">
      <w:pPr>
        <w:spacing w:after="120" w:line="480" w:lineRule="auto"/>
        <w:ind w:left="720" w:hanging="720"/>
      </w:pPr>
      <w:r>
        <w:lastRenderedPageBreak/>
        <w:t>Qin, Shaozheng, et al. “</w:t>
      </w:r>
      <w:r w:rsidRPr="00F31A58">
        <w:rPr>
          <w:bCs/>
        </w:rPr>
        <w:t>Acute Psychological Stress Reduces Working Memory-Related Activity in the Dorsolateral Prefrontal Cortex.”</w:t>
      </w:r>
      <w:r>
        <w:rPr>
          <w:bCs/>
        </w:rPr>
        <w:t xml:space="preserve"> </w:t>
      </w:r>
      <w:r>
        <w:rPr>
          <w:bCs/>
          <w:i/>
        </w:rPr>
        <w:t>Biological Psychiatry</w:t>
      </w:r>
      <w:r>
        <w:rPr>
          <w:bCs/>
        </w:rPr>
        <w:t xml:space="preserve"> 66 (2009): 25–32.</w:t>
      </w:r>
    </w:p>
    <w:p w14:paraId="6A180A9D" w14:textId="32B5F587" w:rsidR="00664C78" w:rsidRPr="00664C78" w:rsidRDefault="00664C78" w:rsidP="001D514A">
      <w:pPr>
        <w:spacing w:after="120" w:line="480" w:lineRule="auto"/>
        <w:ind w:left="720" w:hanging="720"/>
      </w:pPr>
      <w:r w:rsidRPr="00664C78">
        <w:t xml:space="preserve">Schoofs, Daniela, </w:t>
      </w:r>
      <w:r w:rsidR="00DC0C32">
        <w:t>Diana Preuß, and Oliver T. Wolf</w:t>
      </w:r>
      <w:r w:rsidRPr="00664C78">
        <w:t xml:space="preserve">. "Psychosocial Stress Induces Working Memory Impairments in an </w:t>
      </w:r>
      <w:r w:rsidRPr="00664C78">
        <w:rPr>
          <w:i/>
          <w:iCs/>
        </w:rPr>
        <w:t>N</w:t>
      </w:r>
      <w:r w:rsidRPr="00664C78">
        <w:t xml:space="preserve">-Back Paradigm." </w:t>
      </w:r>
      <w:r w:rsidRPr="00664C78">
        <w:rPr>
          <w:i/>
          <w:iCs/>
        </w:rPr>
        <w:t xml:space="preserve">Psychoneuroendocrinology </w:t>
      </w:r>
      <w:r w:rsidRPr="00664C78">
        <w:t>33</w:t>
      </w:r>
      <w:r w:rsidR="00DC0C32">
        <w:t xml:space="preserve"> (</w:t>
      </w:r>
      <w:r w:rsidR="00DC0C32" w:rsidRPr="00664C78">
        <w:t>2008</w:t>
      </w:r>
      <w:r w:rsidR="00DC0C32">
        <w:t>)</w:t>
      </w:r>
      <w:r w:rsidRPr="00664C78">
        <w:t xml:space="preserve">: 643–653. </w:t>
      </w:r>
    </w:p>
    <w:p w14:paraId="7DE76370" w14:textId="39F8B761" w:rsidR="002F010B" w:rsidRDefault="00664C78" w:rsidP="001D514A">
      <w:pPr>
        <w:spacing w:after="120" w:line="480" w:lineRule="auto"/>
        <w:ind w:left="720" w:hanging="720"/>
      </w:pPr>
      <w:r w:rsidRPr="00664C78">
        <w:t>Schubert,</w:t>
      </w:r>
      <w:r w:rsidR="00D82D4C">
        <w:t xml:space="preserve"> Peter</w:t>
      </w:r>
      <w:r w:rsidRPr="00664C78">
        <w:t xml:space="preserve">. "My Undergraduate Skills-Intensive Counterpoint Learning Environment (MUSICLE)." </w:t>
      </w:r>
      <w:r w:rsidRPr="00664C78">
        <w:rPr>
          <w:i/>
          <w:iCs/>
        </w:rPr>
        <w:t>Engaging Students: Essays in Music Pedagogy</w:t>
      </w:r>
      <w:r w:rsidRPr="00664C78">
        <w:t xml:space="preserve"> 1</w:t>
      </w:r>
      <w:r w:rsidR="00D82D4C">
        <w:t xml:space="preserve"> (2013)</w:t>
      </w:r>
      <w:r w:rsidRPr="00664C78">
        <w:t>. http://flipcamp.org</w:t>
      </w:r>
      <w:r w:rsidR="00D82D4C">
        <w:t>/engagingstudents/schubert.html.</w:t>
      </w:r>
    </w:p>
    <w:p w14:paraId="1161345F" w14:textId="763692F1" w:rsidR="00741CF1" w:rsidRPr="00741CF1" w:rsidRDefault="00741CF1" w:rsidP="001D514A">
      <w:pPr>
        <w:spacing w:after="120" w:line="480" w:lineRule="auto"/>
        <w:ind w:left="720" w:hanging="720"/>
      </w:pPr>
      <w:r>
        <w:t xml:space="preserve">Sternberg, Saul. “Memory Scanning: Mental Processes Revealed by Reaction-Time Experiments.” </w:t>
      </w:r>
      <w:r>
        <w:rPr>
          <w:i/>
        </w:rPr>
        <w:t>American Scientist</w:t>
      </w:r>
      <w:r>
        <w:t xml:space="preserve"> 57, No. 4 (1969): 421–457.</w:t>
      </w:r>
    </w:p>
    <w:sectPr w:rsidR="00741CF1" w:rsidRPr="00741CF1" w:rsidSect="00046FC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1871" w14:textId="77777777" w:rsidR="00B3758F" w:rsidRDefault="00B3758F" w:rsidP="00C560E4">
      <w:r>
        <w:separator/>
      </w:r>
    </w:p>
  </w:endnote>
  <w:endnote w:type="continuationSeparator" w:id="0">
    <w:p w14:paraId="73B17524" w14:textId="77777777" w:rsidR="00B3758F" w:rsidRDefault="00B3758F" w:rsidP="00C5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796907"/>
      <w:docPartObj>
        <w:docPartGallery w:val="Page Numbers (Bottom of Page)"/>
        <w:docPartUnique/>
      </w:docPartObj>
    </w:sdtPr>
    <w:sdtContent>
      <w:p w14:paraId="5D04B777" w14:textId="1375FE41" w:rsidR="00B377F7" w:rsidRDefault="00B377F7" w:rsidP="00B430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2AF9C" w14:textId="77777777" w:rsidR="00B377F7" w:rsidRDefault="00B37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0304721"/>
      <w:docPartObj>
        <w:docPartGallery w:val="Page Numbers (Bottom of Page)"/>
        <w:docPartUnique/>
      </w:docPartObj>
    </w:sdtPr>
    <w:sdtContent>
      <w:p w14:paraId="30FC1892" w14:textId="58AF7429" w:rsidR="00B377F7" w:rsidRDefault="00B377F7" w:rsidP="00B430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606EE7" w14:textId="77777777" w:rsidR="00B377F7" w:rsidRDefault="00B37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27CD3" w14:textId="77777777" w:rsidR="00B3758F" w:rsidRDefault="00B3758F" w:rsidP="00C560E4">
      <w:r>
        <w:separator/>
      </w:r>
    </w:p>
  </w:footnote>
  <w:footnote w:type="continuationSeparator" w:id="0">
    <w:p w14:paraId="363C41D4" w14:textId="77777777" w:rsidR="00B3758F" w:rsidRDefault="00B3758F" w:rsidP="00C560E4">
      <w:r>
        <w:continuationSeparator/>
      </w:r>
    </w:p>
  </w:footnote>
  <w:footnote w:id="1">
    <w:p w14:paraId="358581D4" w14:textId="60C623C8" w:rsidR="001838F1" w:rsidRDefault="001838F1" w:rsidP="001D514A">
      <w:pPr>
        <w:spacing w:line="480" w:lineRule="auto"/>
      </w:pPr>
      <w:r>
        <w:rPr>
          <w:rStyle w:val="FootnoteReference"/>
        </w:rPr>
        <w:footnoteRef/>
      </w:r>
      <w:r>
        <w:t xml:space="preserve"> </w:t>
      </w:r>
      <w:r w:rsidR="00144FA9">
        <w:t xml:space="preserve">The full discussion is in </w:t>
      </w:r>
      <w:r w:rsidR="00944604">
        <w:t>Gary S. Karpinski,</w:t>
      </w:r>
      <w:r w:rsidR="00944604" w:rsidRPr="00664C78">
        <w:t xml:space="preserve"> </w:t>
      </w:r>
      <w:r w:rsidR="00944604" w:rsidRPr="00664C78">
        <w:rPr>
          <w:i/>
          <w:iCs/>
        </w:rPr>
        <w:t>Aural Skills Acquisition: The Development of Listening, Reading, and Performing Skills in College-Level Musicians</w:t>
      </w:r>
      <w:r w:rsidR="007B3989">
        <w:t xml:space="preserve"> (</w:t>
      </w:r>
      <w:r w:rsidR="00944604" w:rsidRPr="00664C78">
        <w:t>Oxford: Oxford University Press</w:t>
      </w:r>
      <w:r w:rsidR="007B3989">
        <w:t>)</w:t>
      </w:r>
      <w:r w:rsidR="00944604">
        <w:t xml:space="preserve"> </w:t>
      </w:r>
      <w:r w:rsidR="00944604" w:rsidRPr="00664C78">
        <w:t>2000</w:t>
      </w:r>
      <w:r w:rsidR="00144FA9">
        <w:t xml:space="preserve">, pp. 64–91, but see also </w:t>
      </w:r>
      <w:r w:rsidR="007B3989">
        <w:t xml:space="preserve">Gary S. Karpinski, </w:t>
      </w:r>
      <w:r w:rsidR="007B3989" w:rsidRPr="007B3989">
        <w:t>“A Model for Music Perception and its Im</w:t>
      </w:r>
      <w:r w:rsidR="007B3989">
        <w:t>plications in Melodic Dictation,</w:t>
      </w:r>
      <w:r w:rsidR="007B3989" w:rsidRPr="007B3989">
        <w:t xml:space="preserve">” </w:t>
      </w:r>
      <w:r w:rsidR="007B3989" w:rsidRPr="007B3989">
        <w:rPr>
          <w:i/>
        </w:rPr>
        <w:t>Journal of Music Theory Pedagogy</w:t>
      </w:r>
      <w:r w:rsidR="007B3989" w:rsidRPr="007B3989">
        <w:t xml:space="preserve"> 4 (2000)</w:t>
      </w:r>
      <w:r w:rsidR="007B3989">
        <w:t>: 191–229</w:t>
      </w:r>
      <w:r w:rsidR="00144FA9">
        <w:t>, which is entirely dedicated to this model of melodic dictation.</w:t>
      </w:r>
    </w:p>
  </w:footnote>
  <w:footnote w:id="2">
    <w:p w14:paraId="5DD26320" w14:textId="4757351E" w:rsidR="00E9513D" w:rsidRDefault="00E9513D" w:rsidP="001D514A">
      <w:pPr>
        <w:pStyle w:val="FootnoteText"/>
        <w:spacing w:line="480" w:lineRule="auto"/>
      </w:pPr>
      <w:r>
        <w:rPr>
          <w:rStyle w:val="FootnoteReference"/>
        </w:rPr>
        <w:footnoteRef/>
      </w:r>
      <w:r w:rsidR="00B36B4D">
        <w:t xml:space="preserve"> </w:t>
      </w:r>
      <w:r>
        <w:t>Though subjects were tested with musical material</w:t>
      </w:r>
      <w:r w:rsidR="00D1182D">
        <w:t>s, the authors write that musicians’ primary advantage was likely the ability to “recruit more [brain] resources for cognitive control,” a non-music-specific ability. The authors also note that their study does not determine whether greater working memory capacity influenced musicians’ choice of career, musical training improved musicians’ working memory capacity, or some combination of the two, though they tentatively speculate that “</w:t>
      </w:r>
      <w:r w:rsidR="00D1182D" w:rsidRPr="00D1182D">
        <w:t>development of cognitive control may benefi</w:t>
      </w:r>
      <w:r w:rsidR="00D1182D">
        <w:t>t fro</w:t>
      </w:r>
      <w:r w:rsidR="007B3989">
        <w:t>m focused musical training</w:t>
      </w:r>
      <w:r w:rsidR="00D1182D">
        <w:t>.</w:t>
      </w:r>
      <w:r w:rsidR="007B3989">
        <w:t>”</w:t>
      </w:r>
      <w:r w:rsidR="007B3989" w:rsidRPr="007B3989">
        <w:t xml:space="preserve"> </w:t>
      </w:r>
      <w:r w:rsidR="007B3989" w:rsidRPr="00664C78">
        <w:t>Karen Johanne</w:t>
      </w:r>
      <w:r w:rsidR="007B3989">
        <w:t xml:space="preserve"> </w:t>
      </w:r>
      <w:r w:rsidR="007B3989" w:rsidRPr="00664C78">
        <w:t xml:space="preserve">Pallesen, </w:t>
      </w:r>
      <w:r w:rsidR="007B3989">
        <w:t>et al</w:t>
      </w:r>
      <w:r w:rsidR="007B3989" w:rsidRPr="00664C78">
        <w:t>.</w:t>
      </w:r>
      <w:r w:rsidR="007B3989">
        <w:t>,</w:t>
      </w:r>
      <w:r w:rsidR="007B3989" w:rsidRPr="00664C78">
        <w:t xml:space="preserve"> "Cognitive Control in Auditory Working </w:t>
      </w:r>
      <w:r w:rsidR="007B3989">
        <w:t>Memory Is Enhanced in Musicians,</w:t>
      </w:r>
      <w:r w:rsidR="007B3989" w:rsidRPr="00664C78">
        <w:t xml:space="preserve">" </w:t>
      </w:r>
      <w:r w:rsidR="007B3989" w:rsidRPr="00664C78">
        <w:rPr>
          <w:i/>
          <w:iCs/>
        </w:rPr>
        <w:t xml:space="preserve">PLoS ONE </w:t>
      </w:r>
      <w:r w:rsidR="007B3989">
        <w:t xml:space="preserve">5, No. </w:t>
      </w:r>
      <w:r w:rsidR="007B3989" w:rsidRPr="00664C78">
        <w:t>6</w:t>
      </w:r>
      <w:r w:rsidR="007B3989">
        <w:t xml:space="preserve"> (2010</w:t>
      </w:r>
      <w:r w:rsidR="00562095">
        <w:t>)</w:t>
      </w:r>
      <w:r w:rsidR="002F47B1">
        <w:t>,</w:t>
      </w:r>
      <w:r w:rsidR="007B3989">
        <w:t xml:space="preserve"> 10.</w:t>
      </w:r>
    </w:p>
  </w:footnote>
  <w:footnote w:id="3">
    <w:p w14:paraId="52A01556" w14:textId="3381DC55" w:rsidR="002F47B1" w:rsidRDefault="002F47B1" w:rsidP="001D514A">
      <w:pPr>
        <w:spacing w:line="480" w:lineRule="auto"/>
      </w:pPr>
      <w:r>
        <w:rPr>
          <w:rStyle w:val="FootnoteReference"/>
        </w:rPr>
        <w:footnoteRef/>
      </w:r>
      <w:r>
        <w:t xml:space="preserve"> Charles Chaffin. “</w:t>
      </w:r>
      <w:r w:rsidRPr="006A4EAC">
        <w:t>An Examination of the Cognitive Workload Associated with Conducting in an Instrumental Music</w:t>
      </w:r>
      <w:r>
        <w:t xml:space="preserve"> Context: A Review of Literature.” </w:t>
      </w:r>
      <w:r w:rsidRPr="006A4EAC">
        <w:rPr>
          <w:i/>
        </w:rPr>
        <w:t>Bulletin of the Council for Research in Music Education</w:t>
      </w:r>
      <w:r w:rsidRPr="006A4EAC">
        <w:t xml:space="preserve"> </w:t>
      </w:r>
      <w:r>
        <w:t>189 (2011), 73.</w:t>
      </w:r>
    </w:p>
  </w:footnote>
  <w:footnote w:id="4">
    <w:p w14:paraId="6E28FAE7" w14:textId="4975C864" w:rsidR="00786BE0" w:rsidRDefault="00786BE0" w:rsidP="001D514A">
      <w:pPr>
        <w:pStyle w:val="FootnoteText"/>
        <w:spacing w:line="480" w:lineRule="auto"/>
      </w:pPr>
      <w:r>
        <w:rPr>
          <w:rStyle w:val="FootnoteReference"/>
        </w:rPr>
        <w:footnoteRef/>
      </w:r>
      <w:r>
        <w:t xml:space="preserve"> For an overview</w:t>
      </w:r>
      <w:r w:rsidR="00A332EC">
        <w:t xml:space="preserve"> and speculation on reasons for this connection</w:t>
      </w:r>
      <w:r>
        <w:t xml:space="preserve">, see </w:t>
      </w:r>
      <w:r w:rsidR="00836707">
        <w:t>Engle 2002</w:t>
      </w:r>
      <w:r w:rsidR="00A332EC">
        <w:t>.</w:t>
      </w:r>
    </w:p>
  </w:footnote>
  <w:footnote w:id="5">
    <w:p w14:paraId="1F37F81E" w14:textId="5AD91998" w:rsidR="00606481" w:rsidRDefault="00606481" w:rsidP="001D514A">
      <w:pPr>
        <w:spacing w:line="480" w:lineRule="auto"/>
      </w:pPr>
      <w:r>
        <w:rPr>
          <w:rStyle w:val="FootnoteReference"/>
        </w:rPr>
        <w:footnoteRef/>
      </w:r>
      <w:r>
        <w:t xml:space="preserve"> Monica </w:t>
      </w:r>
      <w:r w:rsidRPr="00664C78">
        <w:t>Melby-Le</w:t>
      </w:r>
      <w:r>
        <w:t>rvåg and Charles Hulme,</w:t>
      </w:r>
      <w:r w:rsidRPr="00664C78">
        <w:t xml:space="preserve"> "Is Working Memory Training Ef</w:t>
      </w:r>
      <w:r>
        <w:t>fective? A Meta-Analytic Review,</w:t>
      </w:r>
      <w:r w:rsidRPr="00664C78">
        <w:t xml:space="preserve">" </w:t>
      </w:r>
      <w:r w:rsidRPr="00664C78">
        <w:rPr>
          <w:i/>
          <w:iCs/>
        </w:rPr>
        <w:t>Developmental Psychology</w:t>
      </w:r>
      <w:r w:rsidRPr="00664C78">
        <w:t xml:space="preserve"> </w:t>
      </w:r>
      <w:r>
        <w:t>49, No. 2 (2013)</w:t>
      </w:r>
      <w:r w:rsidR="005822F2">
        <w:t>,</w:t>
      </w:r>
      <w:r w:rsidRPr="00664C78">
        <w:t xml:space="preserve"> </w:t>
      </w:r>
      <w:r>
        <w:t>270.</w:t>
      </w:r>
    </w:p>
  </w:footnote>
  <w:footnote w:id="6">
    <w:p w14:paraId="65B6C4F2" w14:textId="1ACD7EB9" w:rsidR="00DB200A" w:rsidRDefault="00DB200A" w:rsidP="001D514A">
      <w:pPr>
        <w:pStyle w:val="FootnoteText"/>
        <w:spacing w:line="480" w:lineRule="auto"/>
      </w:pPr>
      <w:r>
        <w:rPr>
          <w:rStyle w:val="FootnoteReference"/>
        </w:rPr>
        <w:footnoteRef/>
      </w:r>
      <w:r>
        <w:t xml:space="preserve"> This wording is based on </w:t>
      </w:r>
      <w:r w:rsidR="005822F2">
        <w:t xml:space="preserve">Wei Ji </w:t>
      </w:r>
      <w:r>
        <w:t xml:space="preserve">Ma, </w:t>
      </w:r>
      <w:r w:rsidR="005822F2">
        <w:t xml:space="preserve">Masud </w:t>
      </w:r>
      <w:r>
        <w:t xml:space="preserve">Husain, and </w:t>
      </w:r>
      <w:r w:rsidR="005822F2">
        <w:t xml:space="preserve">Paul M. </w:t>
      </w:r>
      <w:r>
        <w:t>Bays</w:t>
      </w:r>
      <w:r w:rsidR="005822F2">
        <w:t xml:space="preserve">, “Changing Concepts of Working Memory,” </w:t>
      </w:r>
      <w:r w:rsidR="005822F2">
        <w:rPr>
          <w:i/>
        </w:rPr>
        <w:t>Nature Neuroscience</w:t>
      </w:r>
      <w:r w:rsidR="005822F2">
        <w:t xml:space="preserve"> 17, No. 3 (2014), 23:</w:t>
      </w:r>
      <w:r>
        <w:t xml:space="preserve"> “</w:t>
      </w:r>
      <w:r w:rsidRPr="00DB200A">
        <w:t>Working memory refers to the short-term storage and manipulation of sensory information lasting on the order of seconds</w:t>
      </w:r>
      <w:r>
        <w:t>.</w:t>
      </w:r>
      <w:r w:rsidR="005822F2">
        <w:t>”</w:t>
      </w:r>
    </w:p>
  </w:footnote>
  <w:footnote w:id="7">
    <w:p w14:paraId="374B920D" w14:textId="759C32C7" w:rsidR="0021360E" w:rsidRDefault="0021360E" w:rsidP="001D514A">
      <w:pPr>
        <w:pStyle w:val="FootnoteText"/>
        <w:spacing w:line="480" w:lineRule="auto"/>
      </w:pPr>
      <w:r>
        <w:rPr>
          <w:rStyle w:val="FootnoteReference"/>
        </w:rPr>
        <w:footnoteRef/>
      </w:r>
      <w:r>
        <w:t xml:space="preserve"> This three-part model was proposed in the foundational work of </w:t>
      </w:r>
      <w:r w:rsidR="00B85A1A">
        <w:t xml:space="preserve">Alan </w:t>
      </w:r>
      <w:r>
        <w:t xml:space="preserve">Baddeley and </w:t>
      </w:r>
      <w:r w:rsidR="00B85A1A">
        <w:t xml:space="preserve">Graham </w:t>
      </w:r>
      <w:r>
        <w:t>Hitch</w:t>
      </w:r>
      <w:r w:rsidR="00B85A1A">
        <w:t xml:space="preserve">, “Working Memory,” </w:t>
      </w:r>
      <w:r w:rsidR="00B85A1A">
        <w:rPr>
          <w:i/>
        </w:rPr>
        <w:t>The Psychology of Learning and Motivation</w:t>
      </w:r>
      <w:r w:rsidR="00B85A1A">
        <w:t xml:space="preserve"> 8</w:t>
      </w:r>
      <w:r>
        <w:t xml:space="preserve"> </w:t>
      </w:r>
      <w:r w:rsidR="00B85A1A">
        <w:t>(</w:t>
      </w:r>
      <w:r>
        <w:t>1974</w:t>
      </w:r>
      <w:r w:rsidR="00B85A1A">
        <w:t>): 47–89</w:t>
      </w:r>
      <w:r>
        <w:t>.</w:t>
      </w:r>
    </w:p>
  </w:footnote>
  <w:footnote w:id="8">
    <w:p w14:paraId="31B85745" w14:textId="7D21ADD6" w:rsidR="001E6B9A" w:rsidRDefault="001E6B9A" w:rsidP="001D514A">
      <w:pPr>
        <w:pStyle w:val="FootnoteText"/>
        <w:spacing w:line="480" w:lineRule="auto"/>
      </w:pPr>
      <w:r>
        <w:rPr>
          <w:rStyle w:val="FootnoteReference"/>
        </w:rPr>
        <w:footnoteRef/>
      </w:r>
      <w:r w:rsidR="00AC2BD1">
        <w:t xml:space="preserve"> </w:t>
      </w:r>
      <w:r>
        <w:t xml:space="preserve">Music and </w:t>
      </w:r>
      <w:r w:rsidR="001A168F">
        <w:t>e</w:t>
      </w:r>
      <w:r>
        <w:t xml:space="preserve">nvironmental sound </w:t>
      </w:r>
      <w:r w:rsidR="00966047">
        <w:t>are associated with</w:t>
      </w:r>
      <w:r>
        <w:t xml:space="preserve"> the phonological loop </w:t>
      </w:r>
      <w:r w:rsidR="00A03014">
        <w:t xml:space="preserve">in </w:t>
      </w:r>
      <w:r w:rsidR="00966047">
        <w:t>the</w:t>
      </w:r>
      <w:r w:rsidR="00A03014">
        <w:t xml:space="preserve"> </w:t>
      </w:r>
      <w:r w:rsidR="00966047">
        <w:t>“</w:t>
      </w:r>
      <w:r w:rsidR="00A03014">
        <w:t xml:space="preserve">speculative view of the flow of information from perception to working memory” </w:t>
      </w:r>
      <w:r w:rsidR="00AC2BD1">
        <w:t xml:space="preserve">presented in Alan Baddeley, “Working Memory: Theories, Models, and Controversies,” </w:t>
      </w:r>
      <w:r w:rsidR="00AC2BD1">
        <w:rPr>
          <w:i/>
        </w:rPr>
        <w:t>Annual Review of Psychology</w:t>
      </w:r>
      <w:r w:rsidR="00AC2BD1">
        <w:t xml:space="preserve"> 63 (2012), </w:t>
      </w:r>
      <w:r>
        <w:t>23.</w:t>
      </w:r>
    </w:p>
  </w:footnote>
  <w:footnote w:id="9">
    <w:p w14:paraId="740DE85E" w14:textId="06317EDE" w:rsidR="0021360E" w:rsidRDefault="0021360E" w:rsidP="001D514A">
      <w:pPr>
        <w:pStyle w:val="FootnoteText"/>
        <w:spacing w:line="480" w:lineRule="auto"/>
      </w:pPr>
      <w:r>
        <w:rPr>
          <w:rStyle w:val="FootnoteReference"/>
        </w:rPr>
        <w:footnoteRef/>
      </w:r>
      <w:r>
        <w:t xml:space="preserve"> An accessible description of this entire model of working memory can be found at </w:t>
      </w:r>
      <w:r w:rsidRPr="0021360E">
        <w:t>https://www.simplypsychology.org/working%20memory.html</w:t>
      </w:r>
      <w:r>
        <w:t>.</w:t>
      </w:r>
    </w:p>
  </w:footnote>
  <w:footnote w:id="10">
    <w:p w14:paraId="079A87EA" w14:textId="4294A29C" w:rsidR="00616F07" w:rsidRPr="00B85095" w:rsidRDefault="00616F07" w:rsidP="001D514A">
      <w:pPr>
        <w:pStyle w:val="FootnoteText"/>
        <w:spacing w:line="480" w:lineRule="auto"/>
      </w:pPr>
      <w:r>
        <w:rPr>
          <w:rStyle w:val="FootnoteReference"/>
        </w:rPr>
        <w:footnoteRef/>
      </w:r>
      <w:r>
        <w:t xml:space="preserve"> </w:t>
      </w:r>
      <w:r w:rsidR="00B85095">
        <w:t xml:space="preserve">Alan Baddeley, “Working Memory,” </w:t>
      </w:r>
      <w:r w:rsidR="00B85095">
        <w:rPr>
          <w:i/>
        </w:rPr>
        <w:t>Science</w:t>
      </w:r>
      <w:r w:rsidR="00B85095">
        <w:t>, New Series 255, No. 5044 (1992), 556</w:t>
      </w:r>
      <w:r w:rsidR="00E758DE">
        <w:t>.</w:t>
      </w:r>
    </w:p>
  </w:footnote>
  <w:footnote w:id="11">
    <w:p w14:paraId="03C6E11C" w14:textId="2300D187" w:rsidR="007B15BB" w:rsidRDefault="00E13C06" w:rsidP="001D514A">
      <w:pPr>
        <w:pStyle w:val="FootnoteText"/>
        <w:spacing w:line="480" w:lineRule="auto"/>
      </w:pPr>
      <w:r>
        <w:rPr>
          <w:rStyle w:val="FootnoteReference"/>
        </w:rPr>
        <w:footnoteRef/>
      </w:r>
      <w:r>
        <w:t xml:space="preserve"> I purposefully do not characterize this as a competing model: Baddeley explains, “</w:t>
      </w:r>
      <w:r w:rsidR="007B15BB">
        <w:t xml:space="preserve">At a superficial level, Cowan’s theories might seem to be totally different from my own. In practice, however, we agree on most issues but differ in our terminology and areas of current focus. I see Cowan’s model as principally concerned, in my terminology, with the link between the CE [central executive] and the episodic buffer.” </w:t>
      </w:r>
      <w:r w:rsidR="00E758DE">
        <w:t xml:space="preserve">Alan Baddeley, “Working Memory: Theories, Models, and Controversies,” </w:t>
      </w:r>
      <w:r w:rsidR="00E758DE">
        <w:rPr>
          <w:i/>
        </w:rPr>
        <w:t xml:space="preserve">Annual Review of Psychology </w:t>
      </w:r>
      <w:r w:rsidR="00E758DE">
        <w:t xml:space="preserve">63 (2012), </w:t>
      </w:r>
      <w:r w:rsidR="007B15BB">
        <w:t>20</w:t>
      </w:r>
      <w:r w:rsidR="00E758DE">
        <w:t>.</w:t>
      </w:r>
    </w:p>
  </w:footnote>
  <w:footnote w:id="12">
    <w:p w14:paraId="0A05C4E2" w14:textId="5725CE73" w:rsidR="00DC475E" w:rsidRDefault="00DC475E" w:rsidP="001D514A">
      <w:pPr>
        <w:pStyle w:val="FootnoteText"/>
        <w:spacing w:line="480" w:lineRule="auto"/>
      </w:pPr>
      <w:r>
        <w:rPr>
          <w:rStyle w:val="FootnoteReference"/>
        </w:rPr>
        <w:footnoteRef/>
      </w:r>
      <w:r w:rsidR="00117788">
        <w:t xml:space="preserve"> Nelson Cowan, “What Are the Differences Between Long-Term, Short-Term, and Working Memory?” </w:t>
      </w:r>
      <w:r w:rsidR="00117788">
        <w:rPr>
          <w:i/>
        </w:rPr>
        <w:t>Progress in Brain Research</w:t>
      </w:r>
      <w:r w:rsidR="00117788">
        <w:t xml:space="preserve"> 169 (2008), 326.</w:t>
      </w:r>
      <w:r>
        <w:t xml:space="preserve"> While Karpinski repeated</w:t>
      </w:r>
      <w:r w:rsidR="00094A93">
        <w:t>ly</w:t>
      </w:r>
      <w:r>
        <w:t xml:space="preserve"> cites the “magic number 7 plus or minus two” proposed by George Miller in 1956 in describing </w:t>
      </w:r>
      <w:r w:rsidR="00E4396C">
        <w:t xml:space="preserve">the </w:t>
      </w:r>
      <w:r w:rsidR="00FE0A7C">
        <w:t>number of “chunks” that can be placed in this short-term store</w:t>
      </w:r>
      <w:r>
        <w:t xml:space="preserve">, most modern scholars put the </w:t>
      </w:r>
      <w:r w:rsidR="009E3144">
        <w:t>capacity</w:t>
      </w:r>
      <w:r>
        <w:t xml:space="preserve"> limit closer to </w:t>
      </w:r>
      <w:r w:rsidR="00117788">
        <w:t>the</w:t>
      </w:r>
      <w:r>
        <w:t xml:space="preserve"> “</w:t>
      </w:r>
      <w:r w:rsidR="00117788">
        <w:t xml:space="preserve">between three and four” proposed in Nelson Cowan, Zhijian Chen and Jeffrey N. Rouder, “Constant Capacity in an Immediate Serial-Recall Task: A Logical Sequel to Miller (1956), </w:t>
      </w:r>
      <w:r w:rsidR="00117788">
        <w:rPr>
          <w:i/>
        </w:rPr>
        <w:t xml:space="preserve">Psychological </w:t>
      </w:r>
      <w:r w:rsidR="00117788" w:rsidRPr="00117788">
        <w:rPr>
          <w:i/>
        </w:rPr>
        <w:t>Science</w:t>
      </w:r>
      <w:r w:rsidR="00117788">
        <w:t xml:space="preserve"> 15, No. 9 (</w:t>
      </w:r>
      <w:r w:rsidR="00F36430" w:rsidRPr="00117788">
        <w:t>2004</w:t>
      </w:r>
      <w:r w:rsidR="00117788">
        <w:t>), 639</w:t>
      </w:r>
      <w:r w:rsidR="00F36430">
        <w:t>.</w:t>
      </w:r>
    </w:p>
  </w:footnote>
  <w:footnote w:id="13">
    <w:p w14:paraId="566561D4" w14:textId="7E2EB2CD" w:rsidR="00D221BE" w:rsidRPr="00D221BE" w:rsidRDefault="00D221BE" w:rsidP="001D514A">
      <w:pPr>
        <w:pStyle w:val="FootnoteText"/>
        <w:spacing w:line="480" w:lineRule="auto"/>
      </w:pPr>
      <w:r>
        <w:rPr>
          <w:rStyle w:val="FootnoteReference"/>
        </w:rPr>
        <w:footnoteRef/>
      </w:r>
      <w:r>
        <w:t xml:space="preserve"> Markus Janczyk and Joachim Grabowski, “The Focus of Attention in Working Memory: Evidence from a Word Updating Task,” </w:t>
      </w:r>
      <w:r>
        <w:rPr>
          <w:i/>
        </w:rPr>
        <w:t>Memory</w:t>
      </w:r>
      <w:r>
        <w:t xml:space="preserve"> 19, No. 2 (2011), 211.</w:t>
      </w:r>
    </w:p>
  </w:footnote>
  <w:footnote w:id="14">
    <w:p w14:paraId="16392E6E" w14:textId="76249803" w:rsidR="00A168C7" w:rsidRPr="00A168C7" w:rsidRDefault="00A168C7" w:rsidP="001D514A">
      <w:pPr>
        <w:pStyle w:val="FootnoteText"/>
        <w:spacing w:line="480" w:lineRule="auto"/>
      </w:pPr>
      <w:r>
        <w:rPr>
          <w:rStyle w:val="FootnoteReference"/>
        </w:rPr>
        <w:footnoteRef/>
      </w:r>
      <w:r>
        <w:t xml:space="preserve"> Klaus Oberauer, “Access to Information in Working Memory: Exploring the Focus of Attention,” </w:t>
      </w:r>
      <w:r>
        <w:rPr>
          <w:i/>
        </w:rPr>
        <w:t>Journal of Experimental Psychology: Learning, Memory and Cognition</w:t>
      </w:r>
      <w:r>
        <w:t xml:space="preserve"> 28, No. 3 (2002), 412.</w:t>
      </w:r>
    </w:p>
  </w:footnote>
  <w:footnote w:id="15">
    <w:p w14:paraId="757D456D" w14:textId="624D85B9" w:rsidR="00193B73" w:rsidRDefault="00193B73" w:rsidP="001D514A">
      <w:pPr>
        <w:pStyle w:val="FootnoteText"/>
        <w:spacing w:line="480" w:lineRule="auto"/>
      </w:pPr>
      <w:r>
        <w:rPr>
          <w:rStyle w:val="FootnoteReference"/>
        </w:rPr>
        <w:footnoteRef/>
      </w:r>
      <w:r>
        <w:t xml:space="preserve"> Keisuke Fukuda and Edward K. Vogel,</w:t>
      </w:r>
      <w:r w:rsidRPr="00664C78">
        <w:t xml:space="preserve"> "Human Variation in</w:t>
      </w:r>
      <w:r>
        <w:t xml:space="preserve"> Overriding Attentional Capture,</w:t>
      </w:r>
      <w:r w:rsidRPr="00664C78">
        <w:t xml:space="preserve">" </w:t>
      </w:r>
      <w:r w:rsidRPr="00664C78">
        <w:rPr>
          <w:i/>
          <w:iCs/>
        </w:rPr>
        <w:t>The Journal of Neuroscience</w:t>
      </w:r>
      <w:r>
        <w:t xml:space="preserve"> 29 (</w:t>
      </w:r>
      <w:r w:rsidRPr="00664C78">
        <w:t>2009</w:t>
      </w:r>
      <w:r>
        <w:t>): 8726 – 8733; Jan W. de Fockert et al., “</w:t>
      </w:r>
      <w:r w:rsidRPr="00AD034F">
        <w:t>The Role of Working Memo</w:t>
      </w:r>
      <w:r>
        <w:t xml:space="preserve">ry in Visual Selective Attention,” </w:t>
      </w:r>
      <w:r>
        <w:rPr>
          <w:i/>
        </w:rPr>
        <w:t>Science</w:t>
      </w:r>
      <w:r>
        <w:t>, New Series 291, No. 5509 (2001), 1805; and Randall W. Engle, “</w:t>
      </w:r>
      <w:r w:rsidRPr="00C16560">
        <w:rPr>
          <w:bCs/>
        </w:rPr>
        <w:t>Working Memory Capacity as Executive Attention</w:t>
      </w:r>
      <w:r>
        <w:rPr>
          <w:bCs/>
        </w:rPr>
        <w:t>,</w:t>
      </w:r>
      <w:r w:rsidRPr="00C16560">
        <w:rPr>
          <w:bCs/>
        </w:rPr>
        <w:t>”</w:t>
      </w:r>
      <w:r>
        <w:rPr>
          <w:bCs/>
        </w:rPr>
        <w:t xml:space="preserve"> </w:t>
      </w:r>
      <w:r>
        <w:rPr>
          <w:bCs/>
          <w:i/>
        </w:rPr>
        <w:t>Current Directions in Psychological Science</w:t>
      </w:r>
      <w:r>
        <w:rPr>
          <w:bCs/>
        </w:rPr>
        <w:t xml:space="preserve"> 11, No. 1 (2002), 22.</w:t>
      </w:r>
    </w:p>
  </w:footnote>
  <w:footnote w:id="16">
    <w:p w14:paraId="348E6BE9" w14:textId="5948DC79" w:rsidR="00A475D0" w:rsidRDefault="00A475D0" w:rsidP="001D514A">
      <w:pPr>
        <w:pStyle w:val="FootnoteText"/>
        <w:spacing w:line="480" w:lineRule="auto"/>
      </w:pPr>
      <w:r>
        <w:rPr>
          <w:rStyle w:val="FootnoteReference"/>
        </w:rPr>
        <w:footnoteRef/>
      </w:r>
      <w:r>
        <w:t xml:space="preserve"> Cowan, Chen, and Rouder, “Constant Capacity,” 639.</w:t>
      </w:r>
    </w:p>
  </w:footnote>
  <w:footnote w:id="17">
    <w:p w14:paraId="4114645A" w14:textId="5E23EFEC" w:rsidR="00FC28EF" w:rsidRDefault="00FC28EF" w:rsidP="001D514A">
      <w:pPr>
        <w:pStyle w:val="FootnoteText"/>
        <w:spacing w:line="480" w:lineRule="auto"/>
      </w:pPr>
      <w:r>
        <w:rPr>
          <w:rStyle w:val="FootnoteReference"/>
        </w:rPr>
        <w:footnoteRef/>
      </w:r>
      <w:r>
        <w:t xml:space="preserve"> Ma, Husain, and Bays, “Changing Concepts.”</w:t>
      </w:r>
    </w:p>
  </w:footnote>
  <w:footnote w:id="18">
    <w:p w14:paraId="5AF430D3" w14:textId="77777777" w:rsidR="00C10169" w:rsidRDefault="00C10169" w:rsidP="001D514A">
      <w:pPr>
        <w:pStyle w:val="FootnoteText"/>
        <w:spacing w:line="480" w:lineRule="auto"/>
      </w:pPr>
      <w:r>
        <w:rPr>
          <w:rStyle w:val="FootnoteReference"/>
        </w:rPr>
        <w:footnoteRef/>
      </w:r>
      <w:r>
        <w:t xml:space="preserve"> The FTC’s press release on this settlement can be read at </w:t>
      </w:r>
      <w:r w:rsidRPr="00424EDD">
        <w:t>https://www.ftc.gov/news-events/press-releases/2016/01/lumosity-pay-2-million-settle-ftc-deceptive-advertising-charges</w:t>
      </w:r>
      <w:r>
        <w:t>.</w:t>
      </w:r>
    </w:p>
  </w:footnote>
  <w:footnote w:id="19">
    <w:p w14:paraId="0D02E3CB" w14:textId="42497EDB" w:rsidR="000D43DD" w:rsidRDefault="000D43DD" w:rsidP="001D514A">
      <w:pPr>
        <w:pStyle w:val="FootnoteText"/>
        <w:spacing w:line="480" w:lineRule="auto"/>
      </w:pPr>
      <w:r>
        <w:rPr>
          <w:rStyle w:val="FootnoteReference"/>
        </w:rPr>
        <w:footnoteRef/>
      </w:r>
      <w:r>
        <w:t xml:space="preserve"> Mel</w:t>
      </w:r>
      <w:r w:rsidRPr="00664C78">
        <w:t>by-Le</w:t>
      </w:r>
      <w:r>
        <w:t>rvåg and Hulme, “Is Working Memory Training Effective?”</w:t>
      </w:r>
    </w:p>
  </w:footnote>
  <w:footnote w:id="20">
    <w:p w14:paraId="14BA6E35" w14:textId="6152FBA6" w:rsidR="00A90C72" w:rsidRDefault="00A90C72" w:rsidP="001D514A">
      <w:pPr>
        <w:pStyle w:val="FootnoteText"/>
        <w:spacing w:line="480" w:lineRule="auto"/>
      </w:pPr>
      <w:r>
        <w:rPr>
          <w:rStyle w:val="FootnoteReference"/>
        </w:rPr>
        <w:footnoteRef/>
      </w:r>
      <w:r>
        <w:t xml:space="preserve"> Mel</w:t>
      </w:r>
      <w:r w:rsidRPr="00664C78">
        <w:t>by-Le</w:t>
      </w:r>
      <w:r>
        <w:t>rvåg and Hulme, “Is Working Memory Training Effective?” 276.</w:t>
      </w:r>
    </w:p>
  </w:footnote>
  <w:footnote w:id="21">
    <w:p w14:paraId="4B6EBA3D" w14:textId="0A7B1423" w:rsidR="00555BC3" w:rsidRDefault="00555BC3" w:rsidP="001D514A">
      <w:pPr>
        <w:pStyle w:val="FootnoteText"/>
        <w:spacing w:line="480" w:lineRule="auto"/>
      </w:pPr>
      <w:r>
        <w:rPr>
          <w:rStyle w:val="FootnoteReference"/>
        </w:rPr>
        <w:footnoteRef/>
      </w:r>
      <w:r>
        <w:t xml:space="preserve"> This discussion is in Karpinski</w:t>
      </w:r>
      <w:r w:rsidR="005F25EF">
        <w:t xml:space="preserve">, </w:t>
      </w:r>
      <w:r w:rsidR="005F25EF">
        <w:rPr>
          <w:i/>
        </w:rPr>
        <w:t>Aural Skills Acquisition</w:t>
      </w:r>
      <w:r>
        <w:t>, 65–77.</w:t>
      </w:r>
    </w:p>
  </w:footnote>
  <w:footnote w:id="22">
    <w:p w14:paraId="6327B3B9" w14:textId="7B11E4B7" w:rsidR="00E54395" w:rsidRDefault="00E54395" w:rsidP="001D514A">
      <w:pPr>
        <w:pStyle w:val="FootnoteText"/>
        <w:spacing w:line="480" w:lineRule="auto"/>
      </w:pPr>
      <w:r>
        <w:rPr>
          <w:rStyle w:val="FootnoteReference"/>
        </w:rPr>
        <w:footnoteRef/>
      </w:r>
      <w:r>
        <w:t xml:space="preserve"> Sylvain Moreno et al., “</w:t>
      </w:r>
      <w:r w:rsidRPr="008C0F15">
        <w:t>Short-Term Music Training Enhances Verbal Inte</w:t>
      </w:r>
      <w:r>
        <w:t xml:space="preserve">lligence and Executive Function.” </w:t>
      </w:r>
      <w:r>
        <w:rPr>
          <w:i/>
        </w:rPr>
        <w:t>Psychological Science</w:t>
      </w:r>
      <w:r>
        <w:t xml:space="preserve"> 22, No. 11 (2011), 1429.</w:t>
      </w:r>
    </w:p>
  </w:footnote>
  <w:footnote w:id="23">
    <w:p w14:paraId="3F6E4716" w14:textId="037864DA" w:rsidR="00564DFF" w:rsidRDefault="00564DFF" w:rsidP="001D514A">
      <w:pPr>
        <w:pStyle w:val="FootnoteText"/>
        <w:spacing w:line="480" w:lineRule="auto"/>
      </w:pPr>
      <w:r>
        <w:rPr>
          <w:rStyle w:val="FootnoteReference"/>
        </w:rPr>
        <w:footnoteRef/>
      </w:r>
      <w:r>
        <w:t xml:space="preserve"> Pallesen et al., “Cognitive Control,” 1 and 10–11.</w:t>
      </w:r>
    </w:p>
  </w:footnote>
  <w:footnote w:id="24">
    <w:p w14:paraId="1CD5034D" w14:textId="6CF5C4FC" w:rsidR="009547AE" w:rsidRDefault="009547AE" w:rsidP="001D514A">
      <w:pPr>
        <w:pStyle w:val="FootnoteText"/>
        <w:spacing w:line="480" w:lineRule="auto"/>
      </w:pPr>
      <w:r>
        <w:rPr>
          <w:rStyle w:val="FootnoteReference"/>
        </w:rPr>
        <w:footnoteRef/>
      </w:r>
      <w:r>
        <w:t xml:space="preserve"> Baddeley, “Working Memory,” 559.</w:t>
      </w:r>
    </w:p>
  </w:footnote>
  <w:footnote w:id="25">
    <w:p w14:paraId="2C477CD0" w14:textId="69724A49" w:rsidR="005A186C" w:rsidRPr="005A186C" w:rsidRDefault="005A186C" w:rsidP="001D514A">
      <w:pPr>
        <w:pStyle w:val="FootnoteText"/>
        <w:spacing w:line="480" w:lineRule="auto"/>
      </w:pPr>
      <w:r>
        <w:rPr>
          <w:rStyle w:val="FootnoteReference"/>
        </w:rPr>
        <w:footnoteRef/>
      </w:r>
      <w:r>
        <w:t xml:space="preserve"> Karpinski, </w:t>
      </w:r>
      <w:r>
        <w:rPr>
          <w:i/>
        </w:rPr>
        <w:t>Aural Skills Acquisition</w:t>
      </w:r>
      <w:r>
        <w:t>, 65.</w:t>
      </w:r>
    </w:p>
  </w:footnote>
  <w:footnote w:id="26">
    <w:p w14:paraId="59D0529A" w14:textId="29F4A419" w:rsidR="00F80DA9" w:rsidRDefault="00F80DA9" w:rsidP="001D514A">
      <w:pPr>
        <w:pStyle w:val="FootnoteText"/>
        <w:spacing w:line="480" w:lineRule="auto"/>
      </w:pPr>
      <w:r>
        <w:rPr>
          <w:rStyle w:val="FootnoteReference"/>
        </w:rPr>
        <w:footnoteRef/>
      </w:r>
      <w:r>
        <w:t xml:space="preserve"> </w:t>
      </w:r>
      <w:r w:rsidR="000B1C1A">
        <w:t xml:space="preserve">Saul </w:t>
      </w:r>
      <w:r>
        <w:t>Sternberg</w:t>
      </w:r>
      <w:r w:rsidR="000B1C1A">
        <w:t xml:space="preserve">, “Memory Scanning: Mental Processes Revealed by Reaction-Time Experiments,” </w:t>
      </w:r>
      <w:r w:rsidR="000B1C1A">
        <w:rPr>
          <w:i/>
        </w:rPr>
        <w:t>American Scientist</w:t>
      </w:r>
      <w:r w:rsidR="000B1C1A">
        <w:t xml:space="preserve"> 57, No. 4 (1969)</w:t>
      </w:r>
      <w:r>
        <w:t xml:space="preserve">, 424. </w:t>
      </w:r>
      <w:r w:rsidR="00E71085">
        <w:t>Sternberg</w:t>
      </w:r>
      <w:r w:rsidR="00A63905">
        <w:t xml:space="preserve"> found that reaction times for both positive and negative responses correlated linearly with the size of the list even though one might expect some subjects to discover positive answers partway through their mental list search, suggesting</w:t>
      </w:r>
      <w:r w:rsidR="000274B3">
        <w:t xml:space="preserve"> the counterintuitive result</w:t>
      </w:r>
      <w:r w:rsidR="00A63905">
        <w:t xml:space="preserve"> that subjects search the entire list before answering even if they have </w:t>
      </w:r>
      <w:r w:rsidR="002077A7">
        <w:t xml:space="preserve">already </w:t>
      </w:r>
      <w:r w:rsidR="00A63905">
        <w:t>found a positive result.</w:t>
      </w:r>
    </w:p>
  </w:footnote>
  <w:footnote w:id="27">
    <w:p w14:paraId="18574FBB" w14:textId="3CB0C296" w:rsidR="00F1601D" w:rsidRDefault="00F1601D" w:rsidP="001D514A">
      <w:pPr>
        <w:pStyle w:val="FootnoteText"/>
        <w:spacing w:line="480" w:lineRule="auto"/>
      </w:pPr>
      <w:r>
        <w:rPr>
          <w:rStyle w:val="FootnoteReference"/>
        </w:rPr>
        <w:footnoteRef/>
      </w:r>
      <w:r>
        <w:t xml:space="preserve"> Peter Schubert,</w:t>
      </w:r>
      <w:r w:rsidRPr="00664C78">
        <w:t xml:space="preserve"> "My Undergraduate Skills-Intensive Counterpoint</w:t>
      </w:r>
      <w:r>
        <w:t xml:space="preserve"> Learning Environment (MUSICLE),</w:t>
      </w:r>
      <w:r w:rsidRPr="00664C78">
        <w:t xml:space="preserve">" </w:t>
      </w:r>
      <w:r w:rsidRPr="00664C78">
        <w:rPr>
          <w:i/>
          <w:iCs/>
        </w:rPr>
        <w:t>Engaging Students: Essays in Music Pedagogy</w:t>
      </w:r>
      <w:r w:rsidRPr="00664C78">
        <w:t xml:space="preserve"> 1</w:t>
      </w:r>
      <w:r>
        <w:t xml:space="preserve"> (2013), </w:t>
      </w:r>
      <w:r w:rsidRPr="00664C78">
        <w:t>http://flipcamp.org</w:t>
      </w:r>
      <w:r>
        <w:t>/engagingstudents/schubert.html; Julie E</w:t>
      </w:r>
      <w:r w:rsidRPr="00664C78">
        <w:t xml:space="preserve">. </w:t>
      </w:r>
      <w:r>
        <w:t xml:space="preserve">Cumming, </w:t>
      </w:r>
      <w:r w:rsidRPr="00664C78">
        <w:t>"Renaissan</w:t>
      </w:r>
      <w:r>
        <w:t>ce Improvisation and Musicology,</w:t>
      </w:r>
      <w:r w:rsidRPr="00664C78">
        <w:t xml:space="preserve">" </w:t>
      </w:r>
      <w:r w:rsidRPr="00664C78">
        <w:rPr>
          <w:i/>
          <w:iCs/>
        </w:rPr>
        <w:t>Music Theory Online</w:t>
      </w:r>
      <w:r w:rsidRPr="00664C78">
        <w:t xml:space="preserve"> </w:t>
      </w:r>
      <w:r>
        <w:t>19, No. 2 (</w:t>
      </w:r>
      <w:r w:rsidRPr="00664C78">
        <w:t>2013</w:t>
      </w:r>
      <w:r>
        <w:t xml:space="preserve">), </w:t>
      </w:r>
      <w:r w:rsidRPr="009B596F">
        <w:t>http://mtosmt.org/issues/mto.13.19.2/mto.13.19.2.cumming.html</w:t>
      </w:r>
      <w:r>
        <w:t>; and Denis Collins, “’So You Want to Write a Canon?’</w:t>
      </w:r>
      <w:r w:rsidRPr="00664C78">
        <w:t xml:space="preserve"> An Historically-Informed New Appro</w:t>
      </w:r>
      <w:r>
        <w:t>ach for the Modern Theory Class,</w:t>
      </w:r>
      <w:r w:rsidRPr="00664C78">
        <w:t xml:space="preserve">" </w:t>
      </w:r>
      <w:r w:rsidRPr="00664C78">
        <w:rPr>
          <w:i/>
          <w:iCs/>
        </w:rPr>
        <w:t>College Music Symposium</w:t>
      </w:r>
      <w:r>
        <w:t xml:space="preserve"> 48 (2008): 108–123.</w:t>
      </w:r>
    </w:p>
  </w:footnote>
  <w:footnote w:id="28">
    <w:p w14:paraId="00168B23" w14:textId="152C13A1" w:rsidR="00380D7A" w:rsidRDefault="00380D7A" w:rsidP="001D514A">
      <w:pPr>
        <w:pStyle w:val="FootnoteText"/>
        <w:spacing w:line="480" w:lineRule="auto"/>
      </w:pPr>
      <w:r>
        <w:rPr>
          <w:rStyle w:val="FootnoteReference"/>
        </w:rPr>
        <w:footnoteRef/>
      </w:r>
      <w:r>
        <w:t xml:space="preserve"> </w:t>
      </w:r>
      <w:r w:rsidR="007E314C">
        <w:t xml:space="preserve">This process is described in Janczyk and Grabowski, “The Focus of Attention.” </w:t>
      </w:r>
      <w:r>
        <w:t xml:space="preserve">In their experiments, Janczyk and Grabowski always did this in such a way as to </w:t>
      </w:r>
      <w:r w:rsidR="003F1BE5">
        <w:t>result</w:t>
      </w:r>
      <w:r>
        <w:t xml:space="preserve"> only </w:t>
      </w:r>
      <w:r w:rsidR="003F1BE5">
        <w:t xml:space="preserve">in </w:t>
      </w:r>
      <w:r>
        <w:t>real words. Given the much greater flexibility of musical grammar, this is not likely an issue in aural skills adaptations.</w:t>
      </w:r>
    </w:p>
  </w:footnote>
  <w:footnote w:id="29">
    <w:p w14:paraId="0D06E150" w14:textId="74B09258" w:rsidR="00591FE0" w:rsidRPr="00591FE0" w:rsidRDefault="00591FE0" w:rsidP="001D514A">
      <w:pPr>
        <w:pStyle w:val="FootnoteText"/>
        <w:spacing w:line="480" w:lineRule="auto"/>
      </w:pPr>
      <w:r>
        <w:rPr>
          <w:rStyle w:val="FootnoteReference"/>
        </w:rPr>
        <w:footnoteRef/>
      </w:r>
      <w:r>
        <w:t xml:space="preserve"> This exercise bears more than a passing resemblance to the “quick switch” exercises in David Damschroder’s textbook </w:t>
      </w:r>
      <w:r>
        <w:rPr>
          <w:i/>
        </w:rPr>
        <w:t>Listen and Sing</w:t>
      </w:r>
      <w:r>
        <w:t>. The</w:t>
      </w:r>
      <w:r w:rsidR="007369C7">
        <w:t>se exercises present</w:t>
      </w:r>
      <w:r>
        <w:t xml:space="preserve"> </w:t>
      </w:r>
      <w:r w:rsidR="007369C7">
        <w:t xml:space="preserve">in a box </w:t>
      </w:r>
      <w:r>
        <w:t xml:space="preserve">four melodies </w:t>
      </w:r>
      <w:r w:rsidR="007369C7">
        <w:t xml:space="preserve">or rhythms that differ in small ways; students are instructed to move around the box as they become comfortable with each </w:t>
      </w:r>
      <w:r w:rsidR="001B0845">
        <w:t>melody.</w:t>
      </w:r>
    </w:p>
  </w:footnote>
  <w:footnote w:id="30">
    <w:p w14:paraId="3A634CC0" w14:textId="4D6816E0" w:rsidR="001667A5" w:rsidRDefault="001667A5" w:rsidP="001D514A">
      <w:pPr>
        <w:pStyle w:val="FootnoteText"/>
        <w:spacing w:line="480" w:lineRule="auto"/>
      </w:pPr>
      <w:r>
        <w:rPr>
          <w:rStyle w:val="FootnoteReference"/>
        </w:rPr>
        <w:footnoteRef/>
      </w:r>
      <w:r>
        <w:t xml:space="preserve"> </w:t>
      </w:r>
      <w:r w:rsidR="00E0619D">
        <w:t>Cowan et al., “On the Capacity of Attention,” 47.</w:t>
      </w:r>
    </w:p>
  </w:footnote>
  <w:footnote w:id="31">
    <w:p w14:paraId="1C08C5A7" w14:textId="0A577FB5" w:rsidR="00832575" w:rsidRDefault="00832575" w:rsidP="001D514A">
      <w:pPr>
        <w:pStyle w:val="FootnoteText"/>
        <w:spacing w:line="480" w:lineRule="auto"/>
      </w:pPr>
      <w:r>
        <w:rPr>
          <w:rStyle w:val="FootnoteReference"/>
        </w:rPr>
        <w:footnoteRef/>
      </w:r>
      <w:r>
        <w:t xml:space="preserve"> Indeed, we could reframe many aural skills tasks as relying on control of attention. </w:t>
      </w:r>
      <w:r w:rsidR="007C2657">
        <w:t>Dictating</w:t>
      </w:r>
      <w:r>
        <w:t xml:space="preserve"> bass lines relies on the ability to train one’s attention to </w:t>
      </w:r>
      <w:r w:rsidR="007C2657">
        <w:t>lowest-sounding pitches; hearing chromatic chords relies on the ability to notice changes in diatonic system; labelling chord progressions aurally relies on the ability to attune to holistic aspects of a simultaneity; etc.</w:t>
      </w:r>
    </w:p>
  </w:footnote>
  <w:footnote w:id="32">
    <w:p w14:paraId="521071F9" w14:textId="00E7F444" w:rsidR="00C36AFD" w:rsidRDefault="00C36AFD" w:rsidP="001D514A">
      <w:pPr>
        <w:pStyle w:val="FootnoteText"/>
        <w:spacing w:line="480" w:lineRule="auto"/>
      </w:pPr>
      <w:r>
        <w:rPr>
          <w:rStyle w:val="FootnoteReference"/>
        </w:rPr>
        <w:footnoteRef/>
      </w:r>
      <w:r>
        <w:t xml:space="preserve"> </w:t>
      </w:r>
      <w:r w:rsidR="00706678">
        <w:t xml:space="preserve">The extensive literature on this negative effect includes </w:t>
      </w:r>
      <w:r w:rsidR="003955A6">
        <w:t>Shaozheng Qin et al., “</w:t>
      </w:r>
      <w:r w:rsidR="003955A6" w:rsidRPr="00F31A58">
        <w:rPr>
          <w:bCs/>
        </w:rPr>
        <w:t>Acute Psychological Stress Reduces Working Memory-Related Activity in the Dorsolateral Prefrontal Cortex</w:t>
      </w:r>
      <w:r w:rsidR="003955A6">
        <w:rPr>
          <w:bCs/>
        </w:rPr>
        <w:t>,</w:t>
      </w:r>
      <w:r w:rsidR="003955A6" w:rsidRPr="00F31A58">
        <w:rPr>
          <w:bCs/>
        </w:rPr>
        <w:t>”</w:t>
      </w:r>
      <w:r w:rsidR="003955A6">
        <w:rPr>
          <w:bCs/>
        </w:rPr>
        <w:t xml:space="preserve"> </w:t>
      </w:r>
      <w:r w:rsidR="003955A6">
        <w:rPr>
          <w:bCs/>
          <w:i/>
        </w:rPr>
        <w:t>Biological Psychiatry</w:t>
      </w:r>
      <w:r w:rsidR="003955A6">
        <w:rPr>
          <w:bCs/>
        </w:rPr>
        <w:t xml:space="preserve"> 66 (2009)</w:t>
      </w:r>
      <w:r w:rsidR="003955A6">
        <w:t>;</w:t>
      </w:r>
      <w:r w:rsidR="00706678">
        <w:t xml:space="preserve"> </w:t>
      </w:r>
      <w:r w:rsidR="003955A6">
        <w:t>Mathias Luethi, Beat Meier, and Carmen Sandi,</w:t>
      </w:r>
      <w:r w:rsidR="003955A6" w:rsidRPr="00664C78">
        <w:t xml:space="preserve"> "Stress Effects on Working Memory, Explicit Memory, and Implicit Memory for Neutral an</w:t>
      </w:r>
      <w:r w:rsidR="003955A6">
        <w:t>d Emotional Stimuli in Healthy Men,</w:t>
      </w:r>
      <w:r w:rsidR="003955A6" w:rsidRPr="00664C78">
        <w:t xml:space="preserve">" </w:t>
      </w:r>
      <w:r w:rsidR="003955A6" w:rsidRPr="00664C78">
        <w:rPr>
          <w:i/>
          <w:iCs/>
        </w:rPr>
        <w:t>Frontiers in Behavioral Neuroscience</w:t>
      </w:r>
      <w:r w:rsidR="003955A6">
        <w:t xml:space="preserve"> 2, No.</w:t>
      </w:r>
      <w:r w:rsidR="003955A6" w:rsidRPr="00664C78">
        <w:t xml:space="preserve"> 5</w:t>
      </w:r>
      <w:r w:rsidR="003955A6">
        <w:t xml:space="preserve"> (</w:t>
      </w:r>
      <w:r w:rsidR="003955A6" w:rsidRPr="00664C78">
        <w:t>2009</w:t>
      </w:r>
      <w:r w:rsidR="003955A6">
        <w:t>);</w:t>
      </w:r>
      <w:r w:rsidR="00706678">
        <w:t xml:space="preserve"> and </w:t>
      </w:r>
      <w:r w:rsidR="003955A6" w:rsidRPr="00664C78">
        <w:t>Daniela</w:t>
      </w:r>
      <w:r w:rsidR="003955A6">
        <w:t xml:space="preserve"> Schoofs</w:t>
      </w:r>
      <w:r w:rsidR="003955A6" w:rsidRPr="00664C78">
        <w:t xml:space="preserve">, </w:t>
      </w:r>
      <w:r w:rsidR="003955A6">
        <w:t>Diana Preuß, and Oliver T. Wolf,</w:t>
      </w:r>
      <w:r w:rsidR="003955A6" w:rsidRPr="00664C78">
        <w:t xml:space="preserve"> "Psychosocial Stress Induces Working Memory Impairments in an </w:t>
      </w:r>
      <w:r w:rsidR="003955A6" w:rsidRPr="00664C78">
        <w:rPr>
          <w:i/>
          <w:iCs/>
        </w:rPr>
        <w:t>N</w:t>
      </w:r>
      <w:r w:rsidR="003955A6">
        <w:t>-Back Paradigm,</w:t>
      </w:r>
      <w:r w:rsidR="003955A6" w:rsidRPr="00664C78">
        <w:t xml:space="preserve">" </w:t>
      </w:r>
      <w:r w:rsidR="003955A6" w:rsidRPr="00664C78">
        <w:rPr>
          <w:i/>
          <w:iCs/>
        </w:rPr>
        <w:t xml:space="preserve">Psychoneuroendocrinology </w:t>
      </w:r>
      <w:r w:rsidR="003955A6" w:rsidRPr="00664C78">
        <w:t>33</w:t>
      </w:r>
      <w:r w:rsidR="003955A6">
        <w:t xml:space="preserve"> (</w:t>
      </w:r>
      <w:r w:rsidR="003955A6" w:rsidRPr="00664C78">
        <w:t>2008</w:t>
      </w:r>
      <w:r w:rsidR="003955A6">
        <w:t>):</w:t>
      </w:r>
      <w:r w:rsidR="003955A6" w:rsidRPr="00664C78">
        <w:t xml:space="preserve"> 643–653</w:t>
      </w:r>
      <w:r w:rsidR="00706678">
        <w:t>.</w:t>
      </w:r>
    </w:p>
  </w:footnote>
  <w:footnote w:id="33">
    <w:p w14:paraId="6FA92141" w14:textId="77777777" w:rsidR="001E78B3" w:rsidRDefault="001E78B3" w:rsidP="001D514A">
      <w:pPr>
        <w:pStyle w:val="FootnoteText"/>
        <w:spacing w:line="480" w:lineRule="auto"/>
      </w:pPr>
      <w:r>
        <w:rPr>
          <w:rStyle w:val="FootnoteReference"/>
        </w:rPr>
        <w:footnoteRef/>
      </w:r>
      <w:r>
        <w:t xml:space="preserve"> Shaozheng Qin et al., “</w:t>
      </w:r>
      <w:r w:rsidRPr="00F31A58">
        <w:rPr>
          <w:bCs/>
        </w:rPr>
        <w:t>Acute Psychological Stress Reduces Working Memory-Related Activity in the Dorsolateral Prefrontal Cortex</w:t>
      </w:r>
      <w:r>
        <w:rPr>
          <w:bCs/>
        </w:rPr>
        <w:t>,</w:t>
      </w:r>
      <w:r w:rsidRPr="00F31A58">
        <w:rPr>
          <w:bCs/>
        </w:rPr>
        <w:t>”</w:t>
      </w:r>
      <w:r>
        <w:rPr>
          <w:bCs/>
        </w:rPr>
        <w:t xml:space="preserve"> </w:t>
      </w:r>
      <w:r>
        <w:rPr>
          <w:bCs/>
          <w:i/>
        </w:rPr>
        <w:t>Biological Psychiatry</w:t>
      </w:r>
      <w:r>
        <w:rPr>
          <w:bCs/>
        </w:rPr>
        <w:t xml:space="preserve"> 66 (2009),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1B0F"/>
    <w:multiLevelType w:val="hybridMultilevel"/>
    <w:tmpl w:val="EA4E5FA0"/>
    <w:lvl w:ilvl="0" w:tplc="047EB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C437D7"/>
    <w:multiLevelType w:val="hybridMultilevel"/>
    <w:tmpl w:val="5012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370AD"/>
    <w:multiLevelType w:val="hybridMultilevel"/>
    <w:tmpl w:val="E7D6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B39DE"/>
    <w:multiLevelType w:val="hybridMultilevel"/>
    <w:tmpl w:val="5ECAC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0E4"/>
    <w:rsid w:val="00007253"/>
    <w:rsid w:val="000072A3"/>
    <w:rsid w:val="00011A44"/>
    <w:rsid w:val="00020ECE"/>
    <w:rsid w:val="00024C43"/>
    <w:rsid w:val="000274B3"/>
    <w:rsid w:val="000338C9"/>
    <w:rsid w:val="00043B32"/>
    <w:rsid w:val="0004404B"/>
    <w:rsid w:val="00046FC6"/>
    <w:rsid w:val="00052830"/>
    <w:rsid w:val="00062929"/>
    <w:rsid w:val="00064505"/>
    <w:rsid w:val="00066571"/>
    <w:rsid w:val="00072A02"/>
    <w:rsid w:val="00072A6A"/>
    <w:rsid w:val="00075ACD"/>
    <w:rsid w:val="00085E07"/>
    <w:rsid w:val="00093B3B"/>
    <w:rsid w:val="00094A93"/>
    <w:rsid w:val="00096BD0"/>
    <w:rsid w:val="000A3B8F"/>
    <w:rsid w:val="000A5126"/>
    <w:rsid w:val="000B07EC"/>
    <w:rsid w:val="000B1C1A"/>
    <w:rsid w:val="000B44B9"/>
    <w:rsid w:val="000B7511"/>
    <w:rsid w:val="000C4F0C"/>
    <w:rsid w:val="000C6916"/>
    <w:rsid w:val="000D43DD"/>
    <w:rsid w:val="000E0ADA"/>
    <w:rsid w:val="000E0D42"/>
    <w:rsid w:val="000E6DEE"/>
    <w:rsid w:val="00101F2C"/>
    <w:rsid w:val="00102051"/>
    <w:rsid w:val="00105C22"/>
    <w:rsid w:val="001068AC"/>
    <w:rsid w:val="00107FFA"/>
    <w:rsid w:val="00110380"/>
    <w:rsid w:val="00111085"/>
    <w:rsid w:val="00117788"/>
    <w:rsid w:val="001223E6"/>
    <w:rsid w:val="001235B5"/>
    <w:rsid w:val="00134BC8"/>
    <w:rsid w:val="00135197"/>
    <w:rsid w:val="001351B7"/>
    <w:rsid w:val="001359B6"/>
    <w:rsid w:val="00137637"/>
    <w:rsid w:val="001415AD"/>
    <w:rsid w:val="00144FA9"/>
    <w:rsid w:val="001535D3"/>
    <w:rsid w:val="00156952"/>
    <w:rsid w:val="001667A5"/>
    <w:rsid w:val="00170026"/>
    <w:rsid w:val="00174481"/>
    <w:rsid w:val="001804BE"/>
    <w:rsid w:val="001838F1"/>
    <w:rsid w:val="001846B8"/>
    <w:rsid w:val="00186D4D"/>
    <w:rsid w:val="001911D3"/>
    <w:rsid w:val="00193B73"/>
    <w:rsid w:val="001A168F"/>
    <w:rsid w:val="001B0845"/>
    <w:rsid w:val="001B2ED3"/>
    <w:rsid w:val="001D168E"/>
    <w:rsid w:val="001D2909"/>
    <w:rsid w:val="001D514A"/>
    <w:rsid w:val="001E04F5"/>
    <w:rsid w:val="001E0A97"/>
    <w:rsid w:val="001E132A"/>
    <w:rsid w:val="001E3842"/>
    <w:rsid w:val="001E66D5"/>
    <w:rsid w:val="001E6B9A"/>
    <w:rsid w:val="001E78B3"/>
    <w:rsid w:val="001F7FC9"/>
    <w:rsid w:val="00201748"/>
    <w:rsid w:val="0020382B"/>
    <w:rsid w:val="002041B2"/>
    <w:rsid w:val="002077A7"/>
    <w:rsid w:val="00212D06"/>
    <w:rsid w:val="0021360E"/>
    <w:rsid w:val="00215420"/>
    <w:rsid w:val="00216A8A"/>
    <w:rsid w:val="002211F8"/>
    <w:rsid w:val="00226FC5"/>
    <w:rsid w:val="0025426B"/>
    <w:rsid w:val="00261F22"/>
    <w:rsid w:val="00263593"/>
    <w:rsid w:val="002826C0"/>
    <w:rsid w:val="002936AC"/>
    <w:rsid w:val="002948E5"/>
    <w:rsid w:val="002952FF"/>
    <w:rsid w:val="002A5C4A"/>
    <w:rsid w:val="002A7B7A"/>
    <w:rsid w:val="002C2F0D"/>
    <w:rsid w:val="002E2F71"/>
    <w:rsid w:val="002E424D"/>
    <w:rsid w:val="002E5F9F"/>
    <w:rsid w:val="002F010B"/>
    <w:rsid w:val="002F37E5"/>
    <w:rsid w:val="002F47B1"/>
    <w:rsid w:val="002F486D"/>
    <w:rsid w:val="002F5056"/>
    <w:rsid w:val="002F55B1"/>
    <w:rsid w:val="00306EF4"/>
    <w:rsid w:val="00313350"/>
    <w:rsid w:val="003143F1"/>
    <w:rsid w:val="00320B22"/>
    <w:rsid w:val="00320CE2"/>
    <w:rsid w:val="00322209"/>
    <w:rsid w:val="003229CC"/>
    <w:rsid w:val="00331478"/>
    <w:rsid w:val="00334BF6"/>
    <w:rsid w:val="0034699D"/>
    <w:rsid w:val="00354C15"/>
    <w:rsid w:val="00356F3D"/>
    <w:rsid w:val="00357899"/>
    <w:rsid w:val="003616BC"/>
    <w:rsid w:val="00363080"/>
    <w:rsid w:val="0037393F"/>
    <w:rsid w:val="00380D7A"/>
    <w:rsid w:val="00382726"/>
    <w:rsid w:val="003871E4"/>
    <w:rsid w:val="00387EAF"/>
    <w:rsid w:val="00390187"/>
    <w:rsid w:val="003955A6"/>
    <w:rsid w:val="0039650D"/>
    <w:rsid w:val="003A0D86"/>
    <w:rsid w:val="003A0DC5"/>
    <w:rsid w:val="003A5142"/>
    <w:rsid w:val="003B151F"/>
    <w:rsid w:val="003B17A3"/>
    <w:rsid w:val="003B34BE"/>
    <w:rsid w:val="003B36EE"/>
    <w:rsid w:val="003B619F"/>
    <w:rsid w:val="003C4DC0"/>
    <w:rsid w:val="003E2677"/>
    <w:rsid w:val="003E3A65"/>
    <w:rsid w:val="003E6F15"/>
    <w:rsid w:val="003E79FB"/>
    <w:rsid w:val="003F1BE5"/>
    <w:rsid w:val="00403187"/>
    <w:rsid w:val="00406967"/>
    <w:rsid w:val="00407C09"/>
    <w:rsid w:val="00412904"/>
    <w:rsid w:val="004143A7"/>
    <w:rsid w:val="004158A4"/>
    <w:rsid w:val="00423B1F"/>
    <w:rsid w:val="00424EDD"/>
    <w:rsid w:val="00433974"/>
    <w:rsid w:val="00436E2D"/>
    <w:rsid w:val="0044024F"/>
    <w:rsid w:val="00441876"/>
    <w:rsid w:val="004465B8"/>
    <w:rsid w:val="004513B4"/>
    <w:rsid w:val="00456AFC"/>
    <w:rsid w:val="00463F4A"/>
    <w:rsid w:val="00464CDF"/>
    <w:rsid w:val="00464F53"/>
    <w:rsid w:val="00474097"/>
    <w:rsid w:val="00474CC4"/>
    <w:rsid w:val="00481433"/>
    <w:rsid w:val="004848DF"/>
    <w:rsid w:val="004858F5"/>
    <w:rsid w:val="004A16B9"/>
    <w:rsid w:val="004A68CE"/>
    <w:rsid w:val="004A6DDD"/>
    <w:rsid w:val="004A76CC"/>
    <w:rsid w:val="004B2178"/>
    <w:rsid w:val="004B6EFA"/>
    <w:rsid w:val="004C2F96"/>
    <w:rsid w:val="004C76DC"/>
    <w:rsid w:val="004D3E10"/>
    <w:rsid w:val="004E6109"/>
    <w:rsid w:val="004F1A25"/>
    <w:rsid w:val="0051100F"/>
    <w:rsid w:val="005168CF"/>
    <w:rsid w:val="00522DF4"/>
    <w:rsid w:val="005332F2"/>
    <w:rsid w:val="005334B8"/>
    <w:rsid w:val="005407DF"/>
    <w:rsid w:val="0054128B"/>
    <w:rsid w:val="005501F3"/>
    <w:rsid w:val="00552D2C"/>
    <w:rsid w:val="00555BC3"/>
    <w:rsid w:val="00556280"/>
    <w:rsid w:val="00557C23"/>
    <w:rsid w:val="00562095"/>
    <w:rsid w:val="00562EEB"/>
    <w:rsid w:val="00563FA9"/>
    <w:rsid w:val="00564937"/>
    <w:rsid w:val="00564DFF"/>
    <w:rsid w:val="005702A5"/>
    <w:rsid w:val="00574D49"/>
    <w:rsid w:val="00577B28"/>
    <w:rsid w:val="005822F2"/>
    <w:rsid w:val="00584D31"/>
    <w:rsid w:val="0058639D"/>
    <w:rsid w:val="00590463"/>
    <w:rsid w:val="00591FE0"/>
    <w:rsid w:val="005A186C"/>
    <w:rsid w:val="005A7942"/>
    <w:rsid w:val="005B32CC"/>
    <w:rsid w:val="005B61F0"/>
    <w:rsid w:val="005C1926"/>
    <w:rsid w:val="005C4DA9"/>
    <w:rsid w:val="005C5F7A"/>
    <w:rsid w:val="005D527C"/>
    <w:rsid w:val="005E124E"/>
    <w:rsid w:val="005E39A3"/>
    <w:rsid w:val="005F0459"/>
    <w:rsid w:val="005F25EF"/>
    <w:rsid w:val="005F56CD"/>
    <w:rsid w:val="006041D8"/>
    <w:rsid w:val="00604C71"/>
    <w:rsid w:val="00606481"/>
    <w:rsid w:val="00616F07"/>
    <w:rsid w:val="00622BC6"/>
    <w:rsid w:val="006246A0"/>
    <w:rsid w:val="006273DA"/>
    <w:rsid w:val="006365C0"/>
    <w:rsid w:val="00643551"/>
    <w:rsid w:val="006455FE"/>
    <w:rsid w:val="00650A83"/>
    <w:rsid w:val="00652C1A"/>
    <w:rsid w:val="00655E64"/>
    <w:rsid w:val="00656C01"/>
    <w:rsid w:val="00664C78"/>
    <w:rsid w:val="006674AA"/>
    <w:rsid w:val="00681199"/>
    <w:rsid w:val="006842DA"/>
    <w:rsid w:val="00684571"/>
    <w:rsid w:val="00684959"/>
    <w:rsid w:val="00684C96"/>
    <w:rsid w:val="0068515B"/>
    <w:rsid w:val="00692F65"/>
    <w:rsid w:val="00694911"/>
    <w:rsid w:val="006A4130"/>
    <w:rsid w:val="006A4EAC"/>
    <w:rsid w:val="006C2A65"/>
    <w:rsid w:val="006C3F30"/>
    <w:rsid w:val="006D3293"/>
    <w:rsid w:val="006D3421"/>
    <w:rsid w:val="006E506C"/>
    <w:rsid w:val="006E51FD"/>
    <w:rsid w:val="006F3942"/>
    <w:rsid w:val="0070064F"/>
    <w:rsid w:val="00706678"/>
    <w:rsid w:val="007157CF"/>
    <w:rsid w:val="007258DC"/>
    <w:rsid w:val="00731EF9"/>
    <w:rsid w:val="00734E31"/>
    <w:rsid w:val="00735CDB"/>
    <w:rsid w:val="007369C7"/>
    <w:rsid w:val="00740045"/>
    <w:rsid w:val="00741CF1"/>
    <w:rsid w:val="00747522"/>
    <w:rsid w:val="00747E8C"/>
    <w:rsid w:val="00752174"/>
    <w:rsid w:val="00762AF6"/>
    <w:rsid w:val="007671F1"/>
    <w:rsid w:val="00767D67"/>
    <w:rsid w:val="00771E21"/>
    <w:rsid w:val="0077567B"/>
    <w:rsid w:val="00775E04"/>
    <w:rsid w:val="007853B3"/>
    <w:rsid w:val="00786BE0"/>
    <w:rsid w:val="00787DCB"/>
    <w:rsid w:val="0079230B"/>
    <w:rsid w:val="00792C86"/>
    <w:rsid w:val="00795629"/>
    <w:rsid w:val="00795BCC"/>
    <w:rsid w:val="00796073"/>
    <w:rsid w:val="007A15DD"/>
    <w:rsid w:val="007A3663"/>
    <w:rsid w:val="007B0C4A"/>
    <w:rsid w:val="007B15BB"/>
    <w:rsid w:val="007B3989"/>
    <w:rsid w:val="007B3F6A"/>
    <w:rsid w:val="007C2657"/>
    <w:rsid w:val="007C3B08"/>
    <w:rsid w:val="007D4270"/>
    <w:rsid w:val="007D59C6"/>
    <w:rsid w:val="007E314C"/>
    <w:rsid w:val="007E4088"/>
    <w:rsid w:val="007E4401"/>
    <w:rsid w:val="007E7459"/>
    <w:rsid w:val="007F7F22"/>
    <w:rsid w:val="00802402"/>
    <w:rsid w:val="008135D1"/>
    <w:rsid w:val="00817CFA"/>
    <w:rsid w:val="00821771"/>
    <w:rsid w:val="00822A37"/>
    <w:rsid w:val="00826A87"/>
    <w:rsid w:val="00830616"/>
    <w:rsid w:val="00830C26"/>
    <w:rsid w:val="00832575"/>
    <w:rsid w:val="0083467E"/>
    <w:rsid w:val="00835730"/>
    <w:rsid w:val="00836707"/>
    <w:rsid w:val="00845AE7"/>
    <w:rsid w:val="0084769D"/>
    <w:rsid w:val="00852D3A"/>
    <w:rsid w:val="00853065"/>
    <w:rsid w:val="00853E65"/>
    <w:rsid w:val="008571C9"/>
    <w:rsid w:val="00866094"/>
    <w:rsid w:val="00872C87"/>
    <w:rsid w:val="0087516F"/>
    <w:rsid w:val="00876EBB"/>
    <w:rsid w:val="00877501"/>
    <w:rsid w:val="008939BB"/>
    <w:rsid w:val="008A1DEA"/>
    <w:rsid w:val="008B54F3"/>
    <w:rsid w:val="008B6EB2"/>
    <w:rsid w:val="008C0F15"/>
    <w:rsid w:val="008C5BC2"/>
    <w:rsid w:val="008D098B"/>
    <w:rsid w:val="008D2BA4"/>
    <w:rsid w:val="008E5FD4"/>
    <w:rsid w:val="008F4DB3"/>
    <w:rsid w:val="00905E19"/>
    <w:rsid w:val="00920FAD"/>
    <w:rsid w:val="00927178"/>
    <w:rsid w:val="00937BA4"/>
    <w:rsid w:val="00937D77"/>
    <w:rsid w:val="00940E01"/>
    <w:rsid w:val="00944604"/>
    <w:rsid w:val="00945C89"/>
    <w:rsid w:val="009524F5"/>
    <w:rsid w:val="009542AA"/>
    <w:rsid w:val="009547AE"/>
    <w:rsid w:val="009632F2"/>
    <w:rsid w:val="00963658"/>
    <w:rsid w:val="00963F63"/>
    <w:rsid w:val="00964AA6"/>
    <w:rsid w:val="00966047"/>
    <w:rsid w:val="009707C7"/>
    <w:rsid w:val="00973B10"/>
    <w:rsid w:val="00983ED8"/>
    <w:rsid w:val="009847AC"/>
    <w:rsid w:val="00991818"/>
    <w:rsid w:val="0099436E"/>
    <w:rsid w:val="00995C54"/>
    <w:rsid w:val="009A2F0F"/>
    <w:rsid w:val="009A5EDB"/>
    <w:rsid w:val="009A675A"/>
    <w:rsid w:val="009B1B6E"/>
    <w:rsid w:val="009B1B7F"/>
    <w:rsid w:val="009B2DE0"/>
    <w:rsid w:val="009B596F"/>
    <w:rsid w:val="009C5F53"/>
    <w:rsid w:val="009D6334"/>
    <w:rsid w:val="009E207D"/>
    <w:rsid w:val="009E3144"/>
    <w:rsid w:val="009E7731"/>
    <w:rsid w:val="009F1484"/>
    <w:rsid w:val="009F2398"/>
    <w:rsid w:val="009F3216"/>
    <w:rsid w:val="009F3D4B"/>
    <w:rsid w:val="009F48D5"/>
    <w:rsid w:val="009F5163"/>
    <w:rsid w:val="009F5383"/>
    <w:rsid w:val="009F7488"/>
    <w:rsid w:val="00A00D8E"/>
    <w:rsid w:val="00A03014"/>
    <w:rsid w:val="00A036AB"/>
    <w:rsid w:val="00A0383C"/>
    <w:rsid w:val="00A10096"/>
    <w:rsid w:val="00A10AF1"/>
    <w:rsid w:val="00A14B6C"/>
    <w:rsid w:val="00A14C6B"/>
    <w:rsid w:val="00A168C7"/>
    <w:rsid w:val="00A305A5"/>
    <w:rsid w:val="00A31151"/>
    <w:rsid w:val="00A332EC"/>
    <w:rsid w:val="00A41046"/>
    <w:rsid w:val="00A47394"/>
    <w:rsid w:val="00A475D0"/>
    <w:rsid w:val="00A51012"/>
    <w:rsid w:val="00A55DD4"/>
    <w:rsid w:val="00A62797"/>
    <w:rsid w:val="00A63905"/>
    <w:rsid w:val="00A66BB9"/>
    <w:rsid w:val="00A70021"/>
    <w:rsid w:val="00A708F2"/>
    <w:rsid w:val="00A71FD2"/>
    <w:rsid w:val="00A73FD9"/>
    <w:rsid w:val="00A76EDC"/>
    <w:rsid w:val="00A84896"/>
    <w:rsid w:val="00A90C72"/>
    <w:rsid w:val="00A91B15"/>
    <w:rsid w:val="00A9389B"/>
    <w:rsid w:val="00A94225"/>
    <w:rsid w:val="00AB1B89"/>
    <w:rsid w:val="00AC2BD1"/>
    <w:rsid w:val="00AC6AB1"/>
    <w:rsid w:val="00AC7453"/>
    <w:rsid w:val="00AD034F"/>
    <w:rsid w:val="00AD18C3"/>
    <w:rsid w:val="00AD25BD"/>
    <w:rsid w:val="00AD5E0C"/>
    <w:rsid w:val="00AE26CE"/>
    <w:rsid w:val="00AE46A3"/>
    <w:rsid w:val="00AE5726"/>
    <w:rsid w:val="00AF1D35"/>
    <w:rsid w:val="00AF21A9"/>
    <w:rsid w:val="00B00487"/>
    <w:rsid w:val="00B01C47"/>
    <w:rsid w:val="00B02054"/>
    <w:rsid w:val="00B13187"/>
    <w:rsid w:val="00B17ED9"/>
    <w:rsid w:val="00B214AD"/>
    <w:rsid w:val="00B23933"/>
    <w:rsid w:val="00B30268"/>
    <w:rsid w:val="00B32CC8"/>
    <w:rsid w:val="00B36B4D"/>
    <w:rsid w:val="00B36FE2"/>
    <w:rsid w:val="00B3758F"/>
    <w:rsid w:val="00B377F7"/>
    <w:rsid w:val="00B500A5"/>
    <w:rsid w:val="00B5455E"/>
    <w:rsid w:val="00B55C86"/>
    <w:rsid w:val="00B65479"/>
    <w:rsid w:val="00B81E47"/>
    <w:rsid w:val="00B848EA"/>
    <w:rsid w:val="00B85095"/>
    <w:rsid w:val="00B85A1A"/>
    <w:rsid w:val="00B85EFD"/>
    <w:rsid w:val="00B868EB"/>
    <w:rsid w:val="00B93112"/>
    <w:rsid w:val="00B938DF"/>
    <w:rsid w:val="00B93B5B"/>
    <w:rsid w:val="00B97F21"/>
    <w:rsid w:val="00BA3753"/>
    <w:rsid w:val="00BB61BC"/>
    <w:rsid w:val="00BC2458"/>
    <w:rsid w:val="00BC3246"/>
    <w:rsid w:val="00BC6103"/>
    <w:rsid w:val="00BD6076"/>
    <w:rsid w:val="00BF1B23"/>
    <w:rsid w:val="00BF235A"/>
    <w:rsid w:val="00BF3246"/>
    <w:rsid w:val="00BF75F4"/>
    <w:rsid w:val="00C06606"/>
    <w:rsid w:val="00C10169"/>
    <w:rsid w:val="00C102BF"/>
    <w:rsid w:val="00C125C5"/>
    <w:rsid w:val="00C16560"/>
    <w:rsid w:val="00C17C35"/>
    <w:rsid w:val="00C36AFD"/>
    <w:rsid w:val="00C53AB5"/>
    <w:rsid w:val="00C55E46"/>
    <w:rsid w:val="00C560E4"/>
    <w:rsid w:val="00C60685"/>
    <w:rsid w:val="00C60A71"/>
    <w:rsid w:val="00C62A64"/>
    <w:rsid w:val="00C634A8"/>
    <w:rsid w:val="00C720D8"/>
    <w:rsid w:val="00C76A79"/>
    <w:rsid w:val="00C80A1E"/>
    <w:rsid w:val="00C83E64"/>
    <w:rsid w:val="00C937C9"/>
    <w:rsid w:val="00C93F3A"/>
    <w:rsid w:val="00C94EDE"/>
    <w:rsid w:val="00C95428"/>
    <w:rsid w:val="00C95775"/>
    <w:rsid w:val="00C97BD9"/>
    <w:rsid w:val="00CB084A"/>
    <w:rsid w:val="00CB4795"/>
    <w:rsid w:val="00CC6883"/>
    <w:rsid w:val="00CC6C9B"/>
    <w:rsid w:val="00CD500D"/>
    <w:rsid w:val="00CE32DF"/>
    <w:rsid w:val="00CF1CF9"/>
    <w:rsid w:val="00CF1F87"/>
    <w:rsid w:val="00D017AB"/>
    <w:rsid w:val="00D03D68"/>
    <w:rsid w:val="00D05280"/>
    <w:rsid w:val="00D06515"/>
    <w:rsid w:val="00D07AF1"/>
    <w:rsid w:val="00D1182D"/>
    <w:rsid w:val="00D17875"/>
    <w:rsid w:val="00D206EA"/>
    <w:rsid w:val="00D221BE"/>
    <w:rsid w:val="00D27CB1"/>
    <w:rsid w:val="00D3148F"/>
    <w:rsid w:val="00D3359F"/>
    <w:rsid w:val="00D336D3"/>
    <w:rsid w:val="00D34D3C"/>
    <w:rsid w:val="00D355D2"/>
    <w:rsid w:val="00D359BB"/>
    <w:rsid w:val="00D50B65"/>
    <w:rsid w:val="00D514DC"/>
    <w:rsid w:val="00D52885"/>
    <w:rsid w:val="00D60648"/>
    <w:rsid w:val="00D60EF1"/>
    <w:rsid w:val="00D62C4A"/>
    <w:rsid w:val="00D63553"/>
    <w:rsid w:val="00D6378C"/>
    <w:rsid w:val="00D664C9"/>
    <w:rsid w:val="00D67224"/>
    <w:rsid w:val="00D767F4"/>
    <w:rsid w:val="00D7698B"/>
    <w:rsid w:val="00D769EE"/>
    <w:rsid w:val="00D82D4C"/>
    <w:rsid w:val="00D8766B"/>
    <w:rsid w:val="00D914B7"/>
    <w:rsid w:val="00D91625"/>
    <w:rsid w:val="00D94086"/>
    <w:rsid w:val="00DB200A"/>
    <w:rsid w:val="00DC004C"/>
    <w:rsid w:val="00DC0C32"/>
    <w:rsid w:val="00DC399E"/>
    <w:rsid w:val="00DC3D6B"/>
    <w:rsid w:val="00DC475E"/>
    <w:rsid w:val="00DD7899"/>
    <w:rsid w:val="00DE0124"/>
    <w:rsid w:val="00DE559D"/>
    <w:rsid w:val="00DE6D85"/>
    <w:rsid w:val="00DF4CAB"/>
    <w:rsid w:val="00E0619D"/>
    <w:rsid w:val="00E11E67"/>
    <w:rsid w:val="00E13809"/>
    <w:rsid w:val="00E13C06"/>
    <w:rsid w:val="00E1669A"/>
    <w:rsid w:val="00E20FEE"/>
    <w:rsid w:val="00E27404"/>
    <w:rsid w:val="00E302C7"/>
    <w:rsid w:val="00E31F68"/>
    <w:rsid w:val="00E34C82"/>
    <w:rsid w:val="00E37AF4"/>
    <w:rsid w:val="00E427FF"/>
    <w:rsid w:val="00E4396C"/>
    <w:rsid w:val="00E46372"/>
    <w:rsid w:val="00E468CF"/>
    <w:rsid w:val="00E50F24"/>
    <w:rsid w:val="00E54395"/>
    <w:rsid w:val="00E64C9F"/>
    <w:rsid w:val="00E71085"/>
    <w:rsid w:val="00E735D0"/>
    <w:rsid w:val="00E758DE"/>
    <w:rsid w:val="00E76160"/>
    <w:rsid w:val="00E770FC"/>
    <w:rsid w:val="00E82C87"/>
    <w:rsid w:val="00E84484"/>
    <w:rsid w:val="00E84A2B"/>
    <w:rsid w:val="00E9513D"/>
    <w:rsid w:val="00EA2B27"/>
    <w:rsid w:val="00EA2DC4"/>
    <w:rsid w:val="00EA7949"/>
    <w:rsid w:val="00ED1CC0"/>
    <w:rsid w:val="00ED3BC2"/>
    <w:rsid w:val="00EE0172"/>
    <w:rsid w:val="00EE1D68"/>
    <w:rsid w:val="00EE1F76"/>
    <w:rsid w:val="00EE3959"/>
    <w:rsid w:val="00EE55CE"/>
    <w:rsid w:val="00EE58DF"/>
    <w:rsid w:val="00EE71C4"/>
    <w:rsid w:val="00EF1E57"/>
    <w:rsid w:val="00EF35F9"/>
    <w:rsid w:val="00EF51FB"/>
    <w:rsid w:val="00F051B8"/>
    <w:rsid w:val="00F0695E"/>
    <w:rsid w:val="00F1223F"/>
    <w:rsid w:val="00F15479"/>
    <w:rsid w:val="00F1601D"/>
    <w:rsid w:val="00F16678"/>
    <w:rsid w:val="00F220E7"/>
    <w:rsid w:val="00F23A7E"/>
    <w:rsid w:val="00F274C6"/>
    <w:rsid w:val="00F31A58"/>
    <w:rsid w:val="00F31E98"/>
    <w:rsid w:val="00F35213"/>
    <w:rsid w:val="00F36430"/>
    <w:rsid w:val="00F37400"/>
    <w:rsid w:val="00F37E98"/>
    <w:rsid w:val="00F45B42"/>
    <w:rsid w:val="00F46392"/>
    <w:rsid w:val="00F502DF"/>
    <w:rsid w:val="00F505F6"/>
    <w:rsid w:val="00F5265F"/>
    <w:rsid w:val="00F55DDF"/>
    <w:rsid w:val="00F6411A"/>
    <w:rsid w:val="00F71A6E"/>
    <w:rsid w:val="00F71DF0"/>
    <w:rsid w:val="00F80DA9"/>
    <w:rsid w:val="00F81818"/>
    <w:rsid w:val="00F91A69"/>
    <w:rsid w:val="00F956D5"/>
    <w:rsid w:val="00FA6147"/>
    <w:rsid w:val="00FA63FE"/>
    <w:rsid w:val="00FB3BBC"/>
    <w:rsid w:val="00FB7F21"/>
    <w:rsid w:val="00FC1264"/>
    <w:rsid w:val="00FC28EF"/>
    <w:rsid w:val="00FD493C"/>
    <w:rsid w:val="00FD73B4"/>
    <w:rsid w:val="00FE0A7C"/>
    <w:rsid w:val="00FE2AE1"/>
    <w:rsid w:val="00FE67D0"/>
    <w:rsid w:val="00FE7FE4"/>
    <w:rsid w:val="00FF2135"/>
    <w:rsid w:val="00FF2427"/>
    <w:rsid w:val="00FF3CAD"/>
    <w:rsid w:val="00FF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8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E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E4"/>
    <w:pPr>
      <w:ind w:left="720"/>
      <w:contextualSpacing/>
    </w:pPr>
  </w:style>
  <w:style w:type="character" w:styleId="CommentReference">
    <w:name w:val="annotation reference"/>
    <w:basedOn w:val="DefaultParagraphFont"/>
    <w:uiPriority w:val="99"/>
    <w:semiHidden/>
    <w:unhideWhenUsed/>
    <w:rsid w:val="00C560E4"/>
    <w:rPr>
      <w:sz w:val="18"/>
      <w:szCs w:val="18"/>
    </w:rPr>
  </w:style>
  <w:style w:type="paragraph" w:styleId="CommentText">
    <w:name w:val="annotation text"/>
    <w:basedOn w:val="Normal"/>
    <w:link w:val="CommentTextChar"/>
    <w:uiPriority w:val="99"/>
    <w:semiHidden/>
    <w:unhideWhenUsed/>
    <w:rsid w:val="00C560E4"/>
  </w:style>
  <w:style w:type="character" w:customStyle="1" w:styleId="CommentTextChar">
    <w:name w:val="Comment Text Char"/>
    <w:basedOn w:val="DefaultParagraphFont"/>
    <w:link w:val="CommentText"/>
    <w:uiPriority w:val="99"/>
    <w:semiHidden/>
    <w:rsid w:val="00C560E4"/>
  </w:style>
  <w:style w:type="paragraph" w:styleId="CommentSubject">
    <w:name w:val="annotation subject"/>
    <w:basedOn w:val="CommentText"/>
    <w:next w:val="CommentText"/>
    <w:link w:val="CommentSubjectChar"/>
    <w:uiPriority w:val="99"/>
    <w:semiHidden/>
    <w:unhideWhenUsed/>
    <w:rsid w:val="00C560E4"/>
    <w:rPr>
      <w:b/>
      <w:bCs/>
      <w:sz w:val="20"/>
      <w:szCs w:val="20"/>
    </w:rPr>
  </w:style>
  <w:style w:type="character" w:customStyle="1" w:styleId="CommentSubjectChar">
    <w:name w:val="Comment Subject Char"/>
    <w:basedOn w:val="CommentTextChar"/>
    <w:link w:val="CommentSubject"/>
    <w:uiPriority w:val="99"/>
    <w:semiHidden/>
    <w:rsid w:val="00C560E4"/>
    <w:rPr>
      <w:b/>
      <w:bCs/>
      <w:sz w:val="20"/>
      <w:szCs w:val="20"/>
    </w:rPr>
  </w:style>
  <w:style w:type="paragraph" w:styleId="BalloonText">
    <w:name w:val="Balloon Text"/>
    <w:basedOn w:val="Normal"/>
    <w:link w:val="BalloonTextChar"/>
    <w:uiPriority w:val="99"/>
    <w:semiHidden/>
    <w:unhideWhenUsed/>
    <w:rsid w:val="00C560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0E4"/>
    <w:rPr>
      <w:rFonts w:ascii="Times New Roman" w:hAnsi="Times New Roman" w:cs="Times New Roman"/>
      <w:sz w:val="18"/>
      <w:szCs w:val="18"/>
    </w:rPr>
  </w:style>
  <w:style w:type="paragraph" w:styleId="FootnoteText">
    <w:name w:val="footnote text"/>
    <w:basedOn w:val="Normal"/>
    <w:link w:val="FootnoteTextChar"/>
    <w:uiPriority w:val="99"/>
    <w:unhideWhenUsed/>
    <w:rsid w:val="00C560E4"/>
  </w:style>
  <w:style w:type="character" w:customStyle="1" w:styleId="FootnoteTextChar">
    <w:name w:val="Footnote Text Char"/>
    <w:basedOn w:val="DefaultParagraphFont"/>
    <w:link w:val="FootnoteText"/>
    <w:uiPriority w:val="99"/>
    <w:rsid w:val="00C560E4"/>
  </w:style>
  <w:style w:type="character" w:styleId="FootnoteReference">
    <w:name w:val="footnote reference"/>
    <w:basedOn w:val="DefaultParagraphFont"/>
    <w:uiPriority w:val="99"/>
    <w:unhideWhenUsed/>
    <w:rsid w:val="00C560E4"/>
    <w:rPr>
      <w:vertAlign w:val="superscript"/>
    </w:rPr>
  </w:style>
  <w:style w:type="paragraph" w:styleId="NormalWeb">
    <w:name w:val="Normal (Web)"/>
    <w:basedOn w:val="Normal"/>
    <w:uiPriority w:val="99"/>
    <w:semiHidden/>
    <w:unhideWhenUsed/>
    <w:rsid w:val="00085E07"/>
    <w:rPr>
      <w:rFonts w:ascii="Times New Roman" w:hAnsi="Times New Roman" w:cs="Times New Roman"/>
    </w:rPr>
  </w:style>
  <w:style w:type="paragraph" w:styleId="Header">
    <w:name w:val="header"/>
    <w:basedOn w:val="Normal"/>
    <w:link w:val="HeaderChar"/>
    <w:uiPriority w:val="99"/>
    <w:unhideWhenUsed/>
    <w:rsid w:val="00D017AB"/>
    <w:pPr>
      <w:tabs>
        <w:tab w:val="center" w:pos="4680"/>
        <w:tab w:val="right" w:pos="9360"/>
      </w:tabs>
    </w:pPr>
  </w:style>
  <w:style w:type="character" w:customStyle="1" w:styleId="HeaderChar">
    <w:name w:val="Header Char"/>
    <w:basedOn w:val="DefaultParagraphFont"/>
    <w:link w:val="Header"/>
    <w:uiPriority w:val="99"/>
    <w:rsid w:val="00D017AB"/>
  </w:style>
  <w:style w:type="paragraph" w:styleId="Footer">
    <w:name w:val="footer"/>
    <w:basedOn w:val="Normal"/>
    <w:link w:val="FooterChar"/>
    <w:uiPriority w:val="99"/>
    <w:unhideWhenUsed/>
    <w:rsid w:val="00D017AB"/>
    <w:pPr>
      <w:tabs>
        <w:tab w:val="center" w:pos="4680"/>
        <w:tab w:val="right" w:pos="9360"/>
      </w:tabs>
    </w:pPr>
  </w:style>
  <w:style w:type="character" w:customStyle="1" w:styleId="FooterChar">
    <w:name w:val="Footer Char"/>
    <w:basedOn w:val="DefaultParagraphFont"/>
    <w:link w:val="Footer"/>
    <w:uiPriority w:val="99"/>
    <w:rsid w:val="00D017AB"/>
  </w:style>
  <w:style w:type="character" w:customStyle="1" w:styleId="Heading1Char">
    <w:name w:val="Heading 1 Char"/>
    <w:basedOn w:val="DefaultParagraphFont"/>
    <w:link w:val="Heading1"/>
    <w:uiPriority w:val="9"/>
    <w:rsid w:val="00C55E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1CF1"/>
    <w:rPr>
      <w:color w:val="0563C1" w:themeColor="hyperlink"/>
      <w:u w:val="single"/>
    </w:rPr>
  </w:style>
  <w:style w:type="paragraph" w:styleId="Revision">
    <w:name w:val="Revision"/>
    <w:hidden/>
    <w:uiPriority w:val="99"/>
    <w:semiHidden/>
    <w:rsid w:val="009E7731"/>
  </w:style>
  <w:style w:type="character" w:styleId="PageNumber">
    <w:name w:val="page number"/>
    <w:basedOn w:val="DefaultParagraphFont"/>
    <w:uiPriority w:val="99"/>
    <w:semiHidden/>
    <w:unhideWhenUsed/>
    <w:rsid w:val="00B3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3373">
      <w:bodyDiv w:val="1"/>
      <w:marLeft w:val="0"/>
      <w:marRight w:val="0"/>
      <w:marTop w:val="0"/>
      <w:marBottom w:val="0"/>
      <w:divBdr>
        <w:top w:val="none" w:sz="0" w:space="0" w:color="auto"/>
        <w:left w:val="none" w:sz="0" w:space="0" w:color="auto"/>
        <w:bottom w:val="none" w:sz="0" w:space="0" w:color="auto"/>
        <w:right w:val="none" w:sz="0" w:space="0" w:color="auto"/>
      </w:divBdr>
      <w:divsChild>
        <w:div w:id="925696238">
          <w:marLeft w:val="0"/>
          <w:marRight w:val="0"/>
          <w:marTop w:val="0"/>
          <w:marBottom w:val="0"/>
          <w:divBdr>
            <w:top w:val="none" w:sz="0" w:space="0" w:color="auto"/>
            <w:left w:val="none" w:sz="0" w:space="0" w:color="auto"/>
            <w:bottom w:val="none" w:sz="0" w:space="0" w:color="auto"/>
            <w:right w:val="none" w:sz="0" w:space="0" w:color="auto"/>
          </w:divBdr>
          <w:divsChild>
            <w:div w:id="1357348340">
              <w:marLeft w:val="0"/>
              <w:marRight w:val="0"/>
              <w:marTop w:val="0"/>
              <w:marBottom w:val="0"/>
              <w:divBdr>
                <w:top w:val="none" w:sz="0" w:space="0" w:color="auto"/>
                <w:left w:val="none" w:sz="0" w:space="0" w:color="auto"/>
                <w:bottom w:val="none" w:sz="0" w:space="0" w:color="auto"/>
                <w:right w:val="none" w:sz="0" w:space="0" w:color="auto"/>
              </w:divBdr>
              <w:divsChild>
                <w:div w:id="62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89773">
      <w:bodyDiv w:val="1"/>
      <w:marLeft w:val="0"/>
      <w:marRight w:val="0"/>
      <w:marTop w:val="0"/>
      <w:marBottom w:val="0"/>
      <w:divBdr>
        <w:top w:val="none" w:sz="0" w:space="0" w:color="auto"/>
        <w:left w:val="none" w:sz="0" w:space="0" w:color="auto"/>
        <w:bottom w:val="none" w:sz="0" w:space="0" w:color="auto"/>
        <w:right w:val="none" w:sz="0" w:space="0" w:color="auto"/>
      </w:divBdr>
      <w:divsChild>
        <w:div w:id="2138988826">
          <w:marLeft w:val="0"/>
          <w:marRight w:val="0"/>
          <w:marTop w:val="0"/>
          <w:marBottom w:val="0"/>
          <w:divBdr>
            <w:top w:val="none" w:sz="0" w:space="0" w:color="auto"/>
            <w:left w:val="none" w:sz="0" w:space="0" w:color="auto"/>
            <w:bottom w:val="none" w:sz="0" w:space="0" w:color="auto"/>
            <w:right w:val="none" w:sz="0" w:space="0" w:color="auto"/>
          </w:divBdr>
          <w:divsChild>
            <w:div w:id="129901594">
              <w:marLeft w:val="0"/>
              <w:marRight w:val="0"/>
              <w:marTop w:val="0"/>
              <w:marBottom w:val="0"/>
              <w:divBdr>
                <w:top w:val="none" w:sz="0" w:space="0" w:color="auto"/>
                <w:left w:val="none" w:sz="0" w:space="0" w:color="auto"/>
                <w:bottom w:val="none" w:sz="0" w:space="0" w:color="auto"/>
                <w:right w:val="none" w:sz="0" w:space="0" w:color="auto"/>
              </w:divBdr>
              <w:divsChild>
                <w:div w:id="9282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7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EB10-9F1D-B046-BF9C-876A3091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5674</Words>
  <Characters>32344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Chenette</dc:creator>
  <cp:keywords/>
  <dc:description/>
  <cp:lastModifiedBy>Timothy Chenette</cp:lastModifiedBy>
  <cp:revision>11</cp:revision>
  <dcterms:created xsi:type="dcterms:W3CDTF">2018-08-01T02:57:00Z</dcterms:created>
  <dcterms:modified xsi:type="dcterms:W3CDTF">2018-08-02T15:46:00Z</dcterms:modified>
  <cp:category/>
</cp:coreProperties>
</file>