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mallCaps/>
          <w:sz w:val="28"/>
          <w:szCs w:val="28"/>
        </w:rPr>
      </w:pPr>
      <w:r>
        <w:rPr>
          <w:rFonts w:cs="Times New Roman" w:ascii="Times New Roman" w:hAnsi="Times New Roman"/>
          <w:smallCaps/>
          <w:sz w:val="28"/>
          <w:szCs w:val="28"/>
        </w:rPr>
        <w:t>Root Interval Schemas in Rock Music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Jacob Gran and David John Baker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Louisiana State University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South Central Society for Music Theory, March 23-24, 2018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University of Southern Mississippi, Hattiesburg MS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240" w:after="160"/>
        <w:jc w:val="center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5673725" cy="172275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72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spacing w:lineRule="auto" w:line="4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FIGURE 1: Creedence Clearwater Revival, Fortunate Son (1969).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4655820" cy="1219200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4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FIGURE 2: Daft Punk featuring Pharell Williams, Get Lucky (2013).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5092065" cy="1066800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06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FIGURE 3: Lynyrd Skynyrd, Sweet Home Alabama (1974).</w:t>
      </w:r>
    </w:p>
    <w:p>
      <w:pPr>
        <w:pStyle w:val="Normal"/>
        <w:spacing w:lineRule="auto" w:line="240"/>
        <w:jc w:val="center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64248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FIGURE 2: RS200 Schema frequency visualization.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3179445" cy="2599690"/>
            <wp:effectExtent l="0" t="0" r="0" b="0"/>
            <wp:docPr id="5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FIGURE 3: 10-7 schema breakdown, comparison of Double Plagal and Blues Cadence versions.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2266" w:type="dxa"/>
        <w:jc w:val="center"/>
        <w:tblInd w:w="0" w:type="dxa"/>
        <w:tblBorders>
          <w:top w:val="single" w:sz="8" w:space="0" w:color="999999"/>
          <w:left w:val="single" w:sz="8" w:space="0" w:color="999999"/>
          <w:bottom w:val="single" w:sz="12" w:space="0" w:color="666666"/>
          <w:right w:val="single" w:sz="8" w:space="0" w:color="999999"/>
          <w:insideH w:val="single" w:sz="12" w:space="0" w:color="666666"/>
          <w:insideV w:val="single" w:sz="8" w:space="0" w:color="999999"/>
        </w:tblBorders>
        <w:tblCellMar>
          <w:top w:w="15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35"/>
        <w:gridCol w:w="1130"/>
      </w:tblGrid>
      <w:tr>
        <w:trPr>
          <w:trHeight w:val="322" w:hRule="atLeast"/>
        </w:trPr>
        <w:tc>
          <w:tcPr>
            <w:tcW w:w="1135" w:type="dxa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  <w:insideH w:val="single" w:sz="12" w:space="0" w:color="666666"/>
              <w:insideV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252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 w:themeColor="text1"/>
                <w:kern w:val="2"/>
                <w:sz w:val="24"/>
                <w:szCs w:val="24"/>
              </w:rPr>
              <w:t>Schema</w:t>
            </w:r>
          </w:p>
        </w:tc>
        <w:tc>
          <w:tcPr>
            <w:tcW w:w="1130" w:type="dxa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  <w:insideH w:val="single" w:sz="12" w:space="0" w:color="666666"/>
              <w:insideV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252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 w:themeColor="text1"/>
                <w:kern w:val="2"/>
                <w:sz w:val="24"/>
                <w:szCs w:val="24"/>
              </w:rPr>
              <w:t>Count</w:t>
            </w:r>
          </w:p>
        </w:tc>
      </w:tr>
      <w:tr>
        <w:trPr>
          <w:trHeight w:val="313" w:hRule="atLeast"/>
        </w:trPr>
        <w:tc>
          <w:tcPr>
            <w:tcW w:w="1135" w:type="dxa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  <w:insideH w:val="single" w:sz="8" w:space="0" w:color="999999"/>
              <w:insideV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252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 w:themeColor="text1"/>
                <w:kern w:val="2"/>
                <w:sz w:val="24"/>
                <w:szCs w:val="24"/>
              </w:rPr>
              <w:t>5-5</w:t>
            </w:r>
          </w:p>
        </w:tc>
        <w:tc>
          <w:tcPr>
            <w:tcW w:w="1130" w:type="dxa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  <w:insideH w:val="single" w:sz="8" w:space="0" w:color="999999"/>
              <w:insideV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252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2"/>
                <w:sz w:val="24"/>
                <w:szCs w:val="24"/>
              </w:rPr>
              <w:t>2179</w:t>
            </w:r>
          </w:p>
        </w:tc>
      </w:tr>
      <w:tr>
        <w:trPr>
          <w:trHeight w:val="322" w:hRule="atLeast"/>
        </w:trPr>
        <w:tc>
          <w:tcPr>
            <w:tcW w:w="11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  <w:insideH w:val="single" w:sz="8" w:space="0" w:color="999999"/>
              <w:insideV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252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 w:themeColor="text1"/>
                <w:kern w:val="2"/>
                <w:sz w:val="24"/>
                <w:szCs w:val="24"/>
              </w:rPr>
              <w:t>7-7</w:t>
            </w:r>
          </w:p>
        </w:tc>
        <w:tc>
          <w:tcPr>
            <w:tcW w:w="11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  <w:insideH w:val="single" w:sz="8" w:space="0" w:color="999999"/>
              <w:insideV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252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2"/>
                <w:sz w:val="24"/>
                <w:szCs w:val="24"/>
              </w:rPr>
              <w:t>1682</w:t>
            </w:r>
          </w:p>
        </w:tc>
      </w:tr>
      <w:tr>
        <w:trPr>
          <w:trHeight w:val="322" w:hRule="atLeast"/>
        </w:trPr>
        <w:tc>
          <w:tcPr>
            <w:tcW w:w="11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  <w:insideH w:val="single" w:sz="8" w:space="0" w:color="999999"/>
              <w:insideV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252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 w:themeColor="text1"/>
                <w:kern w:val="2"/>
                <w:sz w:val="24"/>
                <w:szCs w:val="24"/>
              </w:rPr>
              <w:t>2-5</w:t>
            </w:r>
          </w:p>
        </w:tc>
        <w:tc>
          <w:tcPr>
            <w:tcW w:w="11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  <w:insideH w:val="single" w:sz="8" w:space="0" w:color="999999"/>
              <w:insideV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252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2"/>
                <w:sz w:val="24"/>
                <w:szCs w:val="24"/>
              </w:rPr>
              <w:t>1618</w:t>
            </w:r>
          </w:p>
        </w:tc>
      </w:tr>
      <w:tr>
        <w:trPr>
          <w:trHeight w:val="313" w:hRule="atLeast"/>
        </w:trPr>
        <w:tc>
          <w:tcPr>
            <w:tcW w:w="11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  <w:insideH w:val="single" w:sz="8" w:space="0" w:color="999999"/>
              <w:insideV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252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 w:themeColor="text1"/>
                <w:kern w:val="2"/>
                <w:sz w:val="24"/>
                <w:szCs w:val="24"/>
              </w:rPr>
              <w:t>10-7</w:t>
            </w:r>
          </w:p>
        </w:tc>
        <w:tc>
          <w:tcPr>
            <w:tcW w:w="11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  <w:insideH w:val="single" w:sz="8" w:space="0" w:color="999999"/>
              <w:insideV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252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2"/>
                <w:sz w:val="24"/>
                <w:szCs w:val="24"/>
              </w:rPr>
              <w:t>1365</w:t>
            </w:r>
          </w:p>
        </w:tc>
      </w:tr>
      <w:tr>
        <w:trPr>
          <w:trHeight w:val="322" w:hRule="atLeast"/>
        </w:trPr>
        <w:tc>
          <w:tcPr>
            <w:tcW w:w="11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  <w:insideH w:val="single" w:sz="8" w:space="0" w:color="999999"/>
              <w:insideV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252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 w:themeColor="text1"/>
                <w:kern w:val="2"/>
                <w:sz w:val="24"/>
                <w:szCs w:val="24"/>
              </w:rPr>
              <w:t>5-2</w:t>
            </w:r>
          </w:p>
        </w:tc>
        <w:tc>
          <w:tcPr>
            <w:tcW w:w="11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  <w:insideH w:val="single" w:sz="8" w:space="0" w:color="999999"/>
              <w:insideV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252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2"/>
                <w:sz w:val="24"/>
                <w:szCs w:val="24"/>
              </w:rPr>
              <w:t>1272</w:t>
            </w:r>
          </w:p>
        </w:tc>
      </w:tr>
      <w:tr>
        <w:trPr>
          <w:trHeight w:val="313" w:hRule="atLeast"/>
        </w:trPr>
        <w:tc>
          <w:tcPr>
            <w:tcW w:w="11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  <w:insideH w:val="single" w:sz="8" w:space="0" w:color="999999"/>
              <w:insideV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252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 w:themeColor="text1"/>
                <w:kern w:val="2"/>
                <w:sz w:val="24"/>
                <w:szCs w:val="24"/>
              </w:rPr>
              <w:t>7-10</w:t>
            </w:r>
          </w:p>
        </w:tc>
        <w:tc>
          <w:tcPr>
            <w:tcW w:w="11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  <w:insideH w:val="single" w:sz="8" w:space="0" w:color="999999"/>
              <w:insideV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252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2"/>
                <w:sz w:val="24"/>
                <w:szCs w:val="24"/>
              </w:rPr>
              <w:t>1148</w:t>
            </w:r>
          </w:p>
        </w:tc>
      </w:tr>
      <w:tr>
        <w:trPr>
          <w:trHeight w:val="322" w:hRule="atLeast"/>
        </w:trPr>
        <w:tc>
          <w:tcPr>
            <w:tcW w:w="11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  <w:insideH w:val="single" w:sz="8" w:space="0" w:color="999999"/>
              <w:insideV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252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 w:themeColor="text1"/>
                <w:kern w:val="2"/>
                <w:sz w:val="24"/>
                <w:szCs w:val="24"/>
              </w:rPr>
              <w:t>5-9</w:t>
            </w:r>
          </w:p>
        </w:tc>
        <w:tc>
          <w:tcPr>
            <w:tcW w:w="11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  <w:insideH w:val="single" w:sz="8" w:space="0" w:color="999999"/>
              <w:insideV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252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2"/>
                <w:sz w:val="24"/>
                <w:szCs w:val="24"/>
              </w:rPr>
              <w:t>595</w:t>
            </w:r>
          </w:p>
        </w:tc>
      </w:tr>
      <w:tr>
        <w:trPr>
          <w:trHeight w:val="313" w:hRule="atLeast"/>
        </w:trPr>
        <w:tc>
          <w:tcPr>
            <w:tcW w:w="11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  <w:insideH w:val="single" w:sz="8" w:space="0" w:color="999999"/>
              <w:insideV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252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 w:themeColor="text1"/>
                <w:kern w:val="2"/>
                <w:sz w:val="24"/>
                <w:szCs w:val="24"/>
              </w:rPr>
              <w:t>7-2</w:t>
            </w:r>
          </w:p>
        </w:tc>
        <w:tc>
          <w:tcPr>
            <w:tcW w:w="11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  <w:insideH w:val="single" w:sz="8" w:space="0" w:color="999999"/>
              <w:insideV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252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2"/>
                <w:sz w:val="24"/>
                <w:szCs w:val="24"/>
              </w:rPr>
              <w:t>573</w:t>
            </w:r>
          </w:p>
        </w:tc>
      </w:tr>
      <w:tr>
        <w:trPr>
          <w:trHeight w:val="322" w:hRule="atLeast"/>
        </w:trPr>
        <w:tc>
          <w:tcPr>
            <w:tcW w:w="11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  <w:insideH w:val="single" w:sz="8" w:space="0" w:color="999999"/>
              <w:insideV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252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 w:themeColor="text1"/>
                <w:kern w:val="2"/>
                <w:sz w:val="24"/>
                <w:szCs w:val="24"/>
              </w:rPr>
              <w:t>10-10</w:t>
            </w:r>
          </w:p>
        </w:tc>
        <w:tc>
          <w:tcPr>
            <w:tcW w:w="11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  <w:insideH w:val="single" w:sz="8" w:space="0" w:color="999999"/>
              <w:insideV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252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2"/>
                <w:sz w:val="24"/>
                <w:szCs w:val="24"/>
              </w:rPr>
              <w:t>565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TABLE 1: Most frequent root interval schemas.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0" distB="0" distL="0" distR="0" wp14:anchorId="54861E15">
                <wp:extent cx="2868930" cy="2487930"/>
                <wp:effectExtent l="0" t="0" r="0" b="0"/>
                <wp:docPr id="6" name="Content Placeholder 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ntent Placeholder 4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2868120" cy="2487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5400" dir="17880000">
                            <a:srgbClr val="000000">
                              <a:alpha val="46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Content Placeholder 4" stroked="f" style="position:absolute;margin-left:0pt;margin-top:-195.9pt;width:225.8pt;height:195.8pt;mso-position-vertical:top" wp14:anchorId="54861E15" type="shapetype_75">
                <v:imagedata r:id="rId7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/>
        <w:drawing>
          <wp:inline distT="0" distB="0" distL="0" distR="0">
            <wp:extent cx="2928620" cy="2539365"/>
            <wp:effectExtent l="0" t="0" r="0" b="0"/>
            <wp:docPr id="7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62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FIGURE 5: Comparison of root interval frequencies in common practice corpus and rock corpus.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smallCaps/>
        </w:rPr>
      </w:pPr>
      <w:r>
        <w:rPr>
          <w:rFonts w:cs="Times New Roman" w:ascii="Times New Roman" w:hAnsi="Times New Roman"/>
          <w:smallCaps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smallCaps/>
        </w:rPr>
      </w:pPr>
      <w:r>
        <w:rPr>
          <w:rFonts w:cs="Times New Roman" w:ascii="Times New Roman" w:hAnsi="Times New Roman"/>
          <w:smallCaps/>
        </w:rPr>
        <w:t>Selected Bibliography:</w:t>
      </w:r>
    </w:p>
    <w:p>
      <w:pPr>
        <w:pStyle w:val="NormalWeb"/>
        <w:spacing w:beforeAutospacing="0" w:before="67" w:afterAutospacing="0" w:after="0"/>
        <w:ind w:left="58" w:hanging="0"/>
        <w:rPr>
          <w:rFonts w:eastAsia="" w:eastAsiaTheme="minorEastAsia"/>
          <w:kern w:val="2"/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</w:pPr>
      <w:r>
        <w:rPr>
          <w:rFonts w:eastAsia="" w:eastAsiaTheme="minorEastAsia"/>
          <w:kern w:val="2"/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  <w:t xml:space="preserve">Acevedo, Stefanie. 2018. “Formal and Harmonic Schemata of Popular Music: An Empirical </w:t>
      </w:r>
    </w:p>
    <w:p>
      <w:pPr>
        <w:pStyle w:val="NormalWeb"/>
        <w:spacing w:beforeAutospacing="0" w:before="67" w:afterAutospacing="0" w:after="120"/>
        <w:ind w:left="718" w:hanging="0"/>
        <w:rPr/>
      </w:pPr>
      <w:r>
        <w:rPr>
          <w:rFonts w:eastAsia="" w:eastAsiaTheme="minorEastAsia"/>
          <w:kern w:val="2"/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  <w:t>Investigation of Analytical Patterns and their Mental Representations.” Unpublished doctoral dissertation, Yale University.</w:t>
      </w:r>
    </w:p>
    <w:p>
      <w:pPr>
        <w:pStyle w:val="NormalWeb"/>
        <w:spacing w:beforeAutospacing="0" w:before="67" w:afterAutospacing="0" w:after="0"/>
        <w:ind w:left="58" w:hanging="0"/>
        <w:rPr>
          <w:rFonts w:eastAsia="" w:eastAsiaTheme="minorEastAsia"/>
          <w:i/>
          <w:i/>
          <w:iCs/>
          <w:kern w:val="2"/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</w:pPr>
      <w:r>
        <w:rPr>
          <w:rFonts w:eastAsia="" w:eastAsiaTheme="minorEastAsia"/>
          <w:kern w:val="2"/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  <w:t xml:space="preserve">Biamonte, Nicole. 2010. “Triadic Modal and Pentatonic Patterns in Rock Music.” </w:t>
      </w:r>
      <w:r>
        <w:rPr>
          <w:rFonts w:eastAsia="" w:eastAsiaTheme="minorEastAsia"/>
          <w:i/>
          <w:iCs/>
          <w:kern w:val="2"/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  <w:t xml:space="preserve">Music Theory </w:t>
      </w:r>
    </w:p>
    <w:p>
      <w:pPr>
        <w:pStyle w:val="NormalWeb"/>
        <w:spacing w:beforeAutospacing="0" w:before="67" w:afterAutospacing="0" w:after="120"/>
        <w:ind w:left="58" w:firstLine="662"/>
        <w:rPr/>
      </w:pPr>
      <w:r>
        <w:rPr>
          <w:rFonts w:eastAsia="" w:eastAsiaTheme="minorEastAsia"/>
          <w:i/>
          <w:iCs/>
          <w:kern w:val="2"/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  <w:t>Spectrum</w:t>
      </w:r>
      <w:r>
        <w:rPr>
          <w:rFonts w:eastAsia="" w:eastAsiaTheme="minorEastAsia"/>
          <w:kern w:val="2"/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  <w:t xml:space="preserve"> 32 no. 2 (Fall): 95-110.</w:t>
      </w:r>
    </w:p>
    <w:p>
      <w:pPr>
        <w:pStyle w:val="NormalWeb"/>
        <w:spacing w:beforeAutospacing="0" w:before="67" w:afterAutospacing="0" w:after="0"/>
        <w:ind w:left="58" w:hanging="0"/>
        <w:rPr>
          <w:rFonts w:eastAsia="" w:eastAsiaTheme="minorEastAsia"/>
          <w:kern w:val="2"/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</w:pPr>
      <w:r>
        <w:rPr>
          <w:rFonts w:eastAsia="" w:eastAsiaTheme="minorEastAsia"/>
          <w:kern w:val="2"/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  <w:t xml:space="preserve">Burgoyne, J.A., Wild, J., and Fujinaga, I. 2011. “An Expert Ground-Truth Set for Audio Chord </w:t>
      </w:r>
    </w:p>
    <w:p>
      <w:pPr>
        <w:pStyle w:val="NormalWeb"/>
        <w:spacing w:beforeAutospacing="0" w:before="0" w:afterAutospacing="0" w:after="120"/>
        <w:ind w:left="58" w:firstLine="662"/>
        <w:rPr/>
      </w:pPr>
      <w:r>
        <w:rPr>
          <w:rFonts w:eastAsia="" w:eastAsiaTheme="minorEastAsia"/>
          <w:kern w:val="2"/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  <w:t xml:space="preserve">Recognition and Music Analysis.” </w:t>
      </w:r>
      <w:r>
        <w:rPr>
          <w:rFonts w:eastAsia="" w:eastAsiaTheme="minorEastAsia"/>
          <w:i/>
          <w:iCs/>
          <w:kern w:val="2"/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  <w:t>ISMIR</w:t>
      </w:r>
      <w:r>
        <w:rPr>
          <w:rFonts w:eastAsia="" w:eastAsiaTheme="minorEastAsia"/>
          <w:kern w:val="2"/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  <w:t xml:space="preserve"> 2011, 633-638.</w:t>
      </w:r>
    </w:p>
    <w:p>
      <w:pPr>
        <w:pStyle w:val="NormalWeb"/>
        <w:spacing w:beforeAutospacing="0" w:before="67" w:afterAutospacing="0" w:after="0"/>
        <w:ind w:left="58" w:hanging="0"/>
        <w:rPr>
          <w:rFonts w:eastAsia="" w:eastAsiaTheme="minorEastAsia"/>
          <w:kern w:val="2"/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</w:pPr>
      <w:r>
        <w:rPr>
          <w:rFonts w:eastAsia="" w:eastAsiaTheme="minorEastAsia"/>
          <w:kern w:val="2"/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  <w:t xml:space="preserve">De Clercq, Trevor, and David Temperley. 2011. “A Corpus Analysis of Rock Harmony.” </w:t>
      </w:r>
    </w:p>
    <w:p>
      <w:pPr>
        <w:pStyle w:val="NormalWeb"/>
        <w:spacing w:beforeAutospacing="0" w:before="0" w:afterAutospacing="0" w:after="120"/>
        <w:ind w:left="58" w:firstLine="662"/>
        <w:rPr/>
      </w:pPr>
      <w:r>
        <w:rPr>
          <w:rFonts w:eastAsia="" w:eastAsiaTheme="minorEastAsia"/>
          <w:i/>
          <w:iCs/>
          <w:kern w:val="2"/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  <w:t>Popular Music</w:t>
      </w:r>
      <w:r>
        <w:rPr>
          <w:rFonts w:eastAsia="" w:eastAsiaTheme="minorEastAsia"/>
          <w:kern w:val="2"/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  <w:t xml:space="preserve"> 30 no. 1: 47-</w:t>
        <w:tab/>
        <w:t>70.</w:t>
      </w:r>
    </w:p>
    <w:p>
      <w:pPr>
        <w:pStyle w:val="NormalWeb"/>
        <w:spacing w:beforeAutospacing="0" w:before="67" w:afterAutospacing="0" w:after="0"/>
        <w:ind w:left="58" w:hanging="0"/>
        <w:rPr>
          <w:rFonts w:eastAsia="" w:eastAsiaTheme="minorEastAsia"/>
          <w:kern w:val="2"/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</w:pPr>
      <w:r>
        <w:rPr>
          <w:rFonts w:eastAsia="" w:eastAsiaTheme="minorEastAsia"/>
          <w:kern w:val="2"/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  <w:t xml:space="preserve">Hughes, Bryn. 2011. “Harmonic Expectation in Twelve-Bar Blues Progressions.” PhD diss., </w:t>
      </w:r>
    </w:p>
    <w:p>
      <w:pPr>
        <w:pStyle w:val="NormalWeb"/>
        <w:spacing w:beforeAutospacing="0" w:before="0" w:afterAutospacing="0" w:after="120"/>
        <w:ind w:left="58" w:firstLine="662"/>
        <w:rPr/>
      </w:pPr>
      <w:r>
        <w:rPr>
          <w:rFonts w:eastAsia="" w:eastAsiaTheme="minorEastAsia"/>
          <w:kern w:val="2"/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  <w:t xml:space="preserve">Florida State University. </w:t>
      </w:r>
    </w:p>
    <w:p>
      <w:pPr>
        <w:pStyle w:val="NormalWeb"/>
        <w:spacing w:beforeAutospacing="0" w:before="67" w:afterAutospacing="0" w:after="0"/>
        <w:ind w:left="58" w:hanging="0"/>
        <w:rPr>
          <w:rFonts w:eastAsia="" w:eastAsiaTheme="minorEastAsia"/>
          <w:i/>
          <w:i/>
          <w:iCs/>
          <w:kern w:val="2"/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</w:pPr>
      <w:r>
        <w:rPr>
          <w:rFonts w:eastAsia="" w:eastAsiaTheme="minorEastAsia"/>
          <w:kern w:val="2"/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  <w:t xml:space="preserve">Nobile, Drew. 2016. “Harmonic Function in Rock Music: A Syntactical Approach.” </w:t>
      </w:r>
      <w:r>
        <w:rPr>
          <w:rFonts w:eastAsia="" w:eastAsiaTheme="minorEastAsia"/>
          <w:i/>
          <w:iCs/>
          <w:kern w:val="2"/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  <w:t xml:space="preserve">Journal of </w:t>
      </w:r>
    </w:p>
    <w:p>
      <w:pPr>
        <w:pStyle w:val="NormalWeb"/>
        <w:spacing w:beforeAutospacing="0" w:before="0" w:afterAutospacing="0" w:after="120"/>
        <w:ind w:left="58" w:hanging="0"/>
        <w:rPr>
          <w:rFonts w:eastAsia="" w:eastAsiaTheme="minorEastAsia"/>
          <w:i/>
          <w:i/>
          <w:iCs/>
          <w:kern w:val="2"/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</w:pPr>
      <w:r>
        <w:rPr>
          <w:rFonts w:eastAsia="" w:eastAsiaTheme="minorEastAsia"/>
          <w:i/>
          <w:iCs/>
          <w:kern w:val="2"/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  <w:tab/>
        <w:t>Music Theory</w:t>
      </w:r>
      <w:r>
        <w:rPr>
          <w:rFonts w:eastAsia="" w:eastAsiaTheme="minorEastAsia"/>
          <w:kern w:val="2"/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  <w:t xml:space="preserve"> 60 no. 2: 149-180.</w:t>
      </w:r>
    </w:p>
    <w:p>
      <w:pPr>
        <w:pStyle w:val="NormalWeb"/>
        <w:spacing w:beforeAutospacing="0" w:before="67" w:afterAutospacing="0" w:after="0"/>
        <w:ind w:left="58" w:hanging="0"/>
        <w:rPr>
          <w:rFonts w:eastAsia="" w:eastAsiaTheme="minorEastAsia"/>
          <w:kern w:val="2"/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</w:pPr>
      <w:r>
        <w:rPr>
          <w:rFonts w:eastAsia="" w:eastAsiaTheme="minorEastAsia"/>
          <w:kern w:val="2"/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  <w:t xml:space="preserve">Meyer, Leonard B. 1989. </w:t>
      </w:r>
      <w:r>
        <w:rPr>
          <w:rFonts w:eastAsia="" w:eastAsiaTheme="minorEastAsia"/>
          <w:i/>
          <w:iCs/>
          <w:kern w:val="2"/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  <w:t>Style and Music: Theory, History, and Ideology</w:t>
      </w:r>
      <w:r>
        <w:rPr>
          <w:rFonts w:eastAsia="" w:eastAsiaTheme="minorEastAsia"/>
          <w:kern w:val="2"/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  <w:t xml:space="preserve">. Philadelphia: </w:t>
      </w:r>
    </w:p>
    <w:p>
      <w:pPr>
        <w:pStyle w:val="NormalWeb"/>
        <w:spacing w:beforeAutospacing="0" w:before="0" w:afterAutospacing="0" w:after="120"/>
        <w:ind w:left="58" w:firstLine="662"/>
        <w:rPr/>
      </w:pPr>
      <w:r>
        <w:rPr>
          <w:rFonts w:eastAsia="" w:eastAsiaTheme="minorEastAsia"/>
          <w:kern w:val="2"/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  <w:t>University of Pennsylvania Press.</w:t>
      </w:r>
    </w:p>
    <w:p>
      <w:pPr>
        <w:pStyle w:val="NormalWeb"/>
        <w:spacing w:beforeAutospacing="0" w:before="67" w:afterAutospacing="0" w:after="0"/>
        <w:ind w:left="58" w:hanging="0"/>
        <w:rPr>
          <w:rFonts w:eastAsia="" w:eastAsiaTheme="minorEastAsia"/>
          <w:kern w:val="2"/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</w:pPr>
      <w:r>
        <w:rPr>
          <w:rFonts w:eastAsia="" w:eastAsiaTheme="minorEastAsia"/>
          <w:kern w:val="2"/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  <w:t xml:space="preserve">Saffran, J.R., et al. 1999. “Statistical Learning of Tone Sequences by Human Infants and </w:t>
      </w:r>
    </w:p>
    <w:p>
      <w:pPr>
        <w:pStyle w:val="NormalWeb"/>
        <w:spacing w:beforeAutospacing="0" w:before="0" w:afterAutospacing="0" w:after="120"/>
        <w:ind w:left="58" w:firstLine="662"/>
        <w:rPr/>
      </w:pPr>
      <w:r>
        <w:rPr>
          <w:rFonts w:eastAsia="" w:eastAsiaTheme="minorEastAsia"/>
          <w:kern w:val="2"/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  <w:t xml:space="preserve">Adults.” </w:t>
      </w:r>
      <w:r>
        <w:rPr>
          <w:rFonts w:eastAsia="" w:eastAsiaTheme="minorEastAsia"/>
          <w:i/>
          <w:iCs/>
          <w:kern w:val="2"/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  <w:t xml:space="preserve">Cognition </w:t>
      </w:r>
      <w:r>
        <w:rPr>
          <w:rFonts w:eastAsia="" w:eastAsiaTheme="minorEastAsia"/>
          <w:kern w:val="2"/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  <w:t>70 no. 1: 27-52.</w:t>
      </w:r>
    </w:p>
    <w:p>
      <w:pPr>
        <w:pStyle w:val="NormalWeb"/>
        <w:spacing w:beforeAutospacing="0" w:before="67" w:afterAutospacing="0" w:after="0"/>
        <w:ind w:left="58" w:hanging="0"/>
        <w:rPr>
          <w:rFonts w:eastAsia="" w:eastAsiaTheme="minorEastAsia"/>
          <w:kern w:val="2"/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</w:pPr>
      <w:r>
        <w:rPr>
          <w:rFonts w:eastAsia="" w:eastAsiaTheme="minorEastAsia"/>
          <w:kern w:val="2"/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  <w:t xml:space="preserve">Stephenson, Ken. 2002. </w:t>
      </w:r>
      <w:r>
        <w:rPr>
          <w:rFonts w:eastAsia="" w:eastAsiaTheme="minorEastAsia"/>
          <w:i/>
          <w:iCs/>
          <w:kern w:val="2"/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  <w:t>What to Listen for in Rock: A Stylistic Analysis</w:t>
      </w:r>
      <w:r>
        <w:rPr>
          <w:rFonts w:eastAsia="" w:eastAsiaTheme="minorEastAsia"/>
          <w:kern w:val="2"/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  <w:t xml:space="preserve">. New Haven, CT: Yale </w:t>
      </w:r>
    </w:p>
    <w:p>
      <w:pPr>
        <w:pStyle w:val="NormalWeb"/>
        <w:spacing w:beforeAutospacing="0" w:before="67" w:afterAutospacing="0" w:after="120"/>
        <w:ind w:left="58" w:firstLine="662"/>
        <w:rPr/>
      </w:pPr>
      <w:r>
        <w:rPr>
          <w:rFonts w:eastAsia="" w:eastAsiaTheme="minorEastAsia"/>
          <w:kern w:val="2"/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  <w:t xml:space="preserve">University Press. 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bb62b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LibreOffice/6.0.0.3$MacOSX_X86_64 LibreOffice_project/64a0f66915f38c6217de274f0aa8e15618924765</Application>
  <Pages>4</Pages>
  <Words>291</Words>
  <Characters>1678</Characters>
  <CharactersWithSpaces>1930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2018-03-22T03:00:00Z</dcterms:created>
  <dc:creator>Jacob J Gran</dc:creator>
  <dc:description/>
  <dc:language>en-US</dc:language>
  <cp:lastModifiedBy>David Baker</cp:lastModifiedBy>
  <dcterms:modified xsi:type="dcterms:W3CDTF">2018-03-22T19:40:03Z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