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4B5" w:sz="2"/>
              <w:left w:val="single" w:color="2E74B5" w:sz="2"/>
              <w:bottom w:val="single" w:color="2E74B5" w:sz="2"/>
              <w:right w:val="single" w:color="2E74B5" w:sz="2"/>
            </w:tcBorders>
            <w:shd w:fill="2E74B5" w:val="clear"/>
            <w:tcMar>
              <w:top w:type="dxa" w:w="150"/>
              <w:left w:type="dxa" w:w="200"/>
              <w:bottom w:type="dxa" w:w="80"/>
              <w:right w:type="dxa" w:w="200"/>
            </w:tcMar>
          </w:tcPr>
          <w:p>
            <w:pPr>
              <w:jc w:val="center"/>
            </w:pPr>
            <w:r>
              <w:rPr>
                <w:rFonts w:ascii="Arial" w:cs="Arial" w:eastAsia="Arial" w:hAnsi="Arial"/>
                <w:b/>
                <w:bCs/>
                <w:color w:val="FFFFFF"/>
                <w:sz w:val="36"/>
                <w:szCs w:val="36"/>
              </w:rPr>
              <w:t xml:space="preserve">Greyhat4hire</w:t>
            </w:r>
          </w:p>
          <w:p>
            <w:pPr>
              <w:spacing w:after="60"/>
              <w:jc w:val="center"/>
            </w:pPr>
            <w:r>
              <w:rPr>
                <w:rFonts w:ascii="Arial" w:cs="Arial" w:eastAsia="Arial" w:hAnsi="Arial"/>
                <w:color w:val="FFFFFF"/>
                <w:sz w:val="20"/>
                <w:szCs w:val="20"/>
              </w:rPr>
              <w:t xml:space="preserve">www.greyhat4hire.com | +27 84 635 3581</w:t>
            </w:r>
          </w:p>
        </w:tc>
      </w:tr>
      <w:tr>
        <w:tc>
          <w:tcPr>
            <w:tcW w:type="dxa" w:w="9026"/>
            <w:tcBorders>
              <w:top w:val="single" w:color="2E74B5" w:sz="2"/>
              <w:left w:val="single" w:color="2E74B5" w:sz="2"/>
              <w:bottom w:val="single" w:color="2E74B5" w:sz="2"/>
              <w:right w:val="single" w:color="2E74B5" w:sz="2"/>
            </w:tcBorders>
            <w:shd w:fill="1F4D78" w:val="clear"/>
            <w:tcMar>
              <w:top w:type="dxa" w:w="100"/>
              <w:left w:type="dxa" w:w="200"/>
              <w:bottom w:type="dxa" w:w="100"/>
              <w:right w:type="dxa" w:w="200"/>
            </w:tcMar>
          </w:tcPr>
          <w:p>
            <w:pPr>
              <w:jc w:val="center"/>
            </w:pPr>
            <w:r>
              <w:rPr>
                <w:rFonts w:ascii="Arial" w:cs="Arial" w:eastAsia="Arial" w:hAnsi="Arial"/>
                <w:b/>
                <w:bCs/>
                <w:color w:val="FFFFFF"/>
                <w:sz w:val="26"/>
                <w:szCs w:val="26"/>
              </w:rPr>
              <w:t xml:space="preserve">ACCEPTABLE USE POLICY</w:t>
            </w:r>
          </w:p>
          <w:p>
            <w:pPr>
              <w:jc w:val="center"/>
            </w:pPr>
            <w:r>
              <w:rPr>
                <w:rFonts w:ascii="Arial" w:cs="Arial" w:eastAsia="Arial" w:hAnsi="Arial"/>
                <w:color w:val="D5E8F0"/>
                <w:sz w:val="18"/>
                <w:szCs w:val="18"/>
              </w:rPr>
              <w:t xml:space="preserve">Information Technology Resources — Employee Policy</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9026"/>
            <w:gridSpan w:val="2"/>
            <w:tcBorders>
              <w:top w:val="single" w:color="CCCCCC" w:sz="1"/>
              <w:left w:val="single" w:color="CCCCCC" w:sz="1"/>
              <w:bottom w:val="single" w:color="CCCCCC" w:sz="1"/>
              <w:right w:val="single" w:color="CCCCCC" w:sz="1"/>
            </w:tcBorders>
            <w:shd w:fill="2E74B5" w:val="clear"/>
            <w:tcMar>
              <w:top w:type="dxa" w:w="60"/>
              <w:left w:type="dxa" w:w="100"/>
              <w:bottom w:type="dxa" w:w="60"/>
              <w:right w:type="dxa" w:w="100"/>
            </w:tcMar>
            <w:vAlign w:val="center"/>
          </w:tcPr>
          <w:p>
            <w:pPr>
              <w:jc w:val="left"/>
            </w:pPr>
            <w:r>
              <w:rPr>
                <w:rFonts w:ascii="Arial" w:cs="Arial" w:eastAsia="Arial" w:hAnsi="Arial"/>
                <w:b/>
                <w:bCs/>
                <w:color w:val="FFFFFF"/>
                <w:sz w:val="20"/>
                <w:szCs w:val="20"/>
              </w:rPr>
              <w:t xml:space="preserve">DOCUMENT INFORMATION</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Document Reference</w:t>
            </w:r>
          </w:p>
        </w:tc>
        <w:tc>
          <w:tcPr>
            <w:tcW w:type="dxa" w:w="60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GH4H-POL-AUP-001</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Version</w:t>
            </w:r>
          </w:p>
        </w:tc>
        <w:tc>
          <w:tcPr>
            <w:tcW w:type="dxa" w:w="60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1.0</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Classification</w:t>
            </w:r>
          </w:p>
        </w:tc>
        <w:tc>
          <w:tcPr>
            <w:tcW w:type="dxa" w:w="60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Internal</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Effective Date</w:t>
            </w:r>
          </w:p>
        </w:tc>
        <w:tc>
          <w:tcPr>
            <w:tcW w:type="dxa" w:w="60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[DD/MM/YYYY]</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Review Date</w:t>
            </w:r>
          </w:p>
        </w:tc>
        <w:tc>
          <w:tcPr>
            <w:tcW w:type="dxa" w:w="60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[DD/MM/YYYY] (Annual)</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Document Owner</w:t>
            </w:r>
          </w:p>
        </w:tc>
        <w:tc>
          <w:tcPr>
            <w:tcW w:type="dxa" w:w="60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Information Security Officer</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Approved By</w:t>
            </w:r>
          </w:p>
        </w:tc>
        <w:tc>
          <w:tcPr>
            <w:tcW w:type="dxa" w:w="60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[Name, Title]</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Applicable To</w:t>
            </w:r>
          </w:p>
        </w:tc>
        <w:tc>
          <w:tcPr>
            <w:tcW w:type="dxa" w:w="60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All employees, contractors, and third parties with access to organisational IT resources</w:t>
            </w:r>
          </w:p>
        </w:tc>
      </w:tr>
    </w:tbl>
    <w:p>
      <w:pPr>
        <w:spacing w:after="200"/>
      </w:pPr>
    </w:p>
    <w:p>
      <w:pPr>
        <w:pStyle w:val="Heading1"/>
      </w:pPr>
      <w:r>
        <w:t xml:space="preserve">1. Purpose</w:t>
      </w:r>
    </w:p>
    <w:p>
      <w:pPr>
        <w:spacing w:after="120"/>
      </w:pPr>
      <w:r>
        <w:rPr>
          <w:rFonts w:ascii="Arial" w:cs="Arial" w:eastAsia="Arial" w:hAnsi="Arial"/>
          <w:sz w:val="20"/>
          <w:szCs w:val="20"/>
        </w:rPr>
        <w:t xml:space="preserve">This Acceptable Use Policy (AUP) defines the acceptable and prohibited uses of all information technology resources owned, leased, or managed by the organisation. The policy aims to protect the organisation’s information assets, ensure compliance with South African legislation, and maintain a secure and productive working environment.</w:t>
      </w:r>
    </w:p>
    <w:p>
      <w:pPr>
        <w:pStyle w:val="Heading1"/>
      </w:pPr>
      <w:r>
        <w:t xml:space="preserve">2. Scope</w:t>
      </w:r>
    </w:p>
    <w:p>
      <w:pPr>
        <w:spacing w:after="120"/>
      </w:pPr>
      <w:r>
        <w:rPr>
          <w:rFonts w:ascii="Arial" w:cs="Arial" w:eastAsia="Arial" w:hAnsi="Arial"/>
          <w:sz w:val="20"/>
          <w:szCs w:val="20"/>
        </w:rPr>
        <w:t xml:space="preserve">This policy applies to all employees, contractors, temporary staff, interns, and any third party who has been granted access to the organisation’s IT resources, including but not limited to:</w:t>
      </w:r>
    </w:p>
    <w:p>
      <w:pPr>
        <w:pStyle w:val="ListParagraph"/>
        <w:numPr>
          <w:ilvl w:val="0"/>
          <w:numId w:val="2"/>
        </w:numPr>
        <w:spacing w:after="60"/>
      </w:pPr>
      <w:r>
        <w:rPr>
          <w:rFonts w:ascii="Arial" w:cs="Arial" w:eastAsia="Arial" w:hAnsi="Arial"/>
          <w:sz w:val="20"/>
          <w:szCs w:val="20"/>
        </w:rPr>
        <w:t xml:space="preserve">Desktop computers, laptops, tablets, and mobile devices</w:t>
      </w:r>
    </w:p>
    <w:p>
      <w:pPr>
        <w:pStyle w:val="ListParagraph"/>
        <w:numPr>
          <w:ilvl w:val="0"/>
          <w:numId w:val="2"/>
        </w:numPr>
        <w:spacing w:after="60"/>
      </w:pPr>
      <w:r>
        <w:rPr>
          <w:rFonts w:ascii="Arial" w:cs="Arial" w:eastAsia="Arial" w:hAnsi="Arial"/>
          <w:sz w:val="20"/>
          <w:szCs w:val="20"/>
        </w:rPr>
        <w:t xml:space="preserve">Email systems and messaging platforms</w:t>
      </w:r>
    </w:p>
    <w:p>
      <w:pPr>
        <w:pStyle w:val="ListParagraph"/>
        <w:numPr>
          <w:ilvl w:val="0"/>
          <w:numId w:val="2"/>
        </w:numPr>
        <w:spacing w:after="60"/>
      </w:pPr>
      <w:r>
        <w:rPr>
          <w:rFonts w:ascii="Arial" w:cs="Arial" w:eastAsia="Arial" w:hAnsi="Arial"/>
          <w:sz w:val="20"/>
          <w:szCs w:val="20"/>
        </w:rPr>
        <w:t xml:space="preserve">Internet and intranet access</w:t>
      </w:r>
    </w:p>
    <w:p>
      <w:pPr>
        <w:pStyle w:val="ListParagraph"/>
        <w:numPr>
          <w:ilvl w:val="0"/>
          <w:numId w:val="2"/>
        </w:numPr>
        <w:spacing w:after="60"/>
      </w:pPr>
      <w:r>
        <w:rPr>
          <w:rFonts w:ascii="Arial" w:cs="Arial" w:eastAsia="Arial" w:hAnsi="Arial"/>
          <w:sz w:val="20"/>
          <w:szCs w:val="20"/>
        </w:rPr>
        <w:t xml:space="preserve">Cloud services and SaaS applications</w:t>
      </w:r>
    </w:p>
    <w:p>
      <w:pPr>
        <w:pStyle w:val="ListParagraph"/>
        <w:numPr>
          <w:ilvl w:val="0"/>
          <w:numId w:val="2"/>
        </w:numPr>
        <w:spacing w:after="60"/>
      </w:pPr>
      <w:r>
        <w:rPr>
          <w:rFonts w:ascii="Arial" w:cs="Arial" w:eastAsia="Arial" w:hAnsi="Arial"/>
          <w:sz w:val="20"/>
          <w:szCs w:val="20"/>
        </w:rPr>
        <w:t xml:space="preserve">Network infrastructure (wired and wireless)</w:t>
      </w:r>
    </w:p>
    <w:p>
      <w:pPr>
        <w:pStyle w:val="ListParagraph"/>
        <w:numPr>
          <w:ilvl w:val="0"/>
          <w:numId w:val="2"/>
        </w:numPr>
        <w:spacing w:after="60"/>
      </w:pPr>
      <w:r>
        <w:rPr>
          <w:rFonts w:ascii="Arial" w:cs="Arial" w:eastAsia="Arial" w:hAnsi="Arial"/>
          <w:sz w:val="20"/>
          <w:szCs w:val="20"/>
        </w:rPr>
        <w:t xml:space="preserve">Removable media (USB drives, external hard drives)</w:t>
      </w:r>
    </w:p>
    <w:p>
      <w:pPr>
        <w:pStyle w:val="ListParagraph"/>
        <w:numPr>
          <w:ilvl w:val="0"/>
          <w:numId w:val="2"/>
        </w:numPr>
        <w:spacing w:after="60"/>
      </w:pPr>
      <w:r>
        <w:rPr>
          <w:rFonts w:ascii="Arial" w:cs="Arial" w:eastAsia="Arial" w:hAnsi="Arial"/>
          <w:sz w:val="20"/>
          <w:szCs w:val="20"/>
        </w:rPr>
        <w:t xml:space="preserve">Printers, scanners, and multifunction devices</w:t>
      </w:r>
    </w:p>
    <w:p>
      <w:pPr>
        <w:pStyle w:val="ListParagraph"/>
        <w:numPr>
          <w:ilvl w:val="0"/>
          <w:numId w:val="2"/>
        </w:numPr>
        <w:spacing w:after="60"/>
      </w:pPr>
      <w:r>
        <w:rPr>
          <w:rFonts w:ascii="Arial" w:cs="Arial" w:eastAsia="Arial" w:hAnsi="Arial"/>
          <w:sz w:val="20"/>
          <w:szCs w:val="20"/>
        </w:rPr>
        <w:t xml:space="preserve">Telephony and VoIP systems</w:t>
      </w:r>
    </w:p>
    <w:p>
      <w:pPr>
        <w:spacing w:after="100"/>
      </w:pPr>
    </w:p>
    <w:p>
      <w:pPr>
        <w:pStyle w:val="Heading1"/>
      </w:pPr>
      <w:r>
        <w:t xml:space="preserve">3. Legislative Framework</w:t>
      </w:r>
    </w:p>
    <w:p>
      <w:pPr>
        <w:spacing w:after="120"/>
      </w:pPr>
      <w:r>
        <w:rPr>
          <w:rFonts w:ascii="Arial" w:cs="Arial" w:eastAsia="Arial" w:hAnsi="Arial"/>
          <w:sz w:val="20"/>
          <w:szCs w:val="20"/>
        </w:rPr>
        <w:t xml:space="preserve">This policy is informed by and must be read in conjunction with the following South African legislation:</w:t>
      </w:r>
    </w:p>
    <w:p>
      <w:pPr>
        <w:pStyle w:val="ListParagraph"/>
        <w:numPr>
          <w:ilvl w:val="0"/>
          <w:numId w:val="2"/>
        </w:numPr>
        <w:spacing w:after="60"/>
      </w:pPr>
      <w:r>
        <w:rPr>
          <w:rFonts w:ascii="Arial" w:cs="Arial" w:eastAsia="Arial" w:hAnsi="Arial"/>
          <w:sz w:val="20"/>
          <w:szCs w:val="20"/>
        </w:rPr>
        <w:t xml:space="preserve">Protection of Personal Information Act 4 of 2013 (POPIA) — governs the processing of Personal Information</w:t>
      </w:r>
    </w:p>
    <w:p>
      <w:pPr>
        <w:pStyle w:val="ListParagraph"/>
        <w:numPr>
          <w:ilvl w:val="0"/>
          <w:numId w:val="2"/>
        </w:numPr>
        <w:spacing w:after="60"/>
      </w:pPr>
      <w:r>
        <w:rPr>
          <w:rFonts w:ascii="Arial" w:cs="Arial" w:eastAsia="Arial" w:hAnsi="Arial"/>
          <w:sz w:val="20"/>
          <w:szCs w:val="20"/>
        </w:rPr>
        <w:t xml:space="preserve">Cybercrimes Act 19 of 2020 — criminalises unauthorised access, interception, and interference with computer systems and data</w:t>
      </w:r>
    </w:p>
    <w:p>
      <w:pPr>
        <w:pStyle w:val="ListParagraph"/>
        <w:numPr>
          <w:ilvl w:val="0"/>
          <w:numId w:val="2"/>
        </w:numPr>
        <w:spacing w:after="60"/>
      </w:pPr>
      <w:r>
        <w:rPr>
          <w:rFonts w:ascii="Arial" w:cs="Arial" w:eastAsia="Arial" w:hAnsi="Arial"/>
          <w:sz w:val="20"/>
          <w:szCs w:val="20"/>
        </w:rPr>
        <w:t xml:space="preserve">Electronic Communications and Transactions Act 25 of 2002 (ECTA) — governs electronic communications and transactions</w:t>
      </w:r>
    </w:p>
    <w:p>
      <w:pPr>
        <w:pStyle w:val="ListParagraph"/>
        <w:numPr>
          <w:ilvl w:val="0"/>
          <w:numId w:val="2"/>
        </w:numPr>
        <w:spacing w:after="60"/>
      </w:pPr>
      <w:r>
        <w:rPr>
          <w:rFonts w:ascii="Arial" w:cs="Arial" w:eastAsia="Arial" w:hAnsi="Arial"/>
          <w:sz w:val="20"/>
          <w:szCs w:val="20"/>
        </w:rPr>
        <w:t xml:space="preserve">Regulation of Interception of Communications and Provision of Communication-Related Information Act 70 of 2002 (RICA)</w:t>
      </w:r>
    </w:p>
    <w:p>
      <w:pPr>
        <w:spacing w:after="100"/>
      </w:pPr>
    </w:p>
    <w:p>
      <w:pPr>
        <w:pStyle w:val="Heading1"/>
      </w:pPr>
      <w:r>
        <w:t xml:space="preserve">4. Acceptable Use</w:t>
      </w:r>
    </w:p>
    <w:p>
      <w:pPr>
        <w:pStyle w:val="Heading2"/>
      </w:pPr>
      <w:r>
        <w:t xml:space="preserve">4.1 General Principles</w:t>
      </w:r>
    </w:p>
    <w:p>
      <w:pPr>
        <w:spacing w:after="120"/>
      </w:pPr>
      <w:r>
        <w:rPr>
          <w:rFonts w:ascii="Arial" w:cs="Arial" w:eastAsia="Arial" w:hAnsi="Arial"/>
          <w:sz w:val="20"/>
          <w:szCs w:val="20"/>
        </w:rPr>
        <w:t xml:space="preserve">Users must use IT resources responsibly, ethically, and in a manner consistent with their job responsibilities. All use must comply with applicable laws, organisational policies, and the terms of any applicable licence agreements.</w:t>
      </w:r>
    </w:p>
    <w:p>
      <w:pPr>
        <w:pStyle w:val="Heading2"/>
      </w:pPr>
      <w:r>
        <w:t xml:space="preserve">4.2 Email and Messaging</w:t>
      </w:r>
    </w:p>
    <w:p>
      <w:pPr>
        <w:pStyle w:val="ListParagraph"/>
        <w:numPr>
          <w:ilvl w:val="0"/>
          <w:numId w:val="2"/>
        </w:numPr>
        <w:spacing w:after="60"/>
      </w:pPr>
      <w:r>
        <w:rPr>
          <w:rFonts w:ascii="Arial" w:cs="Arial" w:eastAsia="Arial" w:hAnsi="Arial"/>
          <w:sz w:val="20"/>
          <w:szCs w:val="20"/>
        </w:rPr>
        <w:t xml:space="preserve">Use the organisational email system primarily for business-related communications.</w:t>
      </w:r>
    </w:p>
    <w:p>
      <w:pPr>
        <w:pStyle w:val="ListParagraph"/>
        <w:numPr>
          <w:ilvl w:val="0"/>
          <w:numId w:val="2"/>
        </w:numPr>
        <w:spacing w:after="60"/>
      </w:pPr>
      <w:r>
        <w:rPr>
          <w:rFonts w:ascii="Arial" w:cs="Arial" w:eastAsia="Arial" w:hAnsi="Arial"/>
          <w:sz w:val="20"/>
          <w:szCs w:val="20"/>
        </w:rPr>
        <w:t xml:space="preserve">Limited personal use is permitted provided it does not interfere with work duties, consume excessive resources, or breach this policy.</w:t>
      </w:r>
    </w:p>
    <w:p>
      <w:pPr>
        <w:pStyle w:val="ListParagraph"/>
        <w:numPr>
          <w:ilvl w:val="0"/>
          <w:numId w:val="2"/>
        </w:numPr>
        <w:spacing w:after="60"/>
      </w:pPr>
      <w:r>
        <w:rPr>
          <w:rFonts w:ascii="Arial" w:cs="Arial" w:eastAsia="Arial" w:hAnsi="Arial"/>
          <w:sz w:val="20"/>
          <w:szCs w:val="20"/>
        </w:rPr>
        <w:t xml:space="preserve">Do not open suspicious attachments or click on unverified links. Report suspected phishing to the IT/Security team immediately.</w:t>
      </w:r>
    </w:p>
    <w:p>
      <w:pPr>
        <w:pStyle w:val="ListParagraph"/>
        <w:numPr>
          <w:ilvl w:val="0"/>
          <w:numId w:val="2"/>
        </w:numPr>
        <w:spacing w:after="60"/>
      </w:pPr>
      <w:r>
        <w:rPr>
          <w:rFonts w:ascii="Arial" w:cs="Arial" w:eastAsia="Arial" w:hAnsi="Arial"/>
          <w:sz w:val="20"/>
          <w:szCs w:val="20"/>
        </w:rPr>
        <w:t xml:space="preserve">Exercise caution when sending Personal Information (as defined in POPIA) via email. Use encryption where appropriate.</w:t>
      </w:r>
    </w:p>
    <w:p>
      <w:pPr>
        <w:pStyle w:val="Heading2"/>
      </w:pPr>
      <w:r>
        <w:t xml:space="preserve">4.3 Internet and Web Browsing</w:t>
      </w:r>
    </w:p>
    <w:p>
      <w:pPr>
        <w:pStyle w:val="ListParagraph"/>
        <w:numPr>
          <w:ilvl w:val="0"/>
          <w:numId w:val="2"/>
        </w:numPr>
        <w:spacing w:after="60"/>
      </w:pPr>
      <w:r>
        <w:rPr>
          <w:rFonts w:ascii="Arial" w:cs="Arial" w:eastAsia="Arial" w:hAnsi="Arial"/>
          <w:sz w:val="20"/>
          <w:szCs w:val="20"/>
        </w:rPr>
        <w:t xml:space="preserve">Internet access is provided for business purposes. Incidental personal use is permitted within reasonable limits.</w:t>
      </w:r>
    </w:p>
    <w:p>
      <w:pPr>
        <w:pStyle w:val="ListParagraph"/>
        <w:numPr>
          <w:ilvl w:val="0"/>
          <w:numId w:val="2"/>
        </w:numPr>
        <w:spacing w:after="60"/>
      </w:pPr>
      <w:r>
        <w:rPr>
          <w:rFonts w:ascii="Arial" w:cs="Arial" w:eastAsia="Arial" w:hAnsi="Arial"/>
          <w:sz w:val="20"/>
          <w:szCs w:val="20"/>
        </w:rPr>
        <w:t xml:space="preserve">All web traffic may be monitored and logged in accordance with RICA and the organisation’s monitoring policy.</w:t>
      </w:r>
    </w:p>
    <w:p>
      <w:pPr>
        <w:pStyle w:val="ListParagraph"/>
        <w:numPr>
          <w:ilvl w:val="0"/>
          <w:numId w:val="2"/>
        </w:numPr>
        <w:spacing w:after="60"/>
      </w:pPr>
      <w:r>
        <w:rPr>
          <w:rFonts w:ascii="Arial" w:cs="Arial" w:eastAsia="Arial" w:hAnsi="Arial"/>
          <w:sz w:val="20"/>
          <w:szCs w:val="20"/>
        </w:rPr>
        <w:t xml:space="preserve">Use of the organisation’s internet connection to access illegal, offensive, or inappropriate content is strictly prohibited.</w:t>
      </w:r>
    </w:p>
    <w:p>
      <w:pPr>
        <w:pStyle w:val="Heading2"/>
      </w:pPr>
      <w:r>
        <w:t xml:space="preserve">4.4 Devices and Equipment</w:t>
      </w:r>
    </w:p>
    <w:p>
      <w:pPr>
        <w:pStyle w:val="ListParagraph"/>
        <w:numPr>
          <w:ilvl w:val="0"/>
          <w:numId w:val="2"/>
        </w:numPr>
        <w:spacing w:after="60"/>
      </w:pPr>
      <w:r>
        <w:rPr>
          <w:rFonts w:ascii="Arial" w:cs="Arial" w:eastAsia="Arial" w:hAnsi="Arial"/>
          <w:sz w:val="20"/>
          <w:szCs w:val="20"/>
        </w:rPr>
        <w:t xml:space="preserve">Treat all organisational devices and equipment with care.</w:t>
      </w:r>
    </w:p>
    <w:p>
      <w:pPr>
        <w:pStyle w:val="ListParagraph"/>
        <w:numPr>
          <w:ilvl w:val="0"/>
          <w:numId w:val="2"/>
        </w:numPr>
        <w:spacing w:after="60"/>
      </w:pPr>
      <w:r>
        <w:rPr>
          <w:rFonts w:ascii="Arial" w:cs="Arial" w:eastAsia="Arial" w:hAnsi="Arial"/>
          <w:sz w:val="20"/>
          <w:szCs w:val="20"/>
        </w:rPr>
        <w:t xml:space="preserve">Report lost, stolen, or damaged devices to IT immediately.</w:t>
      </w:r>
    </w:p>
    <w:p>
      <w:pPr>
        <w:pStyle w:val="ListParagraph"/>
        <w:numPr>
          <w:ilvl w:val="0"/>
          <w:numId w:val="2"/>
        </w:numPr>
        <w:spacing w:after="60"/>
      </w:pPr>
      <w:r>
        <w:rPr>
          <w:rFonts w:ascii="Arial" w:cs="Arial" w:eastAsia="Arial" w:hAnsi="Arial"/>
          <w:sz w:val="20"/>
          <w:szCs w:val="20"/>
        </w:rPr>
        <w:t xml:space="preserve">Do not install unauthorised software or disable security controls (antivirus, endpoint protection, firewall).</w:t>
      </w:r>
    </w:p>
    <w:p>
      <w:pPr>
        <w:pStyle w:val="ListParagraph"/>
        <w:numPr>
          <w:ilvl w:val="0"/>
          <w:numId w:val="2"/>
        </w:numPr>
        <w:spacing w:after="60"/>
      </w:pPr>
      <w:r>
        <w:rPr>
          <w:rFonts w:ascii="Arial" w:cs="Arial" w:eastAsia="Arial" w:hAnsi="Arial"/>
          <w:sz w:val="20"/>
          <w:szCs w:val="20"/>
        </w:rPr>
        <w:t xml:space="preserve">Lock your workstation when leaving it unattended (Windows: Win+L / macOS: Ctrl+Cmd+Q).</w:t>
      </w:r>
    </w:p>
    <w:p>
      <w:pPr>
        <w:pStyle w:val="Heading2"/>
      </w:pPr>
      <w:r>
        <w:t xml:space="preserve">4.5 Data Handling</w:t>
      </w:r>
    </w:p>
    <w:p>
      <w:pPr>
        <w:pStyle w:val="ListParagraph"/>
        <w:numPr>
          <w:ilvl w:val="0"/>
          <w:numId w:val="2"/>
        </w:numPr>
        <w:spacing w:after="60"/>
      </w:pPr>
      <w:r>
        <w:rPr>
          <w:rFonts w:ascii="Arial" w:cs="Arial" w:eastAsia="Arial" w:hAnsi="Arial"/>
          <w:sz w:val="20"/>
          <w:szCs w:val="20"/>
        </w:rPr>
        <w:t xml:space="preserve">Handle data in accordance with the organisation’s Data Classification Policy.</w:t>
      </w:r>
    </w:p>
    <w:p>
      <w:pPr>
        <w:pStyle w:val="ListParagraph"/>
        <w:numPr>
          <w:ilvl w:val="0"/>
          <w:numId w:val="2"/>
        </w:numPr>
        <w:spacing w:after="60"/>
      </w:pPr>
      <w:r>
        <w:rPr>
          <w:rFonts w:ascii="Arial" w:cs="Arial" w:eastAsia="Arial" w:hAnsi="Arial"/>
          <w:sz w:val="20"/>
          <w:szCs w:val="20"/>
        </w:rPr>
        <w:t xml:space="preserve">Do not store sensitive or confidential data on unapproved personal devices or cloud services.</w:t>
      </w:r>
    </w:p>
    <w:p>
      <w:pPr>
        <w:pStyle w:val="ListParagraph"/>
        <w:numPr>
          <w:ilvl w:val="0"/>
          <w:numId w:val="2"/>
        </w:numPr>
        <w:spacing w:after="60"/>
      </w:pPr>
      <w:r>
        <w:rPr>
          <w:rFonts w:ascii="Arial" w:cs="Arial" w:eastAsia="Arial" w:hAnsi="Arial"/>
          <w:sz w:val="20"/>
          <w:szCs w:val="20"/>
        </w:rPr>
        <w:t xml:space="preserve">Dispose of data securely in accordance with retention policies. Paper documents containing sensitive data must be shredded.</w:t>
      </w:r>
    </w:p>
    <w:p>
      <w:pPr>
        <w:pStyle w:val="Heading2"/>
      </w:pPr>
      <w:r>
        <w:t xml:space="preserve">4.6 Remote Access and BYOD</w:t>
      </w:r>
    </w:p>
    <w:p>
      <w:pPr>
        <w:pStyle w:val="ListParagraph"/>
        <w:numPr>
          <w:ilvl w:val="0"/>
          <w:numId w:val="2"/>
        </w:numPr>
        <w:spacing w:after="60"/>
      </w:pPr>
      <w:r>
        <w:rPr>
          <w:rFonts w:ascii="Arial" w:cs="Arial" w:eastAsia="Arial" w:hAnsi="Arial"/>
          <w:sz w:val="20"/>
          <w:szCs w:val="20"/>
        </w:rPr>
        <w:t xml:space="preserve">Remote access to organisational systems must be through approved VPN or secure access solutions only.</w:t>
      </w:r>
    </w:p>
    <w:p>
      <w:pPr>
        <w:pStyle w:val="ListParagraph"/>
        <w:numPr>
          <w:ilvl w:val="0"/>
          <w:numId w:val="2"/>
        </w:numPr>
        <w:spacing w:after="60"/>
      </w:pPr>
      <w:r>
        <w:rPr>
          <w:rFonts w:ascii="Arial" w:cs="Arial" w:eastAsia="Arial" w:hAnsi="Arial"/>
          <w:sz w:val="20"/>
          <w:szCs w:val="20"/>
        </w:rPr>
        <w:t xml:space="preserve">Personally-owned devices (BYOD) used for work must comply with the organisation’s minimum security requirements (see Remote Work Security Policy).</w:t>
      </w:r>
    </w:p>
    <w:p>
      <w:pPr>
        <w:spacing w:after="100"/>
      </w:pPr>
    </w:p>
    <w:p>
      <w:pPr>
        <w:pStyle w:val="Heading1"/>
      </w:pPr>
      <w:r>
        <w:t xml:space="preserve">5. Prohibited Use</w:t>
      </w:r>
    </w:p>
    <w:p>
      <w:pPr>
        <w:spacing w:after="120"/>
      </w:pPr>
      <w:r>
        <w:rPr>
          <w:rFonts w:ascii="Arial" w:cs="Arial" w:eastAsia="Arial" w:hAnsi="Arial"/>
          <w:sz w:val="20"/>
          <w:szCs w:val="20"/>
        </w:rPr>
        <w:t xml:space="preserve">The following activities are strictly prohibited:</w:t>
      </w:r>
    </w:p>
    <w:p>
      <w:pPr>
        <w:pStyle w:val="ListParagraph"/>
        <w:numPr>
          <w:ilvl w:val="0"/>
          <w:numId w:val="2"/>
        </w:numPr>
        <w:spacing w:after="60"/>
      </w:pPr>
      <w:r>
        <w:rPr>
          <w:rFonts w:ascii="Arial" w:cs="Arial" w:eastAsia="Arial" w:hAnsi="Arial"/>
          <w:sz w:val="20"/>
          <w:szCs w:val="20"/>
        </w:rPr>
        <w:t xml:space="preserve">Accessing, downloading, storing, or distributing illegal, obscene, or offensive material.</w:t>
      </w:r>
    </w:p>
    <w:p>
      <w:pPr>
        <w:pStyle w:val="ListParagraph"/>
        <w:numPr>
          <w:ilvl w:val="0"/>
          <w:numId w:val="2"/>
        </w:numPr>
        <w:spacing w:after="60"/>
      </w:pPr>
      <w:r>
        <w:rPr>
          <w:rFonts w:ascii="Arial" w:cs="Arial" w:eastAsia="Arial" w:hAnsi="Arial"/>
          <w:sz w:val="20"/>
          <w:szCs w:val="20"/>
        </w:rPr>
        <w:t xml:space="preserve">Unauthorised access to systems, accounts, or data belonging to other users or external parties (a criminal offence under the Cybercrimes Act).</w:t>
      </w:r>
    </w:p>
    <w:p>
      <w:pPr>
        <w:pStyle w:val="ListParagraph"/>
        <w:numPr>
          <w:ilvl w:val="0"/>
          <w:numId w:val="2"/>
        </w:numPr>
        <w:spacing w:after="60"/>
      </w:pPr>
      <w:r>
        <w:rPr>
          <w:rFonts w:ascii="Arial" w:cs="Arial" w:eastAsia="Arial" w:hAnsi="Arial"/>
          <w:sz w:val="20"/>
          <w:szCs w:val="20"/>
        </w:rPr>
        <w:t xml:space="preserve">Attempting to bypass, disable, or circumvent security controls, firewalls, or content filters.</w:t>
      </w:r>
    </w:p>
    <w:p>
      <w:pPr>
        <w:pStyle w:val="ListParagraph"/>
        <w:numPr>
          <w:ilvl w:val="0"/>
          <w:numId w:val="2"/>
        </w:numPr>
        <w:spacing w:after="60"/>
      </w:pPr>
      <w:r>
        <w:rPr>
          <w:rFonts w:ascii="Arial" w:cs="Arial" w:eastAsia="Arial" w:hAnsi="Arial"/>
          <w:sz w:val="20"/>
          <w:szCs w:val="20"/>
        </w:rPr>
        <w:t xml:space="preserve">Installing cryptocurrency mining software, peer-to-peer file sharing applications, or hacking tools on organisational systems.</w:t>
      </w:r>
    </w:p>
    <w:p>
      <w:pPr>
        <w:pStyle w:val="ListParagraph"/>
        <w:numPr>
          <w:ilvl w:val="0"/>
          <w:numId w:val="2"/>
        </w:numPr>
        <w:spacing w:after="60"/>
      </w:pPr>
      <w:r>
        <w:rPr>
          <w:rFonts w:ascii="Arial" w:cs="Arial" w:eastAsia="Arial" w:hAnsi="Arial"/>
          <w:sz w:val="20"/>
          <w:szCs w:val="20"/>
        </w:rPr>
        <w:t xml:space="preserve">Using organisational systems for personal commercial activities or political campaigning.</w:t>
      </w:r>
    </w:p>
    <w:p>
      <w:pPr>
        <w:pStyle w:val="ListParagraph"/>
        <w:numPr>
          <w:ilvl w:val="0"/>
          <w:numId w:val="2"/>
        </w:numPr>
        <w:spacing w:after="60"/>
      </w:pPr>
      <w:r>
        <w:rPr>
          <w:rFonts w:ascii="Arial" w:cs="Arial" w:eastAsia="Arial" w:hAnsi="Arial"/>
          <w:sz w:val="20"/>
          <w:szCs w:val="20"/>
        </w:rPr>
        <w:t xml:space="preserve">Sharing login credentials with any other person, including colleagues.</w:t>
      </w:r>
    </w:p>
    <w:p>
      <w:pPr>
        <w:pStyle w:val="ListParagraph"/>
        <w:numPr>
          <w:ilvl w:val="0"/>
          <w:numId w:val="2"/>
        </w:numPr>
        <w:spacing w:after="60"/>
      </w:pPr>
      <w:r>
        <w:rPr>
          <w:rFonts w:ascii="Arial" w:cs="Arial" w:eastAsia="Arial" w:hAnsi="Arial"/>
          <w:sz w:val="20"/>
          <w:szCs w:val="20"/>
        </w:rPr>
        <w:t xml:space="preserve">Connecting unauthorised devices to the organisational network.</w:t>
      </w:r>
    </w:p>
    <w:p>
      <w:pPr>
        <w:pStyle w:val="ListParagraph"/>
        <w:numPr>
          <w:ilvl w:val="0"/>
          <w:numId w:val="2"/>
        </w:numPr>
        <w:spacing w:after="60"/>
      </w:pPr>
      <w:r>
        <w:rPr>
          <w:rFonts w:ascii="Arial" w:cs="Arial" w:eastAsia="Arial" w:hAnsi="Arial"/>
          <w:sz w:val="20"/>
          <w:szCs w:val="20"/>
        </w:rPr>
        <w:t xml:space="preserve">Intercepting or monitoring any communication without proper authorisation (a criminal offence under RICA and the Cybercrimes Act).</w:t>
      </w:r>
    </w:p>
    <w:p>
      <w:pPr>
        <w:pStyle w:val="ListParagraph"/>
        <w:numPr>
          <w:ilvl w:val="0"/>
          <w:numId w:val="2"/>
        </w:numPr>
        <w:spacing w:after="60"/>
      </w:pPr>
      <w:r>
        <w:rPr>
          <w:rFonts w:ascii="Arial" w:cs="Arial" w:eastAsia="Arial" w:hAnsi="Arial"/>
          <w:sz w:val="20"/>
          <w:szCs w:val="20"/>
        </w:rPr>
        <w:t xml:space="preserve">Sending bulk unsolicited emails (spam) from organisational systems.</w:t>
      </w:r>
    </w:p>
    <w:p>
      <w:pPr>
        <w:pStyle w:val="ListParagraph"/>
        <w:numPr>
          <w:ilvl w:val="0"/>
          <w:numId w:val="2"/>
        </w:numPr>
        <w:spacing w:after="60"/>
      </w:pPr>
      <w:r>
        <w:rPr>
          <w:rFonts w:ascii="Arial" w:cs="Arial" w:eastAsia="Arial" w:hAnsi="Arial"/>
          <w:sz w:val="20"/>
          <w:szCs w:val="20"/>
        </w:rPr>
        <w:t xml:space="preserve">Deliberately introducing malware, viruses, or other malicious code.</w:t>
      </w:r>
    </w:p>
    <w:p>
      <w:pPr>
        <w:spacing w:after="100"/>
      </w:pPr>
    </w:p>
    <w:p>
      <w:pPr>
        <w:pStyle w:val="Heading1"/>
      </w:pPr>
      <w:r>
        <w:t xml:space="preserve">6. Monitoring and Privacy</w:t>
      </w:r>
    </w:p>
    <w:p>
      <w:pPr>
        <w:spacing w:after="120"/>
      </w:pPr>
      <w:r>
        <w:rPr>
          <w:rFonts w:ascii="Arial" w:cs="Arial" w:eastAsia="Arial" w:hAnsi="Arial"/>
          <w:sz w:val="20"/>
          <w:szCs w:val="20"/>
        </w:rPr>
        <w:t xml:space="preserve">6.1  The organisation reserves the right to monitor, log, audit, and review all use of IT resources in accordance with applicable law, including RICA and POPIA.</w:t>
      </w:r>
    </w:p>
    <w:p>
      <w:pPr>
        <w:spacing w:after="120"/>
      </w:pPr>
      <w:r>
        <w:rPr>
          <w:rFonts w:ascii="Arial" w:cs="Arial" w:eastAsia="Arial" w:hAnsi="Arial"/>
          <w:sz w:val="20"/>
          <w:szCs w:val="20"/>
        </w:rPr>
        <w:t xml:space="preserve">6.2  Users should have no expectation of privacy when using organisational IT resources, except as required by law.</w:t>
      </w:r>
    </w:p>
    <w:p>
      <w:pPr>
        <w:spacing w:after="120"/>
      </w:pPr>
      <w:r>
        <w:rPr>
          <w:rFonts w:ascii="Arial" w:cs="Arial" w:eastAsia="Arial" w:hAnsi="Arial"/>
          <w:sz w:val="20"/>
          <w:szCs w:val="20"/>
        </w:rPr>
        <w:t xml:space="preserve">6.3  Monitoring will be conducted lawfully, proportionately, and for legitimate business purposes including security incident investigation, policy compliance, and performance management.</w:t>
      </w:r>
    </w:p>
    <w:p>
      <w:pPr>
        <w:spacing w:after="120"/>
      </w:pPr>
      <w:r>
        <w:rPr>
          <w:rFonts w:ascii="Arial" w:cs="Arial" w:eastAsia="Arial" w:hAnsi="Arial"/>
          <w:sz w:val="20"/>
          <w:szCs w:val="20"/>
        </w:rPr>
        <w:t xml:space="preserve">6.4  Any Personal Information collected through monitoring will be processed in accordance with POPIA.</w:t>
      </w:r>
    </w:p>
    <w:p>
      <w:pPr>
        <w:spacing w:after="100"/>
      </w:pPr>
    </w:p>
    <w:p>
      <w:pPr>
        <w:pStyle w:val="Heading1"/>
      </w:pPr>
      <w:r>
        <w:t xml:space="preserve">7. Security Incident Reporting</w:t>
      </w:r>
    </w:p>
    <w:p>
      <w:pPr>
        <w:spacing w:after="120"/>
      </w:pPr>
      <w:r>
        <w:rPr>
          <w:rFonts w:ascii="Arial" w:cs="Arial" w:eastAsia="Arial" w:hAnsi="Arial"/>
          <w:sz w:val="20"/>
          <w:szCs w:val="20"/>
        </w:rPr>
        <w:t xml:space="preserve">All users are required to report suspected security incidents, policy violations, or suspicious activity immediately to the IT/Security team via:</w:t>
      </w:r>
    </w:p>
    <w:p>
      <w:pPr>
        <w:pStyle w:val="ListParagraph"/>
        <w:numPr>
          <w:ilvl w:val="0"/>
          <w:numId w:val="2"/>
        </w:numPr>
        <w:spacing w:after="60"/>
      </w:pPr>
      <w:r>
        <w:rPr>
          <w:rFonts w:ascii="Arial" w:cs="Arial" w:eastAsia="Arial" w:hAnsi="Arial"/>
          <w:sz w:val="20"/>
          <w:szCs w:val="20"/>
        </w:rPr>
        <w:t xml:space="preserve">Email: [security@organisation.co.za]</w:t>
      </w:r>
    </w:p>
    <w:p>
      <w:pPr>
        <w:pStyle w:val="ListParagraph"/>
        <w:numPr>
          <w:ilvl w:val="0"/>
          <w:numId w:val="2"/>
        </w:numPr>
        <w:spacing w:after="60"/>
      </w:pPr>
      <w:r>
        <w:rPr>
          <w:rFonts w:ascii="Arial" w:cs="Arial" w:eastAsia="Arial" w:hAnsi="Arial"/>
          <w:sz w:val="20"/>
          <w:szCs w:val="20"/>
        </w:rPr>
        <w:t xml:space="preserve">Phone: [internal security hotline]</w:t>
      </w:r>
    </w:p>
    <w:p>
      <w:pPr>
        <w:pStyle w:val="ListParagraph"/>
        <w:numPr>
          <w:ilvl w:val="0"/>
          <w:numId w:val="2"/>
        </w:numPr>
        <w:spacing w:after="60"/>
      </w:pPr>
      <w:r>
        <w:rPr>
          <w:rFonts w:ascii="Arial" w:cs="Arial" w:eastAsia="Arial" w:hAnsi="Arial"/>
          <w:sz w:val="20"/>
          <w:szCs w:val="20"/>
        </w:rPr>
        <w:t xml:space="preserve">In person: [IT/Security office location]</w:t>
      </w:r>
    </w:p>
    <w:p>
      <w:pPr>
        <w:spacing w:after="120"/>
      </w:pPr>
      <w:r>
        <w:rPr>
          <w:rFonts w:ascii="Arial" w:cs="Arial" w:eastAsia="Arial" w:hAnsi="Arial"/>
          <w:sz w:val="20"/>
          <w:szCs w:val="20"/>
        </w:rPr>
        <w:t xml:space="preserve">Failure to report a known or suspected incident may itself constitute a policy violation.</w:t>
      </w:r>
    </w:p>
    <w:p>
      <w:pPr>
        <w:spacing w:after="100"/>
      </w:pPr>
    </w:p>
    <w:p>
      <w:pPr>
        <w:pStyle w:val="Heading1"/>
      </w:pPr>
      <w:r>
        <w:t xml:space="preserve">8. Enforcement and Consequences</w:t>
      </w:r>
    </w:p>
    <w:p>
      <w:pPr>
        <w:spacing w:after="120"/>
      </w:pPr>
      <w:r>
        <w:rPr>
          <w:rFonts w:ascii="Arial" w:cs="Arial" w:eastAsia="Arial" w:hAnsi="Arial"/>
          <w:sz w:val="20"/>
          <w:szCs w:val="20"/>
        </w:rPr>
        <w:t xml:space="preserve">8.1  Violation of this policy may result in disciplinary action up to and including termination of employment or contract, in accordance with the organisation’s disciplinary procedures.</w:t>
      </w:r>
    </w:p>
    <w:p>
      <w:pPr>
        <w:spacing w:after="120"/>
      </w:pPr>
      <w:r>
        <w:rPr>
          <w:rFonts w:ascii="Arial" w:cs="Arial" w:eastAsia="Arial" w:hAnsi="Arial"/>
          <w:sz w:val="20"/>
          <w:szCs w:val="20"/>
        </w:rPr>
        <w:t xml:space="preserve">8.2  Where a violation constitutes a criminal offence under the Cybercrimes Act, RICA, or any other applicable legislation, the matter may be referred to the South African Police Service (SAPS) for investigation.</w:t>
      </w:r>
    </w:p>
    <w:p>
      <w:pPr>
        <w:spacing w:after="120"/>
      </w:pPr>
      <w:r>
        <w:rPr>
          <w:rFonts w:ascii="Arial" w:cs="Arial" w:eastAsia="Arial" w:hAnsi="Arial"/>
          <w:sz w:val="20"/>
          <w:szCs w:val="20"/>
        </w:rPr>
        <w:t xml:space="preserve">8.3  The organisation may immediately suspend or revoke a user’s access to IT resources pending investigation of a suspected policy violation.</w:t>
      </w:r>
    </w:p>
    <w:p>
      <w:pPr>
        <w:spacing w:after="100"/>
      </w:pPr>
    </w:p>
    <w:p>
      <w:pPr>
        <w:pStyle w:val="Heading1"/>
      </w:pPr>
      <w:r>
        <w:t xml:space="preserve">9. Policy Review</w:t>
      </w:r>
    </w:p>
    <w:p>
      <w:pPr>
        <w:spacing w:after="120"/>
      </w:pPr>
      <w:r>
        <w:rPr>
          <w:rFonts w:ascii="Arial" w:cs="Arial" w:eastAsia="Arial" w:hAnsi="Arial"/>
          <w:sz w:val="20"/>
          <w:szCs w:val="20"/>
        </w:rPr>
        <w:t xml:space="preserve">This policy will be reviewed annually or more frequently if required due to changes in legislation, technology, or the organisation’s risk profile. The Information Security Officer is responsible for initiating and coordinating the review.</w:t>
      </w:r>
    </w:p>
    <w:p>
      <w:pPr>
        <w:spacing w:after="100"/>
      </w:pPr>
    </w:p>
    <w:p>
      <w:pPr>
        <w:pStyle w:val="Heading1"/>
      </w:pPr>
      <w:r>
        <w:t xml:space="preserve">10. Acknowledgement</w:t>
      </w:r>
    </w:p>
    <w:p>
      <w:pPr>
        <w:spacing w:after="120"/>
      </w:pPr>
      <w:r>
        <w:rPr>
          <w:rFonts w:ascii="Arial" w:cs="Arial" w:eastAsia="Arial" w:hAnsi="Arial"/>
          <w:sz w:val="20"/>
          <w:szCs w:val="20"/>
        </w:rPr>
        <w:t xml:space="preserve">By signing below, I confirm that I have read, understood, and agree to comply with this Acceptable Use Policy.</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Employee Name:</w:t>
            </w:r>
          </w:p>
        </w:tc>
        <w:tc>
          <w:tcPr>
            <w:tcW w:type="dxa" w:w="60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Designation:</w:t>
            </w:r>
          </w:p>
        </w:tc>
        <w:tc>
          <w:tcPr>
            <w:tcW w:type="dxa" w:w="60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Signature:</w:t>
            </w:r>
          </w:p>
        </w:tc>
        <w:tc>
          <w:tcPr>
            <w:tcW w:type="dxa" w:w="60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b/>
                <w:bCs/>
                <w:sz w:val="20"/>
                <w:szCs w:val="20"/>
              </w:rPr>
              <w:t xml:space="preserve">Date:</w:t>
            </w:r>
          </w:p>
        </w:tc>
        <w:tc>
          <w:tcPr>
            <w:tcW w:type="dxa" w:w="6026"/>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A317" w:sz="2"/>
              <w:left w:val="single" w:color="E8A317" w:sz="2"/>
              <w:bottom w:val="single" w:color="E8A317" w:sz="2"/>
              <w:right w:val="single" w:color="E8A317" w:sz="2"/>
            </w:tcBorders>
            <w:shd w:fill="FFF8E1" w:val="clear"/>
            <w:tcMar>
              <w:top w:type="dxa" w:w="100"/>
              <w:left w:type="dxa" w:w="150"/>
              <w:bottom w:type="dxa" w:w="100"/>
              <w:right w:type="dxa" w:w="150"/>
            </w:tcMar>
          </w:tcPr>
          <w:p>
            <w:r>
              <w:rPr>
                <w:rFonts w:ascii="Arial" w:cs="Arial" w:eastAsia="Arial" w:hAnsi="Arial"/>
                <w:b/>
                <w:bCs/>
                <w:sz w:val="20"/>
                <w:szCs w:val="20"/>
              </w:rPr>
              <w:t xml:space="preserve">⚠ IMPORTANT NOTICE</w:t>
            </w:r>
          </w:p>
          <w:p>
            <w:pPr>
              <w:spacing w:before="60"/>
            </w:pPr>
            <w:r>
              <w:rPr>
                <w:rFonts w:ascii="Arial" w:cs="Arial" w:eastAsia="Arial" w:hAnsi="Arial"/>
                <w:sz w:val="18"/>
                <w:szCs w:val="18"/>
              </w:rPr>
              <w:t xml:space="preserve">This policy template is provided by Greyhat4hire (Pty) Ltd for informational purposes. It should be reviewed, customised, and approved by the adopting organisation’s management and legal counsel before implementation. Compliance with the Protection of Personal Information Act 4 of 2013 (POPIA), the Cybercrimes Act 19 of 2020, and the Electronic Communications and Transactions Act 25 of 2002 (ECTA) remains the responsibility of the adopting organisation.</w:t>
            </w:r>
          </w:p>
        </w:tc>
      </w:tr>
    </w:tbl>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4B5" w:sz="4" w:space="4"/>
      </w:pBdr>
      <w:tabs>
        <w:tab w:val="right" w:pos="9026"/>
      </w:tabs>
    </w:pPr>
    <w:r>
      <w:rPr>
        <w:rFonts w:ascii="Arial" w:cs="Arial" w:eastAsia="Arial" w:hAnsi="Arial"/>
        <w:color w:val="999999"/>
        <w:sz w:val="16"/>
        <w:szCs w:val="16"/>
      </w:rPr>
      <w:t xml:space="preserve">CONFIDENTIAL</w:t>
    </w:r>
    <w:r>
      <w:rPr>
        <w:rFonts w:ascii="Arial" w:cs="Arial" w:eastAsia="Arial" w:hAnsi="Arial"/>
        <w:color w:val="999999"/>
        <w:sz w:val="16"/>
        <w:szCs w:val="16"/>
      </w:rPr>
      <w:t xml:space="preserve">	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4B5" w:sz="4" w:space="4"/>
      </w:pBdr>
      <w:tabs>
        <w:tab w:val="right" w:pos="9026"/>
      </w:tabs>
    </w:pPr>
    <w:r>
      <w:rPr>
        <w:rFonts w:ascii="Arial" w:cs="Arial" w:eastAsia="Arial" w:hAnsi="Arial"/>
        <w:color w:val="999999"/>
        <w:sz w:val="16"/>
        <w:szCs w:val="16"/>
      </w:rPr>
      <w:t xml:space="preserve">Greyhat4hire (Pty) Ltd</w:t>
    </w:r>
    <w:r>
      <w:rPr>
        <w:rFonts w:ascii="Arial" w:cs="Arial" w:eastAsia="Arial" w:hAnsi="Arial"/>
        <w:color w:val="999999"/>
        <w:sz w:val="16"/>
        <w:szCs w:val="16"/>
      </w:rPr>
      <w:t xml:space="preserve">	Acceptable Use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50"/>
      <w:outlineLvl w:val="0"/>
    </w:pPr>
    <w:rPr>
      <w:rFonts w:ascii="Arial" w:cs="Arial" w:eastAsia="Arial" w:hAnsi="Arial"/>
      <w:b/>
      <w:bCs/>
      <w:color w:val="2E74B5"/>
      <w:sz w:val="28"/>
      <w:szCs w:val="28"/>
    </w:rPr>
  </w:style>
  <w:style w:type="paragraph" w:styleId="Heading2">
    <w:name w:val="Heading 2"/>
    <w:basedOn w:val="Normal"/>
    <w:next w:val="Normal"/>
    <w:qFormat/>
    <w:pPr>
      <w:spacing w:before="200" w:after="100"/>
      <w:outlineLvl w:val="1"/>
    </w:pPr>
    <w:rPr>
      <w:rFonts w:ascii="Arial" w:cs="Arial" w:eastAsia="Arial" w:hAnsi="Arial"/>
      <w:b/>
      <w:bCs/>
      <w:color w:val="2E74B5"/>
      <w:sz w:val="24"/>
      <w:szCs w:val="24"/>
    </w:rPr>
  </w:style>
  <w:style w:type="paragraph" w:styleId="Heading3">
    <w:name w:val="Heading 3"/>
    <w:basedOn w:val="Normal"/>
    <w:next w:val="Normal"/>
    <w:qFormat/>
    <w:pPr>
      <w:spacing w:before="150" w:after="80"/>
      <w:outlineLvl w:val="2"/>
    </w:pPr>
    <w:rPr>
      <w:rFonts w:ascii="Arial" w:cs="Arial" w:eastAsia="Arial" w:hAnsi="Arial"/>
      <w:b/>
      <w:bCs/>
      <w:color w:val="1F4D78"/>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2026-02-27T16:56:18.113Z</dcterms:created>
  <dcterms:modified xsi:type="dcterms:W3CDTF">2026-02-27T16:56:18.114Z</dcterms:modified>
</cp:coreProperties>
</file>

<file path=docProps/custom.xml><?xml version="1.0" encoding="utf-8"?>
<Properties xmlns="http://schemas.openxmlformats.org/officeDocument/2006/custom-properties" xmlns:vt="http://schemas.openxmlformats.org/officeDocument/2006/docPropsVTypes"/>
</file>