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4B5" w:sz="2"/>
              <w:left w:val="single" w:color="2E74B5" w:sz="2"/>
              <w:bottom w:val="single" w:color="2E74B5" w:sz="2"/>
              <w:right w:val="single" w:color="2E74B5" w:sz="2"/>
            </w:tcBorders>
            <w:shd w:fill="2E74B5" w:val="clear"/>
            <w:tcMar>
              <w:top w:type="dxa" w:w="150"/>
              <w:left w:type="dxa" w:w="200"/>
              <w:bottom w:type="dxa" w:w="80"/>
              <w:right w:type="dxa" w:w="200"/>
            </w:tcMar>
          </w:tcPr>
          <w:p>
            <w:pPr>
              <w:jc w:val="center"/>
            </w:pPr>
            <w:r>
              <w:rPr>
                <w:rFonts w:ascii="Arial" w:cs="Arial" w:eastAsia="Arial" w:hAnsi="Arial"/>
                <w:b/>
                <w:bCs/>
                <w:color w:val="FFFFFF"/>
                <w:sz w:val="36"/>
                <w:szCs w:val="36"/>
              </w:rPr>
              <w:t xml:space="preserve">Greyhat4hire</w:t>
            </w:r>
          </w:p>
          <w:p>
            <w:pPr>
              <w:spacing w:after="60"/>
              <w:jc w:val="center"/>
            </w:pPr>
            <w:r>
              <w:rPr>
                <w:rFonts w:ascii="Arial" w:cs="Arial" w:eastAsia="Arial" w:hAnsi="Arial"/>
                <w:color w:val="FFFFFF"/>
                <w:sz w:val="20"/>
                <w:szCs w:val="20"/>
              </w:rPr>
              <w:t xml:space="preserve">www.greyhat4hire.com | +27 84 635 3581</w:t>
            </w:r>
          </w:p>
        </w:tc>
      </w:tr>
      <w:tr>
        <w:tc>
          <w:tcPr>
            <w:tcW w:type="dxa" w:w="9026"/>
            <w:tcBorders>
              <w:top w:val="single" w:color="2E74B5" w:sz="2"/>
              <w:left w:val="single" w:color="2E74B5" w:sz="2"/>
              <w:bottom w:val="single" w:color="2E74B5" w:sz="2"/>
              <w:right w:val="single" w:color="2E74B5" w:sz="2"/>
            </w:tcBorders>
            <w:shd w:fill="1F4D78" w:val="clear"/>
            <w:tcMar>
              <w:top w:type="dxa" w:w="100"/>
              <w:left w:type="dxa" w:w="200"/>
              <w:bottom w:type="dxa" w:w="100"/>
              <w:right w:type="dxa" w:w="200"/>
            </w:tcMar>
          </w:tcPr>
          <w:p>
            <w:pPr>
              <w:jc w:val="center"/>
            </w:pPr>
            <w:r>
              <w:rPr>
                <w:rFonts w:ascii="Arial" w:cs="Arial" w:eastAsia="Arial" w:hAnsi="Arial"/>
                <w:b/>
                <w:bCs/>
                <w:color w:val="FFFFFF"/>
                <w:sz w:val="26"/>
                <w:szCs w:val="26"/>
              </w:rPr>
              <w:t xml:space="preserve">DATA CLASSIFICATION POLICY</w:t>
            </w:r>
          </w:p>
          <w:p>
            <w:pPr>
              <w:jc w:val="center"/>
            </w:pPr>
            <w:r>
              <w:rPr>
                <w:rFonts w:ascii="Arial" w:cs="Arial" w:eastAsia="Arial" w:hAnsi="Arial"/>
                <w:color w:val="D5E8F0"/>
                <w:sz w:val="18"/>
                <w:szCs w:val="18"/>
              </w:rPr>
              <w:t xml:space="preserve">4-Tier Data Classification Framework</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9026"/>
            <w:gridSpan w:val="2"/>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DOCUMENT INFORMATION</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Document Reference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GH4H-POL-DCL-003</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1.0</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Internal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Effective 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[DD/MM/YYYY]</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Review 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[DD/MM/YYYY] (Annual)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Document Owner</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Information Security Officer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Approved By</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[Name, Title]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Applicable To</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All employees, contractors, and third parties who create, process, store, or transmit organisational data</w:t>
            </w:r>
          </w:p>
        </w:tc>
      </w:tr>
    </w:tbl>
    <w:p>
      <w:pPr>
        <w:spacing w:after="200"/>
      </w:pPr>
    </w:p>
    <w:p>
      <w:pPr>
        <w:pStyle w:val="Heading1"/>
      </w:pPr>
      <w:r>
        <w:t xml:space="preserve">1. Purpose</w:t>
      </w:r>
    </w:p>
    <w:p>
      <w:pPr>
        <w:spacing w:after="120"/>
      </w:pPr>
      <w:r>
        <w:rPr>
          <w:rFonts w:ascii="Arial" w:cs="Arial" w:eastAsia="Arial" w:hAnsi="Arial"/>
          <w:sz w:val="20"/>
          <w:szCs w:val="20"/>
        </w:rPr>
        <w:t xml:space="preserve">This policy establishes a standardised 4-tier data classification framework to ensure that all organisational data is identified, categorised, and protected according to its sensitivity and value. Proper data classification is a foundational requirement for compliance with the Protection of Personal Information Act 4 of 2013 (POPIA) and supports the organisation’s overall information security management system.</w:t>
      </w:r>
    </w:p>
    <w:p>
      <w:pPr>
        <w:pStyle w:val="Heading1"/>
      </w:pPr>
      <w:r>
        <w:t xml:space="preserve">2. Scope</w:t>
      </w:r>
    </w:p>
    <w:p>
      <w:pPr>
        <w:spacing w:after="120"/>
      </w:pPr>
      <w:r>
        <w:rPr>
          <w:rFonts w:ascii="Arial" w:cs="Arial" w:eastAsia="Arial" w:hAnsi="Arial"/>
          <w:sz w:val="20"/>
          <w:szCs w:val="20"/>
        </w:rPr>
        <w:t xml:space="preserve">This policy applies to all data and information created, received, processed, stored, or transmitted by the organisation, regardless of format (electronic, paper, verbal) or location (on-premises, cloud, mobile, third-party systems).</w:t>
      </w:r>
    </w:p>
    <w:p>
      <w:pPr>
        <w:pStyle w:val="Heading1"/>
      </w:pPr>
      <w:r>
        <w:t xml:space="preserve">3. Classification Tiers</w:t>
      </w:r>
    </w:p>
    <w:p>
      <w:pPr>
        <w:pStyle w:val="Heading2"/>
      </w:pPr>
      <w:r>
        <w:t xml:space="preserve">3.1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26"/>
        <w:gridCol w:w="4000"/>
      </w:tblGrid>
      <w:tr>
        <w:tc>
          <w:tcPr>
            <w:tcW w:type="dxa" w:w="1800"/>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Tier</w:t>
            </w:r>
          </w:p>
        </w:tc>
        <w:tc>
          <w:tcPr>
            <w:tcW w:type="dxa" w:w="3226"/>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Classification</w:t>
            </w:r>
          </w:p>
        </w:tc>
        <w:tc>
          <w:tcPr>
            <w:tcW w:type="dxa" w:w="4000"/>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CC0000"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TIER 1</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CC0000"/>
                <w:sz w:val="20"/>
                <w:szCs w:val="20"/>
              </w:rPr>
              <w:t xml:space="preserve">STRICTLY CONFIDENTIAL</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Highest sensitivity. Unauthorised disclosure would cause severe harm to the organisation, its clients, or data subjects.</w:t>
            </w:r>
          </w:p>
        </w:tc>
      </w:tr>
      <w:tr>
        <w:tc>
          <w:tcPr>
            <w:tcW w:type="dxa" w:w="1800"/>
            <w:tcBorders>
              <w:top w:val="single" w:color="CCCCCC" w:sz="1"/>
              <w:left w:val="single" w:color="CCCCCC" w:sz="1"/>
              <w:bottom w:val="single" w:color="CCCCCC" w:sz="1"/>
              <w:right w:val="single" w:color="CCCCCC" w:sz="1"/>
            </w:tcBorders>
            <w:shd w:fill="FF6600"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TIER 2</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FF6600"/>
                <w:sz w:val="20"/>
                <w:szCs w:val="20"/>
              </w:rPr>
              <w:t xml:space="preserve">CONFIDENTIAL</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Sensitive business data. Unauthorised disclosure would cause significant harm to the organisation or its stakeholders.</w:t>
            </w:r>
          </w:p>
        </w:tc>
      </w:tr>
      <w:tr>
        <w:tc>
          <w:tcPr>
            <w:tcW w:type="dxa" w:w="1800"/>
            <w:tcBorders>
              <w:top w:val="single" w:color="CCCCCC" w:sz="1"/>
              <w:left w:val="single" w:color="CCCCCC" w:sz="1"/>
              <w:bottom w:val="single" w:color="CCCCCC" w:sz="1"/>
              <w:right w:val="single" w:color="CCCCCC" w:sz="1"/>
            </w:tcBorders>
            <w:shd w:fill="FFB300" w:val="clear"/>
            <w:tcMar>
              <w:top w:type="dxa" w:w="60"/>
              <w:left w:type="dxa" w:w="100"/>
              <w:bottom w:type="dxa" w:w="60"/>
              <w:right w:type="dxa" w:w="100"/>
            </w:tcMar>
          </w:tcPr>
          <w:p>
            <w:pPr>
              <w:jc w:val="center"/>
            </w:pPr>
            <w:r>
              <w:rPr>
                <w:rFonts w:ascii="Arial" w:cs="Arial" w:eastAsia="Arial" w:hAnsi="Arial"/>
                <w:b/>
                <w:bCs/>
                <w:color w:val="000000"/>
                <w:sz w:val="20"/>
                <w:szCs w:val="20"/>
              </w:rPr>
              <w:t xml:space="preserve">TIER 3</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FFB300"/>
                <w:sz w:val="20"/>
                <w:szCs w:val="20"/>
              </w:rPr>
              <w:t xml:space="preserve">INTERNAL</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General internal information. Not intended for public release but disclosure would cause limited harm.</w:t>
            </w:r>
          </w:p>
        </w:tc>
      </w:tr>
      <w:tr>
        <w:tc>
          <w:tcPr>
            <w:tcW w:type="dxa" w:w="1800"/>
            <w:tcBorders>
              <w:top w:val="single" w:color="CCCCCC" w:sz="1"/>
              <w:left w:val="single" w:color="CCCCCC" w:sz="1"/>
              <w:bottom w:val="single" w:color="CCCCCC" w:sz="1"/>
              <w:right w:val="single" w:color="CCCCCC" w:sz="1"/>
            </w:tcBorders>
            <w:shd w:fill="339966"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TIER 4</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9966"/>
                <w:sz w:val="20"/>
                <w:szCs w:val="20"/>
              </w:rPr>
              <w:t xml:space="preserve">PUBLIC</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Information approved for public release. No harm from disclosure.</w:t>
            </w:r>
          </w:p>
        </w:tc>
      </w:tr>
    </w:tbl>
    <w:p>
      <w:pPr>
        <w:spacing w:after="150"/>
      </w:pPr>
    </w:p>
    <w:p>
      <w:pPr>
        <w:pStyle w:val="Heading2"/>
      </w:pPr>
      <w:r>
        <w:t xml:space="preserve">3.2 Tier 1 — Strictly Confidential</w:t>
      </w:r>
    </w:p>
    <w:p>
      <w:pPr>
        <w:spacing w:after="120"/>
      </w:pPr>
      <w:r>
        <w:rPr>
          <w:rFonts w:ascii="Arial" w:cs="Arial" w:eastAsia="Arial" w:hAnsi="Arial"/>
          <w:sz w:val="20"/>
          <w:szCs w:val="20"/>
        </w:rPr>
        <w:t xml:space="preserve">Examples:</w:t>
      </w:r>
    </w:p>
    <w:p>
      <w:pPr>
        <w:pStyle w:val="ListParagraph"/>
        <w:numPr>
          <w:ilvl w:val="0"/>
          <w:numId w:val="2"/>
        </w:numPr>
        <w:spacing w:after="60"/>
      </w:pPr>
      <w:r>
        <w:rPr>
          <w:rFonts w:ascii="Arial" w:cs="Arial" w:eastAsia="Arial" w:hAnsi="Arial"/>
          <w:sz w:val="20"/>
          <w:szCs w:val="20"/>
        </w:rPr>
        <w:t xml:space="preserve">Special Personal Information as defined in POPIA (race, health, biometric data, criminal records, trade union membership)</w:t>
      </w:r>
    </w:p>
    <w:p>
      <w:pPr>
        <w:pStyle w:val="ListParagraph"/>
        <w:numPr>
          <w:ilvl w:val="0"/>
          <w:numId w:val="2"/>
        </w:numPr>
        <w:spacing w:after="60"/>
      </w:pPr>
      <w:r>
        <w:rPr>
          <w:rFonts w:ascii="Arial" w:cs="Arial" w:eastAsia="Arial" w:hAnsi="Arial"/>
          <w:sz w:val="20"/>
          <w:szCs w:val="20"/>
        </w:rPr>
        <w:t xml:space="preserve">Children’s Personal Information</w:t>
      </w:r>
    </w:p>
    <w:p>
      <w:pPr>
        <w:pStyle w:val="ListParagraph"/>
        <w:numPr>
          <w:ilvl w:val="0"/>
          <w:numId w:val="2"/>
        </w:numPr>
        <w:spacing w:after="60"/>
      </w:pPr>
      <w:r>
        <w:rPr>
          <w:rFonts w:ascii="Arial" w:cs="Arial" w:eastAsia="Arial" w:hAnsi="Arial"/>
          <w:sz w:val="20"/>
          <w:szCs w:val="20"/>
        </w:rPr>
        <w:t xml:space="preserve">Penetration test reports, vulnerability assessments, and security audit findings</w:t>
      </w:r>
    </w:p>
    <w:p>
      <w:pPr>
        <w:pStyle w:val="ListParagraph"/>
        <w:numPr>
          <w:ilvl w:val="0"/>
          <w:numId w:val="2"/>
        </w:numPr>
        <w:spacing w:after="60"/>
      </w:pPr>
      <w:r>
        <w:rPr>
          <w:rFonts w:ascii="Arial" w:cs="Arial" w:eastAsia="Arial" w:hAnsi="Arial"/>
          <w:sz w:val="20"/>
          <w:szCs w:val="20"/>
        </w:rPr>
        <w:t xml:space="preserve">Encryption keys, credentials, and authentication secrets</w:t>
      </w:r>
    </w:p>
    <w:p>
      <w:pPr>
        <w:pStyle w:val="ListParagraph"/>
        <w:numPr>
          <w:ilvl w:val="0"/>
          <w:numId w:val="2"/>
        </w:numPr>
        <w:spacing w:after="60"/>
      </w:pPr>
      <w:r>
        <w:rPr>
          <w:rFonts w:ascii="Arial" w:cs="Arial" w:eastAsia="Arial" w:hAnsi="Arial"/>
          <w:sz w:val="20"/>
          <w:szCs w:val="20"/>
        </w:rPr>
        <w:t xml:space="preserve">Incident response forensic data</w:t>
      </w:r>
    </w:p>
    <w:p>
      <w:pPr>
        <w:pStyle w:val="ListParagraph"/>
        <w:numPr>
          <w:ilvl w:val="0"/>
          <w:numId w:val="2"/>
        </w:numPr>
        <w:spacing w:after="60"/>
      </w:pPr>
      <w:r>
        <w:rPr>
          <w:rFonts w:ascii="Arial" w:cs="Arial" w:eastAsia="Arial" w:hAnsi="Arial"/>
          <w:sz w:val="20"/>
          <w:szCs w:val="20"/>
        </w:rPr>
        <w:t xml:space="preserve">Board-level strategic plans, M&amp;A documentation</w:t>
      </w:r>
    </w:p>
    <w:p>
      <w:pPr>
        <w:pStyle w:val="ListParagraph"/>
        <w:numPr>
          <w:ilvl w:val="0"/>
          <w:numId w:val="2"/>
        </w:numPr>
        <w:spacing w:after="60"/>
      </w:pPr>
      <w:r>
        <w:rPr>
          <w:rFonts w:ascii="Arial" w:cs="Arial" w:eastAsia="Arial" w:hAnsi="Arial"/>
          <w:sz w:val="20"/>
          <w:szCs w:val="20"/>
        </w:rPr>
        <w:t xml:space="preserve">Client network diagrams and security architecture</w:t>
      </w:r>
    </w:p>
    <w:p>
      <w:pPr>
        <w:spacing w:after="60"/>
      </w:pPr>
    </w:p>
    <w:p>
      <w:pPr>
        <w:spacing w:after="120"/>
      </w:pPr>
      <w:r>
        <w:rPr>
          <w:rFonts w:ascii="Arial" w:cs="Arial" w:eastAsia="Arial" w:hAnsi="Arial"/>
          <w:b/>
          <w:bCs/>
          <w:sz w:val="20"/>
          <w:szCs w:val="20"/>
        </w:rPr>
        <w:t xml:space="preserve">Required controls:</w:t>
      </w:r>
    </w:p>
    <w:p>
      <w:pPr>
        <w:pStyle w:val="ListParagraph"/>
        <w:numPr>
          <w:ilvl w:val="0"/>
          <w:numId w:val="2"/>
        </w:numPr>
        <w:spacing w:after="60"/>
      </w:pPr>
      <w:r>
        <w:rPr>
          <w:rFonts w:ascii="Arial" w:cs="Arial" w:eastAsia="Arial" w:hAnsi="Arial"/>
          <w:sz w:val="20"/>
          <w:szCs w:val="20"/>
        </w:rPr>
        <w:t xml:space="preserve">Encryption at rest (AES-256 or equivalent) and in transit (TLS 1.2+)</w:t>
      </w:r>
    </w:p>
    <w:p>
      <w:pPr>
        <w:pStyle w:val="ListParagraph"/>
        <w:numPr>
          <w:ilvl w:val="0"/>
          <w:numId w:val="2"/>
        </w:numPr>
        <w:spacing w:after="60"/>
      </w:pPr>
      <w:r>
        <w:rPr>
          <w:rFonts w:ascii="Arial" w:cs="Arial" w:eastAsia="Arial" w:hAnsi="Arial"/>
          <w:sz w:val="20"/>
          <w:szCs w:val="20"/>
        </w:rPr>
        <w:t xml:space="preserve">Access restricted to named individuals on a strict need-to-know basis</w:t>
      </w:r>
    </w:p>
    <w:p>
      <w:pPr>
        <w:pStyle w:val="ListParagraph"/>
        <w:numPr>
          <w:ilvl w:val="0"/>
          <w:numId w:val="2"/>
        </w:numPr>
        <w:spacing w:after="60"/>
      </w:pPr>
      <w:r>
        <w:rPr>
          <w:rFonts w:ascii="Arial" w:cs="Arial" w:eastAsia="Arial" w:hAnsi="Arial"/>
          <w:sz w:val="20"/>
          <w:szCs w:val="20"/>
        </w:rPr>
        <w:t xml:space="preserve">MFA required for all access</w:t>
      </w:r>
    </w:p>
    <w:p>
      <w:pPr>
        <w:pStyle w:val="ListParagraph"/>
        <w:numPr>
          <w:ilvl w:val="0"/>
          <w:numId w:val="2"/>
        </w:numPr>
        <w:spacing w:after="60"/>
      </w:pPr>
      <w:r>
        <w:rPr>
          <w:rFonts w:ascii="Arial" w:cs="Arial" w:eastAsia="Arial" w:hAnsi="Arial"/>
          <w:sz w:val="20"/>
          <w:szCs w:val="20"/>
        </w:rPr>
        <w:t xml:space="preserve">Logging and monitoring of all access events</w:t>
      </w:r>
    </w:p>
    <w:p>
      <w:pPr>
        <w:pStyle w:val="ListParagraph"/>
        <w:numPr>
          <w:ilvl w:val="0"/>
          <w:numId w:val="2"/>
        </w:numPr>
        <w:spacing w:after="60"/>
      </w:pPr>
      <w:r>
        <w:rPr>
          <w:rFonts w:ascii="Arial" w:cs="Arial" w:eastAsia="Arial" w:hAnsi="Arial"/>
          <w:sz w:val="20"/>
          <w:szCs w:val="20"/>
        </w:rPr>
        <w:t xml:space="preserve">Physical copies stored in locked safes; digital copies in approved encrypted storage only</w:t>
      </w:r>
    </w:p>
    <w:p>
      <w:pPr>
        <w:pStyle w:val="ListParagraph"/>
        <w:numPr>
          <w:ilvl w:val="0"/>
          <w:numId w:val="2"/>
        </w:numPr>
        <w:spacing w:after="60"/>
      </w:pPr>
      <w:r>
        <w:rPr>
          <w:rFonts w:ascii="Arial" w:cs="Arial" w:eastAsia="Arial" w:hAnsi="Arial"/>
          <w:sz w:val="20"/>
          <w:szCs w:val="20"/>
        </w:rPr>
        <w:t xml:space="preserve">No storage on personal devices or unapproved cloud services</w:t>
      </w:r>
    </w:p>
    <w:p>
      <w:pPr>
        <w:pStyle w:val="ListParagraph"/>
        <w:numPr>
          <w:ilvl w:val="0"/>
          <w:numId w:val="2"/>
        </w:numPr>
        <w:spacing w:after="60"/>
      </w:pPr>
      <w:r>
        <w:rPr>
          <w:rFonts w:ascii="Arial" w:cs="Arial" w:eastAsia="Arial" w:hAnsi="Arial"/>
          <w:sz w:val="20"/>
          <w:szCs w:val="20"/>
        </w:rPr>
        <w:t xml:space="preserve">Secure destruction when no longer required (cryptographic erasure or physical destruction)</w:t>
      </w:r>
    </w:p>
    <w:p>
      <w:pPr>
        <w:spacing w:after="100"/>
      </w:pPr>
    </w:p>
    <w:p>
      <w:pPr>
        <w:pStyle w:val="Heading2"/>
      </w:pPr>
      <w:r>
        <w:t xml:space="preserve">3.3 Tier 2 — Confidential</w:t>
      </w:r>
    </w:p>
    <w:p>
      <w:pPr>
        <w:spacing w:after="120"/>
      </w:pPr>
      <w:r>
        <w:rPr>
          <w:rFonts w:ascii="Arial" w:cs="Arial" w:eastAsia="Arial" w:hAnsi="Arial"/>
          <w:sz w:val="20"/>
          <w:szCs w:val="20"/>
        </w:rPr>
        <w:t xml:space="preserve">Examples:</w:t>
      </w:r>
    </w:p>
    <w:p>
      <w:pPr>
        <w:pStyle w:val="ListParagraph"/>
        <w:numPr>
          <w:ilvl w:val="0"/>
          <w:numId w:val="2"/>
        </w:numPr>
        <w:spacing w:after="60"/>
      </w:pPr>
      <w:r>
        <w:rPr>
          <w:rFonts w:ascii="Arial" w:cs="Arial" w:eastAsia="Arial" w:hAnsi="Arial"/>
          <w:sz w:val="20"/>
          <w:szCs w:val="20"/>
        </w:rPr>
        <w:t xml:space="preserve">Personal Information as defined in POPIA (names, ID numbers, contact details, financial records)</w:t>
      </w:r>
    </w:p>
    <w:p>
      <w:pPr>
        <w:pStyle w:val="ListParagraph"/>
        <w:numPr>
          <w:ilvl w:val="0"/>
          <w:numId w:val="2"/>
        </w:numPr>
        <w:spacing w:after="60"/>
      </w:pPr>
      <w:r>
        <w:rPr>
          <w:rFonts w:ascii="Arial" w:cs="Arial" w:eastAsia="Arial" w:hAnsi="Arial"/>
          <w:sz w:val="20"/>
          <w:szCs w:val="20"/>
        </w:rPr>
        <w:t xml:space="preserve">Employee HR records and payroll data</w:t>
      </w:r>
    </w:p>
    <w:p>
      <w:pPr>
        <w:pStyle w:val="ListParagraph"/>
        <w:numPr>
          <w:ilvl w:val="0"/>
          <w:numId w:val="2"/>
        </w:numPr>
        <w:spacing w:after="60"/>
      </w:pPr>
      <w:r>
        <w:rPr>
          <w:rFonts w:ascii="Arial" w:cs="Arial" w:eastAsia="Arial" w:hAnsi="Arial"/>
          <w:sz w:val="20"/>
          <w:szCs w:val="20"/>
        </w:rPr>
        <w:t xml:space="preserve">Client contracts, proposals, and commercial terms</w:t>
      </w:r>
    </w:p>
    <w:p>
      <w:pPr>
        <w:pStyle w:val="ListParagraph"/>
        <w:numPr>
          <w:ilvl w:val="0"/>
          <w:numId w:val="2"/>
        </w:numPr>
        <w:spacing w:after="60"/>
      </w:pPr>
      <w:r>
        <w:rPr>
          <w:rFonts w:ascii="Arial" w:cs="Arial" w:eastAsia="Arial" w:hAnsi="Arial"/>
          <w:sz w:val="20"/>
          <w:szCs w:val="20"/>
        </w:rPr>
        <w:t xml:space="preserve">Financial reports and forecasts</w:t>
      </w:r>
    </w:p>
    <w:p>
      <w:pPr>
        <w:pStyle w:val="ListParagraph"/>
        <w:numPr>
          <w:ilvl w:val="0"/>
          <w:numId w:val="2"/>
        </w:numPr>
        <w:spacing w:after="60"/>
      </w:pPr>
      <w:r>
        <w:rPr>
          <w:rFonts w:ascii="Arial" w:cs="Arial" w:eastAsia="Arial" w:hAnsi="Arial"/>
          <w:sz w:val="20"/>
          <w:szCs w:val="20"/>
        </w:rPr>
        <w:t xml:space="preserve">Internal security policies and procedures</w:t>
      </w:r>
    </w:p>
    <w:p>
      <w:pPr>
        <w:pStyle w:val="ListParagraph"/>
        <w:numPr>
          <w:ilvl w:val="0"/>
          <w:numId w:val="2"/>
        </w:numPr>
        <w:spacing w:after="60"/>
      </w:pPr>
      <w:r>
        <w:rPr>
          <w:rFonts w:ascii="Arial" w:cs="Arial" w:eastAsia="Arial" w:hAnsi="Arial"/>
          <w:sz w:val="20"/>
          <w:szCs w:val="20"/>
        </w:rPr>
        <w:t xml:space="preserve">Intellectual property and proprietary methodologies</w:t>
      </w:r>
    </w:p>
    <w:p>
      <w:pPr>
        <w:spacing w:after="60"/>
      </w:pPr>
    </w:p>
    <w:p>
      <w:pPr>
        <w:spacing w:after="120"/>
      </w:pPr>
      <w:r>
        <w:rPr>
          <w:rFonts w:ascii="Arial" w:cs="Arial" w:eastAsia="Arial" w:hAnsi="Arial"/>
          <w:b/>
          <w:bCs/>
          <w:sz w:val="20"/>
          <w:szCs w:val="20"/>
        </w:rPr>
        <w:t xml:space="preserve">Required controls:</w:t>
      </w:r>
    </w:p>
    <w:p>
      <w:pPr>
        <w:pStyle w:val="ListParagraph"/>
        <w:numPr>
          <w:ilvl w:val="0"/>
          <w:numId w:val="2"/>
        </w:numPr>
        <w:spacing w:after="60"/>
      </w:pPr>
      <w:r>
        <w:rPr>
          <w:rFonts w:ascii="Arial" w:cs="Arial" w:eastAsia="Arial" w:hAnsi="Arial"/>
          <w:sz w:val="20"/>
          <w:szCs w:val="20"/>
        </w:rPr>
        <w:t xml:space="preserve">Encryption at rest and in transit</w:t>
      </w:r>
    </w:p>
    <w:p>
      <w:pPr>
        <w:pStyle w:val="ListParagraph"/>
        <w:numPr>
          <w:ilvl w:val="0"/>
          <w:numId w:val="2"/>
        </w:numPr>
        <w:spacing w:after="60"/>
      </w:pPr>
      <w:r>
        <w:rPr>
          <w:rFonts w:ascii="Arial" w:cs="Arial" w:eastAsia="Arial" w:hAnsi="Arial"/>
          <w:sz w:val="20"/>
          <w:szCs w:val="20"/>
        </w:rPr>
        <w:t xml:space="preserve">Access restricted by role-based access control (RBAC)</w:t>
      </w:r>
    </w:p>
    <w:p>
      <w:pPr>
        <w:pStyle w:val="ListParagraph"/>
        <w:numPr>
          <w:ilvl w:val="0"/>
          <w:numId w:val="2"/>
        </w:numPr>
        <w:spacing w:after="60"/>
      </w:pPr>
      <w:r>
        <w:rPr>
          <w:rFonts w:ascii="Arial" w:cs="Arial" w:eastAsia="Arial" w:hAnsi="Arial"/>
          <w:sz w:val="20"/>
          <w:szCs w:val="20"/>
        </w:rPr>
        <w:t xml:space="preserve">MFA required for remote access</w:t>
      </w:r>
    </w:p>
    <w:p>
      <w:pPr>
        <w:pStyle w:val="ListParagraph"/>
        <w:numPr>
          <w:ilvl w:val="0"/>
          <w:numId w:val="2"/>
        </w:numPr>
        <w:spacing w:after="60"/>
      </w:pPr>
      <w:r>
        <w:rPr>
          <w:rFonts w:ascii="Arial" w:cs="Arial" w:eastAsia="Arial" w:hAnsi="Arial"/>
          <w:sz w:val="20"/>
          <w:szCs w:val="20"/>
        </w:rPr>
        <w:t xml:space="preserve">Access logging enabled</w:t>
      </w:r>
    </w:p>
    <w:p>
      <w:pPr>
        <w:pStyle w:val="ListParagraph"/>
        <w:numPr>
          <w:ilvl w:val="0"/>
          <w:numId w:val="2"/>
        </w:numPr>
        <w:spacing w:after="60"/>
      </w:pPr>
      <w:r>
        <w:rPr>
          <w:rFonts w:ascii="Arial" w:cs="Arial" w:eastAsia="Arial" w:hAnsi="Arial"/>
          <w:sz w:val="20"/>
          <w:szCs w:val="20"/>
        </w:rPr>
        <w:t xml:space="preserve">Sharing with external parties only under NDA and with approval from data owner</w:t>
      </w:r>
    </w:p>
    <w:p>
      <w:pPr>
        <w:pStyle w:val="ListParagraph"/>
        <w:numPr>
          <w:ilvl w:val="0"/>
          <w:numId w:val="2"/>
        </w:numPr>
        <w:spacing w:after="60"/>
      </w:pPr>
      <w:r>
        <w:rPr>
          <w:rFonts w:ascii="Arial" w:cs="Arial" w:eastAsia="Arial" w:hAnsi="Arial"/>
          <w:sz w:val="20"/>
          <w:szCs w:val="20"/>
        </w:rPr>
        <w:t xml:space="preserve">Secure disposal in accordance with retention schedule</w:t>
      </w:r>
    </w:p>
    <w:p>
      <w:pPr>
        <w:spacing w:after="100"/>
      </w:pPr>
    </w:p>
    <w:p>
      <w:pPr>
        <w:pStyle w:val="Heading2"/>
      </w:pPr>
      <w:r>
        <w:t xml:space="preserve">3.4 Tier 3 — Internal</w:t>
      </w:r>
    </w:p>
    <w:p>
      <w:pPr>
        <w:spacing w:after="120"/>
      </w:pPr>
      <w:r>
        <w:rPr>
          <w:rFonts w:ascii="Arial" w:cs="Arial" w:eastAsia="Arial" w:hAnsi="Arial"/>
          <w:sz w:val="20"/>
          <w:szCs w:val="20"/>
        </w:rPr>
        <w:t xml:space="preserve">Examples:</w:t>
      </w:r>
    </w:p>
    <w:p>
      <w:pPr>
        <w:pStyle w:val="ListParagraph"/>
        <w:numPr>
          <w:ilvl w:val="0"/>
          <w:numId w:val="2"/>
        </w:numPr>
        <w:spacing w:after="60"/>
      </w:pPr>
      <w:r>
        <w:rPr>
          <w:rFonts w:ascii="Arial" w:cs="Arial" w:eastAsia="Arial" w:hAnsi="Arial"/>
          <w:sz w:val="20"/>
          <w:szCs w:val="20"/>
        </w:rPr>
        <w:t xml:space="preserve">Internal communications and meeting notes</w:t>
      </w:r>
    </w:p>
    <w:p>
      <w:pPr>
        <w:pStyle w:val="ListParagraph"/>
        <w:numPr>
          <w:ilvl w:val="0"/>
          <w:numId w:val="2"/>
        </w:numPr>
        <w:spacing w:after="60"/>
      </w:pPr>
      <w:r>
        <w:rPr>
          <w:rFonts w:ascii="Arial" w:cs="Arial" w:eastAsia="Arial" w:hAnsi="Arial"/>
          <w:sz w:val="20"/>
          <w:szCs w:val="20"/>
        </w:rPr>
        <w:t xml:space="preserve">Organisational policies and procedures (non-security)</w:t>
      </w:r>
    </w:p>
    <w:p>
      <w:pPr>
        <w:pStyle w:val="ListParagraph"/>
        <w:numPr>
          <w:ilvl w:val="0"/>
          <w:numId w:val="2"/>
        </w:numPr>
        <w:spacing w:after="60"/>
      </w:pPr>
      <w:r>
        <w:rPr>
          <w:rFonts w:ascii="Arial" w:cs="Arial" w:eastAsia="Arial" w:hAnsi="Arial"/>
          <w:sz w:val="20"/>
          <w:szCs w:val="20"/>
        </w:rPr>
        <w:t xml:space="preserve">Training materials</w:t>
      </w:r>
    </w:p>
    <w:p>
      <w:pPr>
        <w:pStyle w:val="ListParagraph"/>
        <w:numPr>
          <w:ilvl w:val="0"/>
          <w:numId w:val="2"/>
        </w:numPr>
        <w:spacing w:after="60"/>
      </w:pPr>
      <w:r>
        <w:rPr>
          <w:rFonts w:ascii="Arial" w:cs="Arial" w:eastAsia="Arial" w:hAnsi="Arial"/>
          <w:sz w:val="20"/>
          <w:szCs w:val="20"/>
        </w:rPr>
        <w:t xml:space="preserve">Internal project documentation</w:t>
      </w:r>
    </w:p>
    <w:p>
      <w:pPr>
        <w:pStyle w:val="ListParagraph"/>
        <w:numPr>
          <w:ilvl w:val="0"/>
          <w:numId w:val="2"/>
        </w:numPr>
        <w:spacing w:after="60"/>
      </w:pPr>
      <w:r>
        <w:rPr>
          <w:rFonts w:ascii="Arial" w:cs="Arial" w:eastAsia="Arial" w:hAnsi="Arial"/>
          <w:sz w:val="20"/>
          <w:szCs w:val="20"/>
        </w:rPr>
        <w:t xml:space="preserve">Office directories and org charts</w:t>
      </w:r>
    </w:p>
    <w:p>
      <w:pPr>
        <w:spacing w:after="60"/>
      </w:pPr>
    </w:p>
    <w:p>
      <w:pPr>
        <w:spacing w:after="120"/>
      </w:pPr>
      <w:r>
        <w:rPr>
          <w:rFonts w:ascii="Arial" w:cs="Arial" w:eastAsia="Arial" w:hAnsi="Arial"/>
          <w:b/>
          <w:bCs/>
          <w:sz w:val="20"/>
          <w:szCs w:val="20"/>
        </w:rPr>
        <w:t xml:space="preserve">Required controls:</w:t>
      </w:r>
    </w:p>
    <w:p>
      <w:pPr>
        <w:pStyle w:val="ListParagraph"/>
        <w:numPr>
          <w:ilvl w:val="0"/>
          <w:numId w:val="2"/>
        </w:numPr>
        <w:spacing w:after="60"/>
      </w:pPr>
      <w:r>
        <w:rPr>
          <w:rFonts w:ascii="Arial" w:cs="Arial" w:eastAsia="Arial" w:hAnsi="Arial"/>
          <w:sz w:val="20"/>
          <w:szCs w:val="20"/>
        </w:rPr>
        <w:t xml:space="preserve">Access restricted to employees and authorised contractors</w:t>
      </w:r>
    </w:p>
    <w:p>
      <w:pPr>
        <w:pStyle w:val="ListParagraph"/>
        <w:numPr>
          <w:ilvl w:val="0"/>
          <w:numId w:val="2"/>
        </w:numPr>
        <w:spacing w:after="60"/>
      </w:pPr>
      <w:r>
        <w:rPr>
          <w:rFonts w:ascii="Arial" w:cs="Arial" w:eastAsia="Arial" w:hAnsi="Arial"/>
          <w:sz w:val="20"/>
          <w:szCs w:val="20"/>
        </w:rPr>
        <w:t xml:space="preserve">Standard authentication controls</w:t>
      </w:r>
    </w:p>
    <w:p>
      <w:pPr>
        <w:pStyle w:val="ListParagraph"/>
        <w:numPr>
          <w:ilvl w:val="0"/>
          <w:numId w:val="2"/>
        </w:numPr>
        <w:spacing w:after="60"/>
      </w:pPr>
      <w:r>
        <w:rPr>
          <w:rFonts w:ascii="Arial" w:cs="Arial" w:eastAsia="Arial" w:hAnsi="Arial"/>
          <w:sz w:val="20"/>
          <w:szCs w:val="20"/>
        </w:rPr>
        <w:t xml:space="preserve">No special encryption requirements beyond standard transport encryption</w:t>
      </w:r>
    </w:p>
    <w:p>
      <w:pPr>
        <w:pStyle w:val="ListParagraph"/>
        <w:numPr>
          <w:ilvl w:val="0"/>
          <w:numId w:val="2"/>
        </w:numPr>
        <w:spacing w:after="60"/>
      </w:pPr>
      <w:r>
        <w:rPr>
          <w:rFonts w:ascii="Arial" w:cs="Arial" w:eastAsia="Arial" w:hAnsi="Arial"/>
          <w:sz w:val="20"/>
          <w:szCs w:val="20"/>
        </w:rPr>
        <w:t xml:space="preserve">May be shared internally without additional approval</w:t>
      </w:r>
    </w:p>
    <w:p>
      <w:pPr>
        <w:spacing w:after="100"/>
      </w:pPr>
    </w:p>
    <w:p>
      <w:pPr>
        <w:pStyle w:val="Heading2"/>
      </w:pPr>
      <w:r>
        <w:t xml:space="preserve">3.5 Tier 4 — Public</w:t>
      </w:r>
    </w:p>
    <w:p>
      <w:pPr>
        <w:spacing w:after="120"/>
      </w:pPr>
      <w:r>
        <w:rPr>
          <w:rFonts w:ascii="Arial" w:cs="Arial" w:eastAsia="Arial" w:hAnsi="Arial"/>
          <w:sz w:val="20"/>
          <w:szCs w:val="20"/>
        </w:rPr>
        <w:t xml:space="preserve">Examples:</w:t>
      </w:r>
    </w:p>
    <w:p>
      <w:pPr>
        <w:pStyle w:val="ListParagraph"/>
        <w:numPr>
          <w:ilvl w:val="0"/>
          <w:numId w:val="2"/>
        </w:numPr>
        <w:spacing w:after="60"/>
      </w:pPr>
      <w:r>
        <w:rPr>
          <w:rFonts w:ascii="Arial" w:cs="Arial" w:eastAsia="Arial" w:hAnsi="Arial"/>
          <w:sz w:val="20"/>
          <w:szCs w:val="20"/>
        </w:rPr>
        <w:t xml:space="preserve">Published marketing materials</w:t>
      </w:r>
    </w:p>
    <w:p>
      <w:pPr>
        <w:pStyle w:val="ListParagraph"/>
        <w:numPr>
          <w:ilvl w:val="0"/>
          <w:numId w:val="2"/>
        </w:numPr>
        <w:spacing w:after="60"/>
      </w:pPr>
      <w:r>
        <w:rPr>
          <w:rFonts w:ascii="Arial" w:cs="Arial" w:eastAsia="Arial" w:hAnsi="Arial"/>
          <w:sz w:val="20"/>
          <w:szCs w:val="20"/>
        </w:rPr>
        <w:t xml:space="preserve">Public-facing website content</w:t>
      </w:r>
    </w:p>
    <w:p>
      <w:pPr>
        <w:pStyle w:val="ListParagraph"/>
        <w:numPr>
          <w:ilvl w:val="0"/>
          <w:numId w:val="2"/>
        </w:numPr>
        <w:spacing w:after="60"/>
      </w:pPr>
      <w:r>
        <w:rPr>
          <w:rFonts w:ascii="Arial" w:cs="Arial" w:eastAsia="Arial" w:hAnsi="Arial"/>
          <w:sz w:val="20"/>
          <w:szCs w:val="20"/>
        </w:rPr>
        <w:t xml:space="preserve">Press releases</w:t>
      </w:r>
    </w:p>
    <w:p>
      <w:pPr>
        <w:pStyle w:val="ListParagraph"/>
        <w:numPr>
          <w:ilvl w:val="0"/>
          <w:numId w:val="2"/>
        </w:numPr>
        <w:spacing w:after="60"/>
      </w:pPr>
      <w:r>
        <w:rPr>
          <w:rFonts w:ascii="Arial" w:cs="Arial" w:eastAsia="Arial" w:hAnsi="Arial"/>
          <w:sz w:val="20"/>
          <w:szCs w:val="20"/>
        </w:rPr>
        <w:t xml:space="preserve">Published job advertisements</w:t>
      </w:r>
    </w:p>
    <w:p>
      <w:pPr>
        <w:spacing w:after="60"/>
      </w:pPr>
    </w:p>
    <w:p>
      <w:pPr>
        <w:spacing w:after="120"/>
      </w:pPr>
      <w:r>
        <w:rPr>
          <w:rFonts w:ascii="Arial" w:cs="Arial" w:eastAsia="Arial" w:hAnsi="Arial"/>
          <w:b/>
          <w:bCs/>
          <w:sz w:val="20"/>
          <w:szCs w:val="20"/>
        </w:rPr>
        <w:t xml:space="preserve">Required controls:</w:t>
      </w:r>
    </w:p>
    <w:p>
      <w:pPr>
        <w:pStyle w:val="ListParagraph"/>
        <w:numPr>
          <w:ilvl w:val="0"/>
          <w:numId w:val="2"/>
        </w:numPr>
        <w:spacing w:after="60"/>
      </w:pPr>
      <w:r>
        <w:rPr>
          <w:rFonts w:ascii="Arial" w:cs="Arial" w:eastAsia="Arial" w:hAnsi="Arial"/>
          <w:sz w:val="20"/>
          <w:szCs w:val="20"/>
        </w:rPr>
        <w:t xml:space="preserve">No access restrictions required</w:t>
      </w:r>
    </w:p>
    <w:p>
      <w:pPr>
        <w:pStyle w:val="ListParagraph"/>
        <w:numPr>
          <w:ilvl w:val="0"/>
          <w:numId w:val="2"/>
        </w:numPr>
        <w:spacing w:after="60"/>
      </w:pPr>
      <w:r>
        <w:rPr>
          <w:rFonts w:ascii="Arial" w:cs="Arial" w:eastAsia="Arial" w:hAnsi="Arial"/>
          <w:sz w:val="20"/>
          <w:szCs w:val="20"/>
        </w:rPr>
        <w:t xml:space="preserve">Must be approved by the relevant department head before publication</w:t>
      </w:r>
    </w:p>
    <w:p>
      <w:pPr>
        <w:pStyle w:val="ListParagraph"/>
        <w:numPr>
          <w:ilvl w:val="0"/>
          <w:numId w:val="2"/>
        </w:numPr>
        <w:spacing w:after="60"/>
      </w:pPr>
      <w:r>
        <w:rPr>
          <w:rFonts w:ascii="Arial" w:cs="Arial" w:eastAsia="Arial" w:hAnsi="Arial"/>
          <w:sz w:val="20"/>
          <w:szCs w:val="20"/>
        </w:rPr>
        <w:t xml:space="preserve">Version control to ensure accuracy of published information</w:t>
      </w:r>
    </w:p>
    <w:p>
      <w:pPr>
        <w:spacing w:after="100"/>
      </w:pPr>
    </w:p>
    <w:p>
      <w:pPr>
        <w:pStyle w:val="Heading1"/>
      </w:pPr>
      <w:r>
        <w:t xml:space="preserve">4. Classification Responsibilities</w:t>
      </w:r>
    </w:p>
    <w:p>
      <w:pPr>
        <w:pStyle w:val="Heading2"/>
      </w:pPr>
      <w:r>
        <w:t xml:space="preserve">4.1 Data Owners</w:t>
      </w:r>
    </w:p>
    <w:p>
      <w:pPr>
        <w:spacing w:after="120"/>
      </w:pPr>
      <w:r>
        <w:rPr>
          <w:rFonts w:ascii="Arial" w:cs="Arial" w:eastAsia="Arial" w:hAnsi="Arial"/>
          <w:sz w:val="20"/>
          <w:szCs w:val="20"/>
        </w:rPr>
        <w:t xml:space="preserve">Every dataset must have an assigned Data Owner who is responsible for classifying the data, approving access requests, and reviewing the classification periodically. Data Owners are typically department heads or managers.</w:t>
      </w:r>
    </w:p>
    <w:p>
      <w:pPr>
        <w:pStyle w:val="Heading2"/>
      </w:pPr>
      <w:r>
        <w:t xml:space="preserve">4.2 Data Custodians</w:t>
      </w:r>
    </w:p>
    <w:p>
      <w:pPr>
        <w:spacing w:after="120"/>
      </w:pPr>
      <w:r>
        <w:rPr>
          <w:rFonts w:ascii="Arial" w:cs="Arial" w:eastAsia="Arial" w:hAnsi="Arial"/>
          <w:sz w:val="20"/>
          <w:szCs w:val="20"/>
        </w:rPr>
        <w:t xml:space="preserve">IT and system administrators act as Data Custodians, responsible for implementing and maintaining the technical controls appropriate to the data’s classification tier.</w:t>
      </w:r>
    </w:p>
    <w:p>
      <w:pPr>
        <w:pStyle w:val="Heading2"/>
      </w:pPr>
      <w:r>
        <w:t xml:space="preserve">4.3 All Users</w:t>
      </w:r>
    </w:p>
    <w:p>
      <w:pPr>
        <w:spacing w:after="120"/>
      </w:pPr>
      <w:r>
        <w:rPr>
          <w:rFonts w:ascii="Arial" w:cs="Arial" w:eastAsia="Arial" w:hAnsi="Arial"/>
          <w:sz w:val="20"/>
          <w:szCs w:val="20"/>
        </w:rPr>
        <w:t xml:space="preserve">All users are responsible for handling data in accordance with its classification tier and for reporting any suspected misclassification or data handling breach.</w:t>
      </w:r>
    </w:p>
    <w:p>
      <w:pPr>
        <w:spacing w:after="100"/>
      </w:pPr>
    </w:p>
    <w:p>
      <w:pPr>
        <w:pStyle w:val="Heading1"/>
      </w:pPr>
      <w:r>
        <w:t xml:space="preserve">5. Labelling and Marking</w:t>
      </w:r>
    </w:p>
    <w:p>
      <w:pPr>
        <w:spacing w:after="120"/>
      </w:pPr>
      <w:r>
        <w:rPr>
          <w:rFonts w:ascii="Arial" w:cs="Arial" w:eastAsia="Arial" w:hAnsi="Arial"/>
          <w:sz w:val="20"/>
          <w:szCs w:val="20"/>
        </w:rPr>
        <w:t xml:space="preserve">5.1  All documents (electronic and physical) should be marked with their classification tier in the header or footer.</w:t>
      </w:r>
    </w:p>
    <w:p>
      <w:pPr>
        <w:spacing w:after="120"/>
      </w:pPr>
      <w:r>
        <w:rPr>
          <w:rFonts w:ascii="Arial" w:cs="Arial" w:eastAsia="Arial" w:hAnsi="Arial"/>
          <w:sz w:val="20"/>
          <w:szCs w:val="20"/>
        </w:rPr>
        <w:t xml:space="preserve">5.2  Email subject lines for Tier 1 and Tier 2 data should include the classification label in square brackets, e.g., [STRICTLY CONFIDENTIAL] or [CONFIDENTIAL].</w:t>
      </w:r>
    </w:p>
    <w:p>
      <w:pPr>
        <w:spacing w:after="120"/>
      </w:pPr>
      <w:r>
        <w:rPr>
          <w:rFonts w:ascii="Arial" w:cs="Arial" w:eastAsia="Arial" w:hAnsi="Arial"/>
          <w:sz w:val="20"/>
          <w:szCs w:val="20"/>
        </w:rPr>
        <w:t xml:space="preserve">5.3  Classification labels should be applied at the time of creation and updated if the sensitivity changes.</w:t>
      </w:r>
    </w:p>
    <w:p>
      <w:pPr>
        <w:spacing w:after="100"/>
      </w:pPr>
    </w:p>
    <w:p>
      <w:pPr>
        <w:pStyle w:val="Heading1"/>
      </w:pPr>
      <w:r>
        <w:t xml:space="preserve">6. Data Handling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6"/>
        <w:gridCol w:w="1806"/>
        <w:gridCol w:w="1807"/>
        <w:gridCol w:w="1807"/>
      </w:tblGrid>
      <w:tr>
        <w:tc>
          <w:tcPr>
            <w:tcW w:type="dxa" w:w="1800"/>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Control</w:t>
            </w:r>
          </w:p>
        </w:tc>
        <w:tc>
          <w:tcPr>
            <w:tcW w:type="dxa" w:w="1806"/>
            <w:tcBorders>
              <w:top w:val="single" w:color="CCCCCC" w:sz="1"/>
              <w:left w:val="single" w:color="CCCCCC" w:sz="1"/>
              <w:bottom w:val="single" w:color="CCCCCC" w:sz="1"/>
              <w:right w:val="single" w:color="CCCCCC" w:sz="1"/>
            </w:tcBorders>
            <w:shd w:fill="CC00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Tier 1</w:t>
            </w:r>
          </w:p>
        </w:tc>
        <w:tc>
          <w:tcPr>
            <w:tcW w:type="dxa" w:w="1806"/>
            <w:tcBorders>
              <w:top w:val="single" w:color="CCCCCC" w:sz="1"/>
              <w:left w:val="single" w:color="CCCCCC" w:sz="1"/>
              <w:bottom w:val="single" w:color="CCCCCC" w:sz="1"/>
              <w:right w:val="single" w:color="CCCCCC" w:sz="1"/>
            </w:tcBorders>
            <w:shd w:fill="FF6600"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Tier 2</w:t>
            </w:r>
          </w:p>
        </w:tc>
        <w:tc>
          <w:tcPr>
            <w:tcW w:type="dxa" w:w="1807"/>
            <w:tcBorders>
              <w:top w:val="single" w:color="CCCCCC" w:sz="1"/>
              <w:left w:val="single" w:color="CCCCCC" w:sz="1"/>
              <w:bottom w:val="single" w:color="CCCCCC" w:sz="1"/>
              <w:right w:val="single" w:color="CCCCCC" w:sz="1"/>
            </w:tcBorders>
            <w:shd w:fill="FFB30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Tier 3</w:t>
            </w:r>
          </w:p>
        </w:tc>
        <w:tc>
          <w:tcPr>
            <w:tcW w:type="dxa" w:w="1807"/>
            <w:tcBorders>
              <w:top w:val="single" w:color="CCCCCC" w:sz="1"/>
              <w:left w:val="single" w:color="CCCCCC" w:sz="1"/>
              <w:bottom w:val="single" w:color="CCCCCC" w:sz="1"/>
              <w:right w:val="single" w:color="CCCCCC" w:sz="1"/>
            </w:tcBorders>
            <w:shd w:fill="339966"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Tier 4</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Encryption at Rest</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Required</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Required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Recommended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Not Required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Encryption in Transit</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Required</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Required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Required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Recommended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MFA for Access</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Required</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Remote: Required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Standard auth</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N/A</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Access Logging</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Full audit trail</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Enabled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Standard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N/A</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Sharing (Internal)</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Named individuals</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Role-based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Open internal</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Open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Sharing (External)</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Written approval + NDA + encryption</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NDA + approval</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Approval required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Permitted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Storage (Cloud)</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Approved encrypted only</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Approved services</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Approved services</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Any</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Storage (Removable)</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Prohibited</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Encrypted only</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Permitted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Permitted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Printing</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Controlled printing</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Standard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Standard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Standard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Disposal</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Crypto erasure / physical destruction</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Secure delete / shred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Standard delete / shred</w:t>
            </w:r>
          </w:p>
        </w:tc>
        <w:tc>
          <w:tcPr>
            <w:tcW w:type="dxa" w:w="1807"/>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Standard</w:t>
            </w:r>
          </w:p>
        </w:tc>
      </w:tr>
    </w:tbl>
    <w:p>
      <w:pPr>
        <w:spacing w:after="100"/>
      </w:pPr>
    </w:p>
    <w:p>
      <w:pPr>
        <w:pStyle w:val="Heading1"/>
      </w:pPr>
      <w:r>
        <w:t xml:space="preserve">7. POPIA Considerations</w:t>
      </w:r>
    </w:p>
    <w:p>
      <w:pPr>
        <w:spacing w:after="120"/>
      </w:pPr>
      <w:r>
        <w:rPr>
          <w:rFonts w:ascii="Arial" w:cs="Arial" w:eastAsia="Arial" w:hAnsi="Arial"/>
          <w:sz w:val="20"/>
          <w:szCs w:val="20"/>
        </w:rPr>
        <w:t xml:space="preserve">7.1  All Personal Information as defined in Section 1 of POPIA must be classified as at least Tier 2 (Confidential).</w:t>
      </w:r>
    </w:p>
    <w:p>
      <w:pPr>
        <w:spacing w:after="120"/>
      </w:pPr>
      <w:r>
        <w:rPr>
          <w:rFonts w:ascii="Arial" w:cs="Arial" w:eastAsia="Arial" w:hAnsi="Arial"/>
          <w:sz w:val="20"/>
          <w:szCs w:val="20"/>
        </w:rPr>
        <w:t xml:space="preserve">7.2  All Special Personal Information as defined in Section 26 of POPIA must be classified as Tier 1 (Strictly Confidential).</w:t>
      </w:r>
    </w:p>
    <w:p>
      <w:pPr>
        <w:spacing w:after="120"/>
      </w:pPr>
      <w:r>
        <w:rPr>
          <w:rFonts w:ascii="Arial" w:cs="Arial" w:eastAsia="Arial" w:hAnsi="Arial"/>
          <w:sz w:val="20"/>
          <w:szCs w:val="20"/>
        </w:rPr>
        <w:t xml:space="preserve">7.3  Data Owners must ensure that the processing of Personal Information under their control complies with the 8 conditions for lawful processing in POPIA.</w:t>
      </w:r>
    </w:p>
    <w:p>
      <w:pPr>
        <w:spacing w:after="120"/>
      </w:pPr>
      <w:r>
        <w:rPr>
          <w:rFonts w:ascii="Arial" w:cs="Arial" w:eastAsia="Arial" w:hAnsi="Arial"/>
          <w:sz w:val="20"/>
          <w:szCs w:val="20"/>
        </w:rPr>
        <w:t xml:space="preserve">7.4  Cross-border transfer of any data classified as Tier 1 or Tier 2 must comply with Section 72 of POPIA.</w:t>
      </w:r>
    </w:p>
    <w:p>
      <w:pPr>
        <w:spacing w:after="100"/>
      </w:pPr>
    </w:p>
    <w:p>
      <w:pPr>
        <w:pStyle w:val="Heading1"/>
      </w:pPr>
      <w:r>
        <w:t xml:space="preserve">8. Reclassification and Declassification</w:t>
      </w:r>
    </w:p>
    <w:p>
      <w:pPr>
        <w:spacing w:after="120"/>
      </w:pPr>
      <w:r>
        <w:rPr>
          <w:rFonts w:ascii="Arial" w:cs="Arial" w:eastAsia="Arial" w:hAnsi="Arial"/>
          <w:sz w:val="20"/>
          <w:szCs w:val="20"/>
        </w:rPr>
        <w:t xml:space="preserve">Data classification is not permanent. Data Owners must review classifications periodically and reclassify data when circumstances change (e.g., a confidential project becomes public after announcement). Reclassification must be documented and communicated to all custodians and users.</w:t>
      </w:r>
    </w:p>
    <w:p>
      <w:pPr>
        <w:spacing w:after="100"/>
      </w:pPr>
    </w:p>
    <w:p>
      <w:pPr>
        <w:pStyle w:val="Heading1"/>
      </w:pPr>
      <w:r>
        <w:t xml:space="preserve">9. Enforcement</w:t>
      </w:r>
    </w:p>
    <w:p>
      <w:pPr>
        <w:spacing w:after="120"/>
      </w:pPr>
      <w:r>
        <w:rPr>
          <w:rFonts w:ascii="Arial" w:cs="Arial" w:eastAsia="Arial" w:hAnsi="Arial"/>
          <w:sz w:val="20"/>
          <w:szCs w:val="20"/>
        </w:rPr>
        <w:t xml:space="preserve">Mishandling data — particularly Tier 1 or Tier 2 data — may result in disciplinary action, and may constitute a breach of POPIA, potentially resulting in regulatory enforcement by the Information Regulator, including administrative fines of up to R10 million and/or imprisonment.</w:t>
      </w:r>
    </w:p>
    <w:p>
      <w:pPr>
        <w:spacing w:after="100"/>
      </w:pPr>
    </w:p>
    <w:p>
      <w:pPr>
        <w:pStyle w:val="Heading1"/>
      </w:pPr>
      <w:r>
        <w:t xml:space="preserve">10. Policy Review</w:t>
      </w:r>
    </w:p>
    <w:p>
      <w:pPr>
        <w:spacing w:after="120"/>
      </w:pPr>
      <w:r>
        <w:rPr>
          <w:rFonts w:ascii="Arial" w:cs="Arial" w:eastAsia="Arial" w:hAnsi="Arial"/>
          <w:sz w:val="20"/>
          <w:szCs w:val="20"/>
        </w:rPr>
        <w:t xml:space="preserve">This policy will be reviewed annually or following a significant change in the organisation’s data landscape, a data breach, or a change in legislation.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A317" w:sz="2"/>
              <w:left w:val="single" w:color="E8A317" w:sz="2"/>
              <w:bottom w:val="single" w:color="E8A317" w:sz="2"/>
              <w:right w:val="single" w:color="E8A317" w:sz="2"/>
            </w:tcBorders>
            <w:shd w:fill="FFF8E1" w:val="clear"/>
            <w:tcMar>
              <w:top w:type="dxa" w:w="100"/>
              <w:left w:type="dxa" w:w="150"/>
              <w:bottom w:type="dxa" w:w="100"/>
              <w:right w:type="dxa" w:w="150"/>
            </w:tcMar>
          </w:tcPr>
          <w:p>
            <w:r>
              <w:rPr>
                <w:rFonts w:ascii="Arial" w:cs="Arial" w:eastAsia="Arial" w:hAnsi="Arial"/>
                <w:b/>
                <w:bCs/>
                <w:sz w:val="20"/>
                <w:szCs w:val="20"/>
              </w:rPr>
              <w:t xml:space="preserve">⚠ IMPORTANT NOTICE</w:t>
            </w:r>
          </w:p>
          <w:p>
            <w:pPr>
              <w:spacing w:before="60"/>
            </w:pPr>
            <w:r>
              <w:rPr>
                <w:rFonts w:ascii="Arial" w:cs="Arial" w:eastAsia="Arial" w:hAnsi="Arial"/>
                <w:sz w:val="18"/>
                <w:szCs w:val="18"/>
              </w:rPr>
              <w:t xml:space="preserve">This policy template is provided by Greyhat4hire (Pty) Ltd for informational purposes. It should be reviewed, customised, and approved by the adopting organisation’s management and legal counsel before implementation. Compliance with the Protection of Personal Information Act 4 of 2013 (POPIA), the Cybercrimes Act 19 of 2020, and the Electronic Communications and Transactions Act 25 of 2002 (ECTA) remains the responsibility of the adopting organisation.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space="4"/>
      </w:pBdr>
      <w:tabs>
        <w:tab w:val="right" w:pos="9026"/>
      </w:tabs>
    </w:pPr>
    <w:r>
      <w:rPr>
        <w:rFonts w:ascii="Arial" w:cs="Arial" w:eastAsia="Arial" w:hAnsi="Arial"/>
        <w:color w:val="999999"/>
        <w:sz w:val="16"/>
        <w:szCs w:val="16"/>
      </w:rPr>
      <w:t xml:space="preserve">CONFIDENTIAL</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4"/>
      </w:pBdr>
      <w:tabs>
        <w:tab w:val="right" w:pos="9026"/>
      </w:tabs>
    </w:pPr>
    <w:r>
      <w:rPr>
        <w:rFonts w:ascii="Arial" w:cs="Arial" w:eastAsia="Arial" w:hAnsi="Arial"/>
        <w:color w:val="999999"/>
        <w:sz w:val="16"/>
        <w:szCs w:val="16"/>
      </w:rPr>
      <w:t xml:space="preserve">Greyhat4hire (Pty) Ltd</w:t>
    </w:r>
    <w:r>
      <w:rPr>
        <w:rFonts w:ascii="Arial" w:cs="Arial" w:eastAsia="Arial" w:hAnsi="Arial"/>
        <w:color w:val="999999"/>
        <w:sz w:val="16"/>
        <w:szCs w:val="16"/>
      </w:rPr>
      <w:t xml:space="preserve">	Data Classification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50"/>
      <w:outlineLvl w:val="0"/>
    </w:pPr>
    <w:rPr>
      <w:rFonts w:ascii="Arial" w:cs="Arial" w:eastAsia="Arial" w:hAnsi="Arial"/>
      <w:b/>
      <w:bCs/>
      <w:color w:val="2E74B5"/>
      <w:sz w:val="28"/>
      <w:szCs w:val="28"/>
    </w:rPr>
  </w:style>
  <w:style w:type="paragraph" w:styleId="Heading2">
    <w:name w:val="Heading 2"/>
    <w:basedOn w:val="Normal"/>
    <w:next w:val="Normal"/>
    <w:qFormat/>
    <w:pPr>
      <w:spacing w:before="200" w:after="100"/>
      <w:outlineLvl w:val="1"/>
    </w:pPr>
    <w:rPr>
      <w:rFonts w:ascii="Arial" w:cs="Arial" w:eastAsia="Arial" w:hAnsi="Arial"/>
      <w:b/>
      <w:bCs/>
      <w:color w:val="2E74B5"/>
      <w:sz w:val="24"/>
      <w:szCs w:val="24"/>
    </w:rPr>
  </w:style>
  <w:style w:type="paragraph" w:styleId="Heading3">
    <w:name w:val="Heading 3"/>
    <w:basedOn w:val="Normal"/>
    <w:next w:val="Normal"/>
    <w:qFormat/>
    <w:pPr>
      <w:spacing w:before="150" w:after="80"/>
      <w:outlineLvl w:val="2"/>
    </w:pPr>
    <w:rPr>
      <w:rFonts w:ascii="Arial" w:cs="Arial" w:eastAsia="Arial" w:hAnsi="Arial"/>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2026-02-27T16:56:18.375Z</dcterms:created>
  <dcterms:modified xsi:type="dcterms:W3CDTF">2026-02-27T16:56:18.375Z</dcterms:modified>
</cp:coreProperties>
</file>

<file path=docProps/custom.xml><?xml version="1.0" encoding="utf-8"?>
<Properties xmlns="http://schemas.openxmlformats.org/officeDocument/2006/custom-properties" xmlns:vt="http://schemas.openxmlformats.org/officeDocument/2006/docPropsVTypes"/>
</file>