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4B5" w:sz="2"/>
              <w:left w:val="single" w:color="2E74B5" w:sz="2"/>
              <w:bottom w:val="single" w:color="2E74B5" w:sz="2"/>
              <w:right w:val="single" w:color="2E74B5" w:sz="2"/>
            </w:tcBorders>
            <w:shd w:fill="2E74B5" w:val="clear"/>
            <w:tcMar>
              <w:top w:type="dxa" w:w="150"/>
              <w:left w:type="dxa" w:w="200"/>
              <w:bottom w:type="dxa" w:w="80"/>
              <w:right w:type="dxa" w:w="200"/>
            </w:tcMar>
          </w:tcPr>
          <w:p>
            <w:pPr>
              <w:jc w:val="center"/>
            </w:pPr>
            <w:r>
              <w:rPr>
                <w:rFonts w:ascii="Arial" w:cs="Arial" w:eastAsia="Arial" w:hAnsi="Arial"/>
                <w:b/>
                <w:bCs/>
                <w:color w:val="FFFFFF"/>
                <w:sz w:val="36"/>
                <w:szCs w:val="36"/>
              </w:rPr>
              <w:t xml:space="preserve">Greyhat4hire</w:t>
            </w:r>
          </w:p>
          <w:p>
            <w:pPr>
              <w:spacing w:after="60"/>
              <w:jc w:val="center"/>
            </w:pPr>
            <w:r>
              <w:rPr>
                <w:rFonts w:ascii="Arial" w:cs="Arial" w:eastAsia="Arial" w:hAnsi="Arial"/>
                <w:color w:val="FFFFFF"/>
                <w:sz w:val="20"/>
                <w:szCs w:val="20"/>
              </w:rPr>
              <w:t xml:space="preserve">www.greyhat4hire.com | +27 84 635 3581</w:t>
            </w:r>
          </w:p>
        </w:tc>
      </w:tr>
      <w:tr>
        <w:tc>
          <w:tcPr>
            <w:tcW w:type="dxa" w:w="9026"/>
            <w:tcBorders>
              <w:top w:val="single" w:color="2E74B5" w:sz="2"/>
              <w:left w:val="single" w:color="2E74B5" w:sz="2"/>
              <w:bottom w:val="single" w:color="2E74B5" w:sz="2"/>
              <w:right w:val="single" w:color="2E74B5" w:sz="2"/>
            </w:tcBorders>
            <w:shd w:fill="1F4D78" w:val="clear"/>
            <w:tcMar>
              <w:top w:type="dxa" w:w="100"/>
              <w:left w:type="dxa" w:w="200"/>
              <w:bottom w:type="dxa" w:w="100"/>
              <w:right w:type="dxa" w:w="200"/>
            </w:tcMar>
          </w:tcPr>
          <w:p>
            <w:pPr>
              <w:jc w:val="center"/>
            </w:pPr>
            <w:r>
              <w:rPr>
                <w:rFonts w:ascii="Arial" w:cs="Arial" w:eastAsia="Arial" w:hAnsi="Arial"/>
                <w:b/>
                <w:bCs/>
                <w:color w:val="FFFFFF"/>
                <w:sz w:val="26"/>
                <w:szCs w:val="26"/>
              </w:rPr>
              <w:t xml:space="preserve">PASSWORD &amp; MULTI-FACTOR AUTHENTICATION POLICY</w:t>
            </w:r>
          </w:p>
          <w:p>
            <w:pPr>
              <w:jc w:val="center"/>
            </w:pPr>
            <w:r>
              <w:rPr>
                <w:rFonts w:ascii="Arial" w:cs="Arial" w:eastAsia="Arial" w:hAnsi="Arial"/>
                <w:color w:val="D5E8F0"/>
                <w:sz w:val="18"/>
                <w:szCs w:val="18"/>
              </w:rPr>
              <w:t xml:space="preserve">Access Control — Organisational Security Policy</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9026"/>
            <w:gridSpan w:val="2"/>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DOCUMENT INFORMATION</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Document Reference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GH4H-POL-PWD-002</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1.0</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Internal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Effective Date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[DD/MM/YYYY]</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Review Date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[DD/MM/YYYY] (Annual)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Document Owner</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Information Security Officer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Approved By</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[Name, Title]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Applicable To</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All users with access to organisational systems and data</w:t>
            </w:r>
          </w:p>
        </w:tc>
      </w:tr>
    </w:tbl>
    <w:p>
      <w:pPr>
        <w:spacing w:after="200"/>
      </w:pPr>
    </w:p>
    <w:p>
      <w:pPr>
        <w:pStyle w:val="Heading1"/>
      </w:pPr>
      <w:r>
        <w:t xml:space="preserve">1. Purpose</w:t>
      </w:r>
    </w:p>
    <w:p>
      <w:pPr>
        <w:spacing w:after="120"/>
      </w:pPr>
      <w:r>
        <w:rPr>
          <w:rFonts w:ascii="Arial" w:cs="Arial" w:eastAsia="Arial" w:hAnsi="Arial"/>
          <w:sz w:val="20"/>
          <w:szCs w:val="20"/>
        </w:rPr>
        <w:t xml:space="preserve">This policy establishes requirements for password complexity, management, and multi-factor authentication (MFA) to protect organisational systems and data against unauthorised access. Strong authentication is a fundamental control required by POPIA (Section 19) and is a key defence against credential-based attacks as recognised by the Cybercrimes Act 19 of 2020.</w:t>
      </w:r>
    </w:p>
    <w:p>
      <w:pPr>
        <w:pStyle w:val="Heading1"/>
      </w:pPr>
      <w:r>
        <w:t xml:space="preserve">2. Scope</w:t>
      </w:r>
    </w:p>
    <w:p>
      <w:pPr>
        <w:spacing w:after="120"/>
      </w:pPr>
      <w:r>
        <w:rPr>
          <w:rFonts w:ascii="Arial" w:cs="Arial" w:eastAsia="Arial" w:hAnsi="Arial"/>
          <w:sz w:val="20"/>
          <w:szCs w:val="20"/>
        </w:rPr>
        <w:t xml:space="preserve">This policy applies to all accounts and credentials used to access organisational systems, including but not limited to: domain accounts, email accounts, VPN credentials, cloud service accounts, application-level accounts, service accounts, and privileged/administrative accounts.</w:t>
      </w:r>
    </w:p>
    <w:p>
      <w:pPr>
        <w:pStyle w:val="Heading1"/>
      </w:pPr>
      <w:r>
        <w:t xml:space="preserve">3. Password Requirements</w:t>
      </w:r>
    </w:p>
    <w:p>
      <w:pPr>
        <w:pStyle w:val="Heading2"/>
      </w:pPr>
      <w:r>
        <w:t xml:space="preserve">3.1 Standard User Accounts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Requirement</w:t>
            </w:r>
          </w:p>
        </w:tc>
        <w:tc>
          <w:tcPr>
            <w:tcW w:type="dxa" w:w="5526"/>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Standard</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Minimum Length</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14 characters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Complexity</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Must include at least 3 of: uppercase letters, lowercase letters, numbers, special characters (!@#$%^&amp;*)</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Maximum Age</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90 days (prompted to change)</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Password History</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Last 12 passwords cannot be reused</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Minimum Age</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1 day (prevents rapid cycling)</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Lockout Threshold</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5 failed attempts within 15 minutes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Lockout Duration</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30 minutes (auto-unlock) or IT manual unlock</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Passphrases</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Encouraged. Minimum 20 characters if using passphrase (reduced complexity requirement)</w:t>
            </w:r>
          </w:p>
        </w:tc>
      </w:tr>
    </w:tbl>
    <w:p>
      <w:pPr>
        <w:spacing w:after="100"/>
      </w:pPr>
    </w:p>
    <w:p>
      <w:pPr>
        <w:pStyle w:val="Heading2"/>
      </w:pPr>
      <w:r>
        <w:t xml:space="preserve">3.2 Privileged / Administrative Accounts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Requirement</w:t>
            </w:r>
          </w:p>
        </w:tc>
        <w:tc>
          <w:tcPr>
            <w:tcW w:type="dxa" w:w="5526"/>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Standard</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Minimum Length</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20 characters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Complexity</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Must include all 4 character types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Maximum Age</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60 days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MFA Requirement</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Mandatory — no exceptions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Shared Accounts</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Prohibited. Each administrator must have a unique privileged account.</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Privileged Access Workstation</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Recommended for Tier 0 / Tier 1 administration</w:t>
            </w:r>
          </w:p>
        </w:tc>
      </w:tr>
    </w:tbl>
    <w:p>
      <w:pPr>
        <w:spacing w:after="100"/>
      </w:pPr>
    </w:p>
    <w:p>
      <w:pPr>
        <w:pStyle w:val="Heading2"/>
      </w:pPr>
      <w:r>
        <w:t xml:space="preserve">3.3 Service Accounts</w:t>
      </w:r>
    </w:p>
    <w:p>
      <w:pPr>
        <w:pStyle w:val="ListParagraph"/>
        <w:numPr>
          <w:ilvl w:val="0"/>
          <w:numId w:val="2"/>
        </w:numPr>
        <w:spacing w:after="60"/>
      </w:pPr>
      <w:r>
        <w:rPr>
          <w:rFonts w:ascii="Arial" w:cs="Arial" w:eastAsia="Arial" w:hAnsi="Arial"/>
          <w:sz w:val="20"/>
          <w:szCs w:val="20"/>
        </w:rPr>
        <w:t xml:space="preserve">Minimum 24-character randomly generated passwords.</w:t>
      </w:r>
    </w:p>
    <w:p>
      <w:pPr>
        <w:pStyle w:val="ListParagraph"/>
        <w:numPr>
          <w:ilvl w:val="0"/>
          <w:numId w:val="2"/>
        </w:numPr>
        <w:spacing w:after="60"/>
      </w:pPr>
      <w:r>
        <w:rPr>
          <w:rFonts w:ascii="Arial" w:cs="Arial" w:eastAsia="Arial" w:hAnsi="Arial"/>
          <w:sz w:val="20"/>
          <w:szCs w:val="20"/>
        </w:rPr>
        <w:t xml:space="preserve">Must be stored in an approved password vault / secrets management solution.</w:t>
      </w:r>
    </w:p>
    <w:p>
      <w:pPr>
        <w:pStyle w:val="ListParagraph"/>
        <w:numPr>
          <w:ilvl w:val="0"/>
          <w:numId w:val="2"/>
        </w:numPr>
        <w:spacing w:after="60"/>
      </w:pPr>
      <w:r>
        <w:rPr>
          <w:rFonts w:ascii="Arial" w:cs="Arial" w:eastAsia="Arial" w:hAnsi="Arial"/>
          <w:sz w:val="20"/>
          <w:szCs w:val="20"/>
        </w:rPr>
        <w:t xml:space="preserve">Must be rotated at least every 180 days or upon personnel change.</w:t>
      </w:r>
    </w:p>
    <w:p>
      <w:pPr>
        <w:pStyle w:val="ListParagraph"/>
        <w:numPr>
          <w:ilvl w:val="0"/>
          <w:numId w:val="2"/>
        </w:numPr>
        <w:spacing w:after="60"/>
      </w:pPr>
      <w:r>
        <w:rPr>
          <w:rFonts w:ascii="Arial" w:cs="Arial" w:eastAsia="Arial" w:hAnsi="Arial"/>
          <w:sz w:val="20"/>
          <w:szCs w:val="20"/>
        </w:rPr>
        <w:t xml:space="preserve">Must follow the principle of least privilege.</w:t>
      </w:r>
    </w:p>
    <w:p>
      <w:pPr>
        <w:spacing w:after="100"/>
      </w:pPr>
    </w:p>
    <w:p>
      <w:pPr>
        <w:pStyle w:val="Heading1"/>
      </w:pPr>
      <w:r>
        <w:t xml:space="preserve">4. Multi-Factor Authentication (MFA)</w:t>
      </w:r>
    </w:p>
    <w:p>
      <w:pPr>
        <w:pStyle w:val="Heading2"/>
      </w:pPr>
      <w:r>
        <w:t xml:space="preserve">4.1 MFA Requirements</w:t>
      </w:r>
    </w:p>
    <w:p>
      <w:pPr>
        <w:spacing w:after="120"/>
      </w:pPr>
      <w:r>
        <w:rPr>
          <w:rFonts w:ascii="Arial" w:cs="Arial" w:eastAsia="Arial" w:hAnsi="Arial"/>
          <w:sz w:val="20"/>
          <w:szCs w:val="20"/>
        </w:rPr>
        <w:t xml:space="preserve">MFA is mandatory for the following:</w:t>
      </w:r>
    </w:p>
    <w:p>
      <w:pPr>
        <w:pStyle w:val="ListParagraph"/>
        <w:numPr>
          <w:ilvl w:val="0"/>
          <w:numId w:val="2"/>
        </w:numPr>
        <w:spacing w:after="60"/>
      </w:pPr>
      <w:r>
        <w:rPr>
          <w:rFonts w:ascii="Arial" w:cs="Arial" w:eastAsia="Arial" w:hAnsi="Arial"/>
          <w:sz w:val="20"/>
          <w:szCs w:val="20"/>
        </w:rPr>
        <w:t xml:space="preserve">All remote access (VPN, remote desktop, cloud portals)</w:t>
      </w:r>
    </w:p>
    <w:p>
      <w:pPr>
        <w:pStyle w:val="ListParagraph"/>
        <w:numPr>
          <w:ilvl w:val="0"/>
          <w:numId w:val="2"/>
        </w:numPr>
        <w:spacing w:after="60"/>
      </w:pPr>
      <w:r>
        <w:rPr>
          <w:rFonts w:ascii="Arial" w:cs="Arial" w:eastAsia="Arial" w:hAnsi="Arial"/>
          <w:sz w:val="20"/>
          <w:szCs w:val="20"/>
        </w:rPr>
        <w:t xml:space="preserve">All privileged / administrative accounts</w:t>
      </w:r>
    </w:p>
    <w:p>
      <w:pPr>
        <w:pStyle w:val="ListParagraph"/>
        <w:numPr>
          <w:ilvl w:val="0"/>
          <w:numId w:val="2"/>
        </w:numPr>
        <w:spacing w:after="60"/>
      </w:pPr>
      <w:r>
        <w:rPr>
          <w:rFonts w:ascii="Arial" w:cs="Arial" w:eastAsia="Arial" w:hAnsi="Arial"/>
          <w:sz w:val="20"/>
          <w:szCs w:val="20"/>
        </w:rPr>
        <w:t xml:space="preserve">All cloud service accounts (Microsoft 365, Google Workspace, AWS, Azure, etc.)</w:t>
      </w:r>
    </w:p>
    <w:p>
      <w:pPr>
        <w:pStyle w:val="ListParagraph"/>
        <w:numPr>
          <w:ilvl w:val="0"/>
          <w:numId w:val="2"/>
        </w:numPr>
        <w:spacing w:after="60"/>
      </w:pPr>
      <w:r>
        <w:rPr>
          <w:rFonts w:ascii="Arial" w:cs="Arial" w:eastAsia="Arial" w:hAnsi="Arial"/>
          <w:sz w:val="20"/>
          <w:szCs w:val="20"/>
        </w:rPr>
        <w:t xml:space="preserve">All email access from outside the corporate network</w:t>
      </w:r>
    </w:p>
    <w:p>
      <w:pPr>
        <w:pStyle w:val="ListParagraph"/>
        <w:numPr>
          <w:ilvl w:val="0"/>
          <w:numId w:val="2"/>
        </w:numPr>
        <w:spacing w:after="60"/>
      </w:pPr>
      <w:r>
        <w:rPr>
          <w:rFonts w:ascii="Arial" w:cs="Arial" w:eastAsia="Arial" w:hAnsi="Arial"/>
          <w:sz w:val="20"/>
          <w:szCs w:val="20"/>
        </w:rPr>
        <w:t xml:space="preserve">Any system processing Personal Information as defined by POPIA</w:t>
      </w:r>
    </w:p>
    <w:p>
      <w:pPr>
        <w:pStyle w:val="ListParagraph"/>
        <w:numPr>
          <w:ilvl w:val="0"/>
          <w:numId w:val="2"/>
        </w:numPr>
        <w:spacing w:after="60"/>
      </w:pPr>
      <w:r>
        <w:rPr>
          <w:rFonts w:ascii="Arial" w:cs="Arial" w:eastAsia="Arial" w:hAnsi="Arial"/>
          <w:sz w:val="20"/>
          <w:szCs w:val="20"/>
        </w:rPr>
        <w:t xml:space="preserve">Self-service password reset portals</w:t>
      </w:r>
    </w:p>
    <w:p>
      <w:pPr>
        <w:spacing w:after="60"/>
      </w:pPr>
    </w:p>
    <w:p>
      <w:pPr>
        <w:pStyle w:val="Heading2"/>
      </w:pPr>
      <w:r>
        <w:t xml:space="preserve">4.2 Approved MFA Methods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013"/>
        <w:gridCol w:w="2013"/>
      </w:tblGrid>
      <w:tr>
        <w:tc>
          <w:tcPr>
            <w:tcW w:type="dxa" w:w="2500"/>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Method</w:t>
            </w:r>
          </w:p>
        </w:tc>
        <w:tc>
          <w:tcPr>
            <w:tcW w:type="dxa" w:w="2500"/>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Examples</w:t>
            </w:r>
          </w:p>
        </w:tc>
        <w:tc>
          <w:tcPr>
            <w:tcW w:type="dxa" w:w="2013"/>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Strength</w:t>
            </w:r>
          </w:p>
        </w:tc>
        <w:tc>
          <w:tcPr>
            <w:tcW w:type="dxa" w:w="2013"/>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Approved For</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Hardware Security Key</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YubiKey, Titan Key (FIDO2/WebAuthn)</w:t>
            </w:r>
          </w:p>
        </w:tc>
        <w:tc>
          <w:tcPr>
            <w:tcW w:type="dxa" w:w="20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9966"/>
                <w:sz w:val="20"/>
                <w:szCs w:val="20"/>
              </w:rPr>
              <w:t xml:space="preserve">Strongest</w:t>
            </w:r>
          </w:p>
        </w:tc>
        <w:tc>
          <w:tcPr>
            <w:tcW w:type="dxa" w:w="20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All accounts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Authenticator App (TOTP)</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Microsoft Authenticator, Google Authenticator, Authy</w:t>
            </w:r>
          </w:p>
        </w:tc>
        <w:tc>
          <w:tcPr>
            <w:tcW w:type="dxa" w:w="20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9966"/>
                <w:sz w:val="20"/>
                <w:szCs w:val="20"/>
              </w:rPr>
              <w:t xml:space="preserve">Strong</w:t>
            </w:r>
          </w:p>
        </w:tc>
        <w:tc>
          <w:tcPr>
            <w:tcW w:type="dxa" w:w="20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All accounts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Push Notification</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Microsoft Authenticator push, Duo push</w:t>
            </w:r>
          </w:p>
        </w:tc>
        <w:tc>
          <w:tcPr>
            <w:tcW w:type="dxa" w:w="20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FFB300"/>
                <w:sz w:val="20"/>
                <w:szCs w:val="20"/>
              </w:rPr>
              <w:t xml:space="preserve">Moderate</w:t>
            </w:r>
          </w:p>
        </w:tc>
        <w:tc>
          <w:tcPr>
            <w:tcW w:type="dxa" w:w="20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Standard accounts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SMS / Voice OTP</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SMS code, voice call</w:t>
            </w:r>
          </w:p>
        </w:tc>
        <w:tc>
          <w:tcPr>
            <w:tcW w:type="dxa" w:w="20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C0000"/>
                <w:sz w:val="20"/>
                <w:szCs w:val="20"/>
              </w:rPr>
              <w:t xml:space="preserve">Weak</w:t>
            </w:r>
          </w:p>
        </w:tc>
        <w:tc>
          <w:tcPr>
            <w:tcW w:type="dxa" w:w="20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Legacy only — being phased out</w:t>
            </w:r>
          </w:p>
        </w:tc>
      </w:tr>
    </w:tbl>
    <w:p>
      <w:pPr>
        <w:spacing w:after="60"/>
      </w:pPr>
    </w:p>
    <w:p>
      <w:pPr>
        <w:spacing w:after="120"/>
      </w:pPr>
      <w:r>
        <w:rPr>
          <w:rFonts w:ascii="Arial" w:cs="Arial" w:eastAsia="Arial" w:hAnsi="Arial"/>
          <w:sz w:val="20"/>
          <w:szCs w:val="20"/>
        </w:rPr>
        <w:t xml:space="preserve">SMS-based OTP is discouraged due to known vulnerabilities (SIM swapping, SS7 interception) and should only be used as a transitional measure where no other MFA method is feasible.</w:t>
      </w:r>
    </w:p>
    <w:p>
      <w:pPr>
        <w:spacing w:after="100"/>
      </w:pPr>
    </w:p>
    <w:p>
      <w:pPr>
        <w:pStyle w:val="Heading2"/>
      </w:pPr>
      <w:r>
        <w:t xml:space="preserve">4.3 MFA Exemptions</w:t>
      </w:r>
    </w:p>
    <w:p>
      <w:pPr>
        <w:spacing w:after="120"/>
      </w:pPr>
      <w:r>
        <w:rPr>
          <w:rFonts w:ascii="Arial" w:cs="Arial" w:eastAsia="Arial" w:hAnsi="Arial"/>
          <w:sz w:val="20"/>
          <w:szCs w:val="20"/>
        </w:rPr>
        <w:t xml:space="preserve">Exemptions to mandatory MFA may only be granted by the Information Security Officer in writing, for a defined period, and must be documented in the organisation’s risk register with compensating controls.</w:t>
      </w:r>
    </w:p>
    <w:p>
      <w:pPr>
        <w:spacing w:after="100"/>
      </w:pPr>
    </w:p>
    <w:p>
      <w:pPr>
        <w:pStyle w:val="Heading1"/>
      </w:pPr>
      <w:r>
        <w:t xml:space="preserve">5. Password Management</w:t>
      </w:r>
    </w:p>
    <w:p>
      <w:pPr>
        <w:pStyle w:val="Heading2"/>
      </w:pPr>
      <w:r>
        <w:t xml:space="preserve">5.1 Approved Password Managers</w:t>
      </w:r>
    </w:p>
    <w:p>
      <w:pPr>
        <w:spacing w:after="120"/>
      </w:pPr>
      <w:r>
        <w:rPr>
          <w:rFonts w:ascii="Arial" w:cs="Arial" w:eastAsia="Arial" w:hAnsi="Arial"/>
          <w:sz w:val="20"/>
          <w:szCs w:val="20"/>
        </w:rPr>
        <w:t xml:space="preserve">Users are required to use an approved enterprise password manager for storing and generating passwords. Approved solutions include:</w:t>
      </w:r>
    </w:p>
    <w:p>
      <w:pPr>
        <w:pStyle w:val="ListParagraph"/>
        <w:numPr>
          <w:ilvl w:val="0"/>
          <w:numId w:val="2"/>
        </w:numPr>
        <w:spacing w:after="60"/>
      </w:pPr>
      <w:r>
        <w:rPr>
          <w:rFonts w:ascii="Arial" w:cs="Arial" w:eastAsia="Arial" w:hAnsi="Arial"/>
          <w:sz w:val="20"/>
          <w:szCs w:val="20"/>
        </w:rPr>
        <w:t xml:space="preserve">[Organisation’s approved password manager, e.g., 1Password Business, Bitwarden, KeePass]</w:t>
      </w:r>
    </w:p>
    <w:p>
      <w:pPr>
        <w:spacing w:after="60"/>
      </w:pPr>
    </w:p>
    <w:p>
      <w:pPr>
        <w:pStyle w:val="Heading2"/>
      </w:pPr>
      <w:r>
        <w:t xml:space="preserve">5.2 Prohibited Practices</w:t>
      </w:r>
    </w:p>
    <w:p>
      <w:pPr>
        <w:pStyle w:val="ListParagraph"/>
        <w:numPr>
          <w:ilvl w:val="0"/>
          <w:numId w:val="2"/>
        </w:numPr>
        <w:spacing w:after="60"/>
      </w:pPr>
      <w:r>
        <w:rPr>
          <w:rFonts w:ascii="Arial" w:cs="Arial" w:eastAsia="Arial" w:hAnsi="Arial"/>
          <w:sz w:val="20"/>
          <w:szCs w:val="20"/>
        </w:rPr>
        <w:t xml:space="preserve">Writing passwords on paper, sticky notes, or whiteboards.</w:t>
      </w:r>
    </w:p>
    <w:p>
      <w:pPr>
        <w:pStyle w:val="ListParagraph"/>
        <w:numPr>
          <w:ilvl w:val="0"/>
          <w:numId w:val="2"/>
        </w:numPr>
        <w:spacing w:after="60"/>
      </w:pPr>
      <w:r>
        <w:rPr>
          <w:rFonts w:ascii="Arial" w:cs="Arial" w:eastAsia="Arial" w:hAnsi="Arial"/>
          <w:sz w:val="20"/>
          <w:szCs w:val="20"/>
        </w:rPr>
        <w:t xml:space="preserve">Storing passwords in unencrypted files (e.g., .txt, .xlsx, .docx).</w:t>
      </w:r>
    </w:p>
    <w:p>
      <w:pPr>
        <w:pStyle w:val="ListParagraph"/>
        <w:numPr>
          <w:ilvl w:val="0"/>
          <w:numId w:val="2"/>
        </w:numPr>
        <w:spacing w:after="60"/>
      </w:pPr>
      <w:r>
        <w:rPr>
          <w:rFonts w:ascii="Arial" w:cs="Arial" w:eastAsia="Arial" w:hAnsi="Arial"/>
          <w:sz w:val="20"/>
          <w:szCs w:val="20"/>
        </w:rPr>
        <w:t xml:space="preserve">Sharing passwords via email, instant messaging, or any unencrypted channel.</w:t>
      </w:r>
    </w:p>
    <w:p>
      <w:pPr>
        <w:pStyle w:val="ListParagraph"/>
        <w:numPr>
          <w:ilvl w:val="0"/>
          <w:numId w:val="2"/>
        </w:numPr>
        <w:spacing w:after="60"/>
      </w:pPr>
      <w:r>
        <w:rPr>
          <w:rFonts w:ascii="Arial" w:cs="Arial" w:eastAsia="Arial" w:hAnsi="Arial"/>
          <w:sz w:val="20"/>
          <w:szCs w:val="20"/>
        </w:rPr>
        <w:t xml:space="preserve">Using the same password across multiple organisational systems.</w:t>
      </w:r>
    </w:p>
    <w:p>
      <w:pPr>
        <w:pStyle w:val="ListParagraph"/>
        <w:numPr>
          <w:ilvl w:val="0"/>
          <w:numId w:val="2"/>
        </w:numPr>
        <w:spacing w:after="60"/>
      </w:pPr>
      <w:r>
        <w:rPr>
          <w:rFonts w:ascii="Arial" w:cs="Arial" w:eastAsia="Arial" w:hAnsi="Arial"/>
          <w:sz w:val="20"/>
          <w:szCs w:val="20"/>
        </w:rPr>
        <w:t xml:space="preserve">Using organisational passwords for personal accounts (and vice versa).</w:t>
      </w:r>
    </w:p>
    <w:p>
      <w:pPr>
        <w:pStyle w:val="ListParagraph"/>
        <w:numPr>
          <w:ilvl w:val="0"/>
          <w:numId w:val="2"/>
        </w:numPr>
        <w:spacing w:after="60"/>
      </w:pPr>
      <w:r>
        <w:rPr>
          <w:rFonts w:ascii="Arial" w:cs="Arial" w:eastAsia="Arial" w:hAnsi="Arial"/>
          <w:sz w:val="20"/>
          <w:szCs w:val="20"/>
        </w:rPr>
        <w:t xml:space="preserve">Using the “Remember Password” feature in web browsers on shared or unmanaged devices.</w:t>
      </w:r>
    </w:p>
    <w:p>
      <w:pPr>
        <w:spacing w:after="100"/>
      </w:pPr>
    </w:p>
    <w:p>
      <w:pPr>
        <w:pStyle w:val="Heading1"/>
      </w:pPr>
      <w:r>
        <w:t xml:space="preserve">6. Breach Response</w:t>
      </w:r>
    </w:p>
    <w:p>
      <w:pPr>
        <w:spacing w:after="120"/>
      </w:pPr>
      <w:r>
        <w:rPr>
          <w:rFonts w:ascii="Arial" w:cs="Arial" w:eastAsia="Arial" w:hAnsi="Arial"/>
          <w:sz w:val="20"/>
          <w:szCs w:val="20"/>
        </w:rPr>
        <w:t xml:space="preserve">6.1  If a user suspects their credentials have been compromised, they must immediately change their password and report the incident to the IT/Security team.</w:t>
      </w:r>
    </w:p>
    <w:p>
      <w:pPr>
        <w:spacing w:after="120"/>
      </w:pPr>
      <w:r>
        <w:rPr>
          <w:rFonts w:ascii="Arial" w:cs="Arial" w:eastAsia="Arial" w:hAnsi="Arial"/>
          <w:sz w:val="20"/>
          <w:szCs w:val="20"/>
        </w:rPr>
        <w:t xml:space="preserve">6.2  The IT/Security team will investigate and may force a password reset across affected systems.</w:t>
      </w:r>
    </w:p>
    <w:p>
      <w:pPr>
        <w:spacing w:after="120"/>
      </w:pPr>
      <w:r>
        <w:rPr>
          <w:rFonts w:ascii="Arial" w:cs="Arial" w:eastAsia="Arial" w:hAnsi="Arial"/>
          <w:sz w:val="20"/>
          <w:szCs w:val="20"/>
        </w:rPr>
        <w:t xml:space="preserve">6.3  Where a credential breach involves Personal Information, the organisation’s POPIA breach notification procedures will be followed, including notification to the Information Regulator where required.</w:t>
      </w:r>
    </w:p>
    <w:p>
      <w:pPr>
        <w:spacing w:after="100"/>
      </w:pPr>
    </w:p>
    <w:p>
      <w:pPr>
        <w:pStyle w:val="Heading1"/>
      </w:pPr>
      <w:r>
        <w:t xml:space="preserve">7. Technical Implementation</w:t>
      </w:r>
    </w:p>
    <w:p>
      <w:pPr>
        <w:spacing w:after="120"/>
      </w:pPr>
      <w:r>
        <w:rPr>
          <w:rFonts w:ascii="Arial" w:cs="Arial" w:eastAsia="Arial" w:hAnsi="Arial"/>
          <w:sz w:val="20"/>
          <w:szCs w:val="20"/>
        </w:rPr>
        <w:t xml:space="preserve">The IT department is responsible for enforcing this policy through technical controls, including:</w:t>
      </w:r>
    </w:p>
    <w:p>
      <w:pPr>
        <w:pStyle w:val="ListParagraph"/>
        <w:numPr>
          <w:ilvl w:val="0"/>
          <w:numId w:val="2"/>
        </w:numPr>
        <w:spacing w:after="60"/>
      </w:pPr>
      <w:r>
        <w:rPr>
          <w:rFonts w:ascii="Arial" w:cs="Arial" w:eastAsia="Arial" w:hAnsi="Arial"/>
          <w:sz w:val="20"/>
          <w:szCs w:val="20"/>
        </w:rPr>
        <w:t xml:space="preserve">Active Directory / identity provider Group Policy Objects (GPOs) or equivalent configuration</w:t>
      </w:r>
    </w:p>
    <w:p>
      <w:pPr>
        <w:pStyle w:val="ListParagraph"/>
        <w:numPr>
          <w:ilvl w:val="0"/>
          <w:numId w:val="2"/>
        </w:numPr>
        <w:spacing w:after="60"/>
      </w:pPr>
      <w:r>
        <w:rPr>
          <w:rFonts w:ascii="Arial" w:cs="Arial" w:eastAsia="Arial" w:hAnsi="Arial"/>
          <w:sz w:val="20"/>
          <w:szCs w:val="20"/>
        </w:rPr>
        <w:t xml:space="preserve">Conditional Access policies (e.g., Azure AD Conditional Access, Okta policies)</w:t>
      </w:r>
    </w:p>
    <w:p>
      <w:pPr>
        <w:pStyle w:val="ListParagraph"/>
        <w:numPr>
          <w:ilvl w:val="0"/>
          <w:numId w:val="2"/>
        </w:numPr>
        <w:spacing w:after="60"/>
      </w:pPr>
      <w:r>
        <w:rPr>
          <w:rFonts w:ascii="Arial" w:cs="Arial" w:eastAsia="Arial" w:hAnsi="Arial"/>
          <w:sz w:val="20"/>
          <w:szCs w:val="20"/>
        </w:rPr>
        <w:t xml:space="preserve">Automated password expiry notifications</w:t>
      </w:r>
    </w:p>
    <w:p>
      <w:pPr>
        <w:pStyle w:val="ListParagraph"/>
        <w:numPr>
          <w:ilvl w:val="0"/>
          <w:numId w:val="2"/>
        </w:numPr>
        <w:spacing w:after="60"/>
      </w:pPr>
      <w:r>
        <w:rPr>
          <w:rFonts w:ascii="Arial" w:cs="Arial" w:eastAsia="Arial" w:hAnsi="Arial"/>
          <w:sz w:val="20"/>
          <w:szCs w:val="20"/>
        </w:rPr>
        <w:t xml:space="preserve">MFA enforcement at the identity provider level</w:t>
      </w:r>
    </w:p>
    <w:p>
      <w:pPr>
        <w:pStyle w:val="ListParagraph"/>
        <w:numPr>
          <w:ilvl w:val="0"/>
          <w:numId w:val="2"/>
        </w:numPr>
        <w:spacing w:after="60"/>
      </w:pPr>
      <w:r>
        <w:rPr>
          <w:rFonts w:ascii="Arial" w:cs="Arial" w:eastAsia="Arial" w:hAnsi="Arial"/>
          <w:sz w:val="20"/>
          <w:szCs w:val="20"/>
        </w:rPr>
        <w:t xml:space="preserve">Monitoring for credential stuffing and brute-force attacks</w:t>
      </w:r>
    </w:p>
    <w:p>
      <w:pPr>
        <w:pStyle w:val="ListParagraph"/>
        <w:numPr>
          <w:ilvl w:val="0"/>
          <w:numId w:val="2"/>
        </w:numPr>
        <w:spacing w:after="60"/>
      </w:pPr>
      <w:r>
        <w:rPr>
          <w:rFonts w:ascii="Arial" w:cs="Arial" w:eastAsia="Arial" w:hAnsi="Arial"/>
          <w:sz w:val="20"/>
          <w:szCs w:val="20"/>
        </w:rPr>
        <w:t xml:space="preserve">Integration with breach detection services (e.g., Have I Been Pwned, Azure AD Password Protection)</w:t>
      </w:r>
    </w:p>
    <w:p>
      <w:pPr>
        <w:spacing w:after="100"/>
      </w:pPr>
    </w:p>
    <w:p>
      <w:pPr>
        <w:pStyle w:val="Heading1"/>
      </w:pPr>
      <w:r>
        <w:t xml:space="preserve">8. Enforcement</w:t>
      </w:r>
    </w:p>
    <w:p>
      <w:pPr>
        <w:spacing w:after="120"/>
      </w:pPr>
      <w:r>
        <w:rPr>
          <w:rFonts w:ascii="Arial" w:cs="Arial" w:eastAsia="Arial" w:hAnsi="Arial"/>
          <w:sz w:val="20"/>
          <w:szCs w:val="20"/>
        </w:rPr>
        <w:t xml:space="preserve">Violation of this policy may result in disciplinary action as outlined in the Acceptable Use Policy. Failure to protect credentials that leads to a security breach may constitute negligence under POPIA (Section 19) and may expose the organisation and the individual to regulatory action by the Information Regulator.</w:t>
      </w:r>
    </w:p>
    <w:p>
      <w:pPr>
        <w:spacing w:after="100"/>
      </w:pPr>
    </w:p>
    <w:p>
      <w:pPr>
        <w:pStyle w:val="Heading1"/>
      </w:pPr>
      <w:r>
        <w:t xml:space="preserve">9. Policy Review</w:t>
      </w:r>
    </w:p>
    <w:p>
      <w:pPr>
        <w:spacing w:after="120"/>
      </w:pPr>
      <w:r>
        <w:rPr>
          <w:rFonts w:ascii="Arial" w:cs="Arial" w:eastAsia="Arial" w:hAnsi="Arial"/>
          <w:sz w:val="20"/>
          <w:szCs w:val="20"/>
        </w:rPr>
        <w:t xml:space="preserve">This policy will be reviewed annually or following a significant security incident, change in legislation, or change in the organisation’s technology environment.</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A317" w:sz="2"/>
              <w:left w:val="single" w:color="E8A317" w:sz="2"/>
              <w:bottom w:val="single" w:color="E8A317" w:sz="2"/>
              <w:right w:val="single" w:color="E8A317" w:sz="2"/>
            </w:tcBorders>
            <w:shd w:fill="FFF8E1" w:val="clear"/>
            <w:tcMar>
              <w:top w:type="dxa" w:w="100"/>
              <w:left w:type="dxa" w:w="150"/>
              <w:bottom w:type="dxa" w:w="100"/>
              <w:right w:type="dxa" w:w="150"/>
            </w:tcMar>
          </w:tcPr>
          <w:p>
            <w:r>
              <w:rPr>
                <w:rFonts w:ascii="Arial" w:cs="Arial" w:eastAsia="Arial" w:hAnsi="Arial"/>
                <w:b/>
                <w:bCs/>
                <w:sz w:val="20"/>
                <w:szCs w:val="20"/>
              </w:rPr>
              <w:t xml:space="preserve">⚠ IMPORTANT NOTICE</w:t>
            </w:r>
          </w:p>
          <w:p>
            <w:pPr>
              <w:spacing w:before="60"/>
            </w:pPr>
            <w:r>
              <w:rPr>
                <w:rFonts w:ascii="Arial" w:cs="Arial" w:eastAsia="Arial" w:hAnsi="Arial"/>
                <w:sz w:val="18"/>
                <w:szCs w:val="18"/>
              </w:rPr>
              <w:t xml:space="preserve">This policy template is provided by Greyhat4hire (Pty) Ltd for informational purposes. It should be reviewed, customised, and approved by the adopting organisation’s management and legal counsel before implementation. Compliance with the Protection of Personal Information Act 4 of 2013 (POPIA), the Cybercrimes Act 19 of 2020, and the Electronic Communications and Transactions Act 25 of 2002 (ECTA) remains the responsibility of the adopting organisation.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space="4"/>
      </w:pBdr>
      <w:tabs>
        <w:tab w:val="right" w:pos="9026"/>
      </w:tabs>
    </w:pPr>
    <w:r>
      <w:rPr>
        <w:rFonts w:ascii="Arial" w:cs="Arial" w:eastAsia="Arial" w:hAnsi="Arial"/>
        <w:color w:val="999999"/>
        <w:sz w:val="16"/>
        <w:szCs w:val="16"/>
      </w:rPr>
      <w:t xml:space="preserve">CONFIDENTIAL</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4"/>
      </w:pBdr>
      <w:tabs>
        <w:tab w:val="right" w:pos="9026"/>
      </w:tabs>
    </w:pPr>
    <w:r>
      <w:rPr>
        <w:rFonts w:ascii="Arial" w:cs="Arial" w:eastAsia="Arial" w:hAnsi="Arial"/>
        <w:color w:val="999999"/>
        <w:sz w:val="16"/>
        <w:szCs w:val="16"/>
      </w:rPr>
      <w:t xml:space="preserve">Greyhat4hire (Pty) Ltd</w:t>
    </w:r>
    <w:r>
      <w:rPr>
        <w:rFonts w:ascii="Arial" w:cs="Arial" w:eastAsia="Arial" w:hAnsi="Arial"/>
        <w:color w:val="999999"/>
        <w:sz w:val="16"/>
        <w:szCs w:val="16"/>
      </w:rPr>
      <w:t xml:space="preserve">	Password &amp; MFA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50"/>
      <w:outlineLvl w:val="0"/>
    </w:pPr>
    <w:rPr>
      <w:rFonts w:ascii="Arial" w:cs="Arial" w:eastAsia="Arial" w:hAnsi="Arial"/>
      <w:b/>
      <w:bCs/>
      <w:color w:val="2E74B5"/>
      <w:sz w:val="28"/>
      <w:szCs w:val="28"/>
    </w:rPr>
  </w:style>
  <w:style w:type="paragraph" w:styleId="Heading2">
    <w:name w:val="Heading 2"/>
    <w:basedOn w:val="Normal"/>
    <w:next w:val="Normal"/>
    <w:qFormat/>
    <w:pPr>
      <w:spacing w:before="200" w:after="100"/>
      <w:outlineLvl w:val="1"/>
    </w:pPr>
    <w:rPr>
      <w:rFonts w:ascii="Arial" w:cs="Arial" w:eastAsia="Arial" w:hAnsi="Arial"/>
      <w:b/>
      <w:bCs/>
      <w:color w:val="2E74B5"/>
      <w:sz w:val="24"/>
      <w:szCs w:val="24"/>
    </w:rPr>
  </w:style>
  <w:style w:type="paragraph" w:styleId="Heading3">
    <w:name w:val="Heading 3"/>
    <w:basedOn w:val="Normal"/>
    <w:next w:val="Normal"/>
    <w:qFormat/>
    <w:pPr>
      <w:spacing w:before="150" w:after="80"/>
      <w:outlineLvl w:val="2"/>
    </w:pPr>
    <w:rPr>
      <w:rFonts w:ascii="Arial" w:cs="Arial" w:eastAsia="Arial" w:hAnsi="Arial"/>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2026-02-27T16:56:18.268Z</dcterms:created>
  <dcterms:modified xsi:type="dcterms:W3CDTF">2026-02-27T16:56:18.268Z</dcterms:modified>
</cp:coreProperties>
</file>

<file path=docProps/custom.xml><?xml version="1.0" encoding="utf-8"?>
<Properties xmlns="http://schemas.openxmlformats.org/officeDocument/2006/custom-properties" xmlns:vt="http://schemas.openxmlformats.org/officeDocument/2006/docPropsVTypes"/>
</file>