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3"/>
              <w:bottom w:val="single" w:color="D97706" w:sz="3"/>
              <w:right w:val="single" w:color="D97706" w:sz="3"/>
            </w:tcBorders>
            <w:tcMar>
              <w:top w:type="dxa" w:w="300"/>
              <w:left w:type="dxa" w:w="200"/>
              <w:bottom w:type="dxa" w:w="300"/>
              <w:right w:type="dxa" w:w="200"/>
            </w:tcMar>
          </w:tcPr>
          <w:p>
            <w:pPr>
              <w:jc w:val="center"/>
            </w:pPr>
            <w:r>
              <w:rPr>
                <w:rFonts w:ascii="Arial" w:cs="Arial" w:eastAsia="Arial" w:hAnsi="Arial"/>
                <w:b/>
                <w:bCs/>
                <w:color w:val="92400E"/>
                <w:sz w:val="36"/>
                <w:szCs w:val="36"/>
              </w:rPr>
              <w:t xml:space="preserve">SOUTH AFRICAN HEALTHCARE</w:t>
            </w:r>
          </w:p>
          <w:p>
            <w:pPr>
              <w:jc w:val="center"/>
            </w:pPr>
            <w:r>
              <w:rPr>
                <w:rFonts w:ascii="Arial" w:cs="Arial" w:eastAsia="Arial" w:hAnsi="Arial"/>
                <w:b/>
                <w:bCs/>
                <w:color w:val="92400E"/>
                <w:sz w:val="36"/>
                <w:szCs w:val="36"/>
              </w:rPr>
              <w:t xml:space="preserve">CYBERSECURITY BUSINESS GUIDE</w:t>
            </w:r>
          </w:p>
          <w:p>
            <w:pPr>
              <w:spacing w:before="150"/>
              <w:jc w:val="center"/>
            </w:pPr>
            <w:r>
              <w:rPr>
                <w:rFonts w:ascii="Arial" w:cs="Arial" w:eastAsia="Arial" w:hAnsi="Arial"/>
                <w:color w:val="666666"/>
                <w:sz w:val="22"/>
                <w:szCs w:val="22"/>
              </w:rPr>
              <w:t xml:space="preserve">For Medical Practices, Dental Practices &amp; Allied Health Providers</w:t>
            </w:r>
          </w:p>
          <w:p>
            <w:pPr>
              <w:spacing w:before="100"/>
              <w:jc w:val="center"/>
            </w:pPr>
            <w:r>
              <w:rPr>
                <w:rFonts w:ascii="Arial" w:cs="Arial" w:eastAsia="Arial" w:hAnsi="Arial"/>
                <w:color w:val="999999"/>
                <w:sz w:val="20"/>
                <w:szCs w:val="20"/>
              </w:rPr>
              <w:t xml:space="preserve">POPIA • HPCSA • National Health Act • Cybercrimes Act</w:t>
            </w:r>
          </w:p>
          <w:p>
            <w:pPr>
              <w:spacing w:before="200"/>
              <w:jc w:val="center"/>
            </w:pPr>
            <w:r>
              <w:rPr>
                <w:rFonts w:ascii="Arial" w:cs="Arial" w:eastAsia="Arial" w:hAnsi="Arial"/>
                <w:color w:val="D97706"/>
                <w:sz w:val="18"/>
                <w:szCs w:val="18"/>
              </w:rPr>
              <w:t xml:space="preserve">Prepared by Greyhat4hire (Pty) Ltd | www.greyhat4hire.com | +27 84 635 3581</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 IMPORTANT: </w:t>
            </w:r>
            <w:r>
              <w:rPr>
                <w:rFonts w:ascii="Arial" w:cs="Arial" w:eastAsia="Arial" w:hAnsi="Arial"/>
                <w:sz w:val="20"/>
                <w:szCs w:val="20"/>
              </w:rPr>
              <w:t xml:space="preserve">This guide is for informational purposes and does not constitute legal advice. Consult a qualified attorney for specific compliance requirements. Healthcare practices handling patient data are processing </w:t>
            </w:r>
            <w:r>
              <w:rPr>
                <w:rFonts w:ascii="Arial" w:cs="Arial" w:eastAsia="Arial" w:hAnsi="Arial"/>
                <w:b/>
                <w:bCs/>
                <w:sz w:val="20"/>
                <w:szCs w:val="20"/>
              </w:rPr>
              <w:t xml:space="preserve">special personal information </w:t>
            </w:r>
            <w:r>
              <w:rPr>
                <w:rFonts w:ascii="Arial" w:cs="Arial" w:eastAsia="Arial" w:hAnsi="Arial"/>
                <w:sz w:val="20"/>
                <w:szCs w:val="20"/>
              </w:rPr>
              <w:t xml:space="preserve">under POPIA Section 26, which carries enhanced obligations and penalties.</w:t>
            </w:r>
          </w:p>
        </w:tc>
      </w:tr>
    </w:tbl>
    <w:p>
      <w:pPr>
        <w:pStyle w:val="Heading1"/>
      </w:pPr>
      <w:r>
        <w:t xml:space="preserve">1. WHY CYBERSECURITY MATTERS FOR YOUR PRACTICE</w:t>
      </w:r>
    </w:p>
    <w:p>
      <w:pPr>
        <w:spacing w:before="0" w:after="120"/>
      </w:pPr>
      <w:r>
        <w:rPr>
          <w:rFonts w:ascii="Arial" w:cs="Arial" w:eastAsia="Arial" w:hAnsi="Arial"/>
          <w:b w:val="false"/>
          <w:bCs w:val="false"/>
          <w:color w:val="000000"/>
          <w:sz w:val="20"/>
          <w:szCs w:val="20"/>
        </w:rPr>
        <w:t xml:space="preserve">South African healthcare practices are among the most targeted organisations for cyberattacks. Medical and dental practices hold large volumes of special personal information (health records, ID numbers, medical scheme details, biometric data) that is highly valuable on the black market and subject to the strictest protections under POPIA.</w:t>
      </w:r>
    </w:p>
    <w:p>
      <w:pPr>
        <w:spacing w:before="100" w:after="120"/>
      </w:pPr>
      <w:r>
        <w:rPr>
          <w:rFonts w:ascii="Arial" w:cs="Arial" w:eastAsia="Arial" w:hAnsi="Arial"/>
          <w:b/>
          <w:bCs/>
          <w:color w:val="000000"/>
          <w:sz w:val="20"/>
          <w:szCs w:val="20"/>
        </w:rPr>
        <w:t xml:space="preserve">The consequences of a breach are severe: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REGULATORY</w:t>
            </w:r>
          </w:p>
        </w:tc>
        <w:tc>
          <w:tcPr>
            <w:tcW w:type="dxa" w:w="3120"/>
            <w:tcBorders>
              <w:top w:val="single" w:color="999999" w:sz="1"/>
              <w:left w:val="single" w:color="999999" w:sz="1"/>
              <w:bottom w:val="single" w:color="999999" w:sz="1"/>
              <w:right w:val="single" w:color="999999"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FINANCIAL</w:t>
            </w:r>
          </w:p>
        </w:tc>
        <w:tc>
          <w:tcPr>
            <w:tcW w:type="dxa" w:w="3120"/>
            <w:tcBorders>
              <w:top w:val="single" w:color="999999" w:sz="1"/>
              <w:left w:val="single" w:color="999999" w:sz="1"/>
              <w:bottom w:val="single" w:color="999999" w:sz="1"/>
              <w:right w:val="single" w:color="999999"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REPUTATIONAL</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POPIA fines up to R10 million or imprisonment. HPCSA disciplinary action. Information Regulator enforcement notices.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Average SA healthcare breach costs R49+ million (IBM 2024). Practice downtime, lost revenue, ransomware payments, forensic costs.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Patient trust destruction. Negative media coverage. HPCSA fitness to practice hearings. Patient migration to competitors.</w:t>
            </w:r>
          </w:p>
        </w:tc>
      </w:tr>
    </w:tbl>
    <w:p>
      <w:pPr>
        <w:pStyle w:val="Heading1"/>
      </w:pPr>
      <w:r>
        <w:t xml:space="preserve">2. POPIA &amp; SPECIAL PERSONAL INFORMATION (SECTION 26)</w:t>
      </w:r>
    </w:p>
    <w:p>
      <w:pPr>
        <w:spacing w:before="0" w:after="120"/>
      </w:pPr>
      <w:r>
        <w:rPr>
          <w:rFonts w:ascii="Arial" w:cs="Arial" w:eastAsia="Arial" w:hAnsi="Arial"/>
          <w:b w:val="false"/>
          <w:bCs w:val="false"/>
          <w:color w:val="000000"/>
          <w:sz w:val="20"/>
          <w:szCs w:val="20"/>
        </w:rPr>
        <w:t xml:space="preserve">Healthcare practices process special personal information as defined in POPIA Section 26. This includes health or sex life data, biometric information, and in many cases religious or philosophical beliefs (relevant for treatment preferences).</w:t>
      </w:r>
    </w:p>
    <w:p>
      <w:pPr>
        <w:spacing w:before="100" w:after="120"/>
      </w:pPr>
      <w:r>
        <w:rPr>
          <w:rFonts w:ascii="Arial" w:cs="Arial" w:eastAsia="Arial" w:hAnsi="Arial"/>
          <w:b/>
          <w:bCs/>
          <w:color w:val="000000"/>
          <w:sz w:val="20"/>
          <w:szCs w:val="20"/>
        </w:rPr>
        <w:t xml:space="preserve">Section 26 PROHIBITS the processing of special personal information unless one of the following exceptions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736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Applicability to Healthcare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Section 27(1)(a)</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Consent: The data subject (patient) has given explicit consent. This is the most common basis. Consent must be specific, informed, and voluntary.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Section 27(1)(d)</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purposes: Processing is necessary for medical treatment, by a healthcare professional subject to professional secrecy obligations (HPCSA-registered practitioners).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Section 32</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 or public interest: Processing is necessary for medical treatment, managed healthcare, or public health purposes.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Section 27(1)(e)</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obligation: Processing is required to establish, exercise, or defend a legal right (e.g., medical negligence defence, medical scheme disputes).</w:t>
            </w:r>
          </w:p>
        </w:tc>
      </w:tr>
    </w:tbl>
    <w:p>
      <w:pPr>
        <w:pStyle w:val="Heading1"/>
      </w:pPr>
      <w:r>
        <w:t xml:space="preserve">3. MANDATORY BREACH NOTIFICATION (SECTION 22)</w:t>
      </w:r>
    </w:p>
    <w:p>
      <w:pPr>
        <w:spacing w:before="100" w:after="120"/>
      </w:pPr>
      <w:r>
        <w:rPr>
          <w:rFonts w:ascii="Arial" w:cs="Arial" w:eastAsia="Arial" w:hAnsi="Arial"/>
          <w:b w:val="false"/>
          <w:bCs w:val="false"/>
          <w:color w:val="000000"/>
          <w:sz w:val="20"/>
          <w:szCs w:val="20"/>
        </w:rPr>
        <w:t xml:space="preserve">If your practice suffers a data breach involving patient records, POPIA Section 22 requires you to notify:</w:t>
      </w:r>
    </w:p>
    <w:p>
      <w:pPr>
        <w:spacing w:before="0" w:after="200"/>
      </w:pPr>
      <w:r>
        <w:rPr>
          <w:rFonts w:ascii="Arial" w:cs="Arial" w:eastAsia="Arial" w:hAnsi="Arial"/>
          <w:b w:val="false"/>
          <w:bCs w:val="false"/>
          <w:color w:val="000000"/>
          <w:sz w:val="20"/>
          <w:szCs w:val="20"/>
        </w:rPr>
        <w:t xml:space="preserve">1. The Information Regulator — as soon as reasonably possible after discovery.
2. Every affected data subject (patient) — unless notification would impede a criminal investigation.
The notification must include: the nature of the breach, a description of the personal information involved, the measures taken to address the breach, and recommendations for what affected patients can do to protect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EE2E2" w:val="clear"/>
            <w:tcMar>
              <w:top w:type="dxa" w:w="80"/>
              <w:left w:type="dxa" w:w="120"/>
              <w:bottom w:type="dxa" w:w="80"/>
              <w:right w:type="dxa" w:w="120"/>
            </w:tcMar>
          </w:tcPr>
          <w:p>
            <w:pPr>
              <w:spacing w:before="0" w:after="120"/>
            </w:pPr>
            <w:r>
              <w:rPr>
                <w:rFonts w:ascii="Arial" w:cs="Arial" w:eastAsia="Arial" w:hAnsi="Arial"/>
                <w:b w:val="false"/>
                <w:bCs w:val="false"/>
                <w:color w:val="000000"/>
                <w:sz w:val="18"/>
                <w:szCs w:val="18"/>
              </w:rPr>
              <w:t xml:space="preserve">⚠ REAL-WORLD SCENARIO: A dental practice in Gauteng discovers that a ransomware attack has encrypted all patient records. Even if the practice pays the ransom and recovers the data, this IS a notifiable breach because the attacker had unauthorised access to special personal information. The practice must notify the Information Regulator AND every affected patient.</w:t>
            </w:r>
          </w:p>
        </w:tc>
      </w:tr>
    </w:tbl>
    <w:p>
      <w:pPr>
        <w:pStyle w:val="Heading1"/>
      </w:pPr>
      <w:r>
        <w:t xml:space="preserve">4. PRACTICE MANAGEMENT SYSTEM SECURITY</w:t>
      </w:r>
    </w:p>
    <w:p>
      <w:pPr>
        <w:spacing w:before="0" w:after="120"/>
      </w:pPr>
      <w:r>
        <w:rPr>
          <w:rFonts w:ascii="Arial" w:cs="Arial" w:eastAsia="Arial" w:hAnsi="Arial"/>
          <w:b w:val="false"/>
          <w:bCs w:val="false"/>
          <w:color w:val="000000"/>
          <w:sz w:val="20"/>
          <w:szCs w:val="20"/>
        </w:rPr>
        <w:t xml:space="preserve">Most South African medical and dental practices rely on one of the following practice management systems. Each presents specific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78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Security Considerations</w:t>
            </w:r>
          </w:p>
        </w:tc>
        <w:tc>
          <w:tcPr>
            <w:tcW w:type="dxa" w:w="378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Your Action Items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GoodX</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Cloud-hosted. Data stored on GoodX servers. Review their DPA and data residency. Shared-credential risk if staff share logins.</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Request GoodX’s POPIA compliance certificate. Enforce individual user accounts. Enable audit logging. Review data export controls.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Healthbridge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Historically on-premise with cloud migration. Mixed environments create additional attack surface. Integration with medical schemes via EDI.</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 encryption in transit and at rest. Audit EDI connections. Ensure on-prem servers are patched and firewalled.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Elixir / iMedic</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Desktop-based with local database. Higher risk of local compromise. Backup procedures critical. Often runs on Windows machines with poor patch hygiene.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 full-disk encryption. Implement automated backups (off-site). Keep Windows and Elixir updated. Restrict USB access.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Dental Manager</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Dental-specific. Similar risks to other desktop-based systems. X-ray integration may expose DICOM data.</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Secure DICOM endpoints. Verify backup encryption. Audit user access levels.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MedEDI / Switch</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Claims switching platforms. Process medical scheme data including ICD-10 codes, patient IDs, and billing information.</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DPA with switching provider. Monitor for unusual claims activity. Secure API credentials.</w:t>
            </w:r>
          </w:p>
        </w:tc>
      </w:tr>
    </w:tbl>
    <w:p>
      <w:pPr>
        <w:pStyle w:val="Heading1"/>
      </w:pPr>
      <w:r>
        <w:t xml:space="preserve">5. WHATSAPP &amp; PATIENT DATA — THE HIDDEN RISK</w:t>
      </w:r>
    </w:p>
    <w:p>
      <w:pPr>
        <w:spacing w:before="100" w:after="120"/>
      </w:pPr>
      <w:r>
        <w:rPr>
          <w:rFonts w:ascii="Arial" w:cs="Arial" w:eastAsia="Arial" w:hAnsi="Arial"/>
          <w:b w:val="false"/>
          <w:bCs w:val="false"/>
          <w:color w:val="000000"/>
          <w:sz w:val="20"/>
          <w:szCs w:val="20"/>
        </w:rPr>
        <w:t xml:space="preserve">Many SA healthcare practices use WhatsApp to communicate with patients. While convenient, this creates serious POPIA compliance risks:</w:t>
      </w:r>
    </w:p>
    <w:p>
      <w:pPr>
        <w:spacing w:before="0" w:after="200"/>
      </w:pPr>
      <w:r>
        <w:rPr>
          <w:rFonts w:ascii="Arial" w:cs="Arial" w:eastAsia="Arial" w:hAnsi="Arial"/>
          <w:b w:val="false"/>
          <w:bCs w:val="false"/>
          <w:color w:val="000000"/>
          <w:sz w:val="20"/>
          <w:szCs w:val="20"/>
        </w:rPr>
        <w:t xml:space="preserve">• WhatsApp messages containing diagnoses, test results, or treatment plans constitute processing of special personal information.
• WhatsApp’s servers are located outside South Africa, triggering POPIA Section 72 (cross-border transfer) requirements.
• Staff personal phones with WhatsApp are rarely encrypted, not remotely wipeable, and not subject to organisational security controls.
• WhatsApp group chats risk accidental disclosure of patient information to unintended recipients.
• There is no audit trail, access control, or retention management on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FEE2E2" w:val="clear"/>
            <w:tcMar>
              <w:top w:type="dxa" w:w="80"/>
              <w:left w:type="dxa" w:w="120"/>
              <w:bottom w:type="dxa" w:w="80"/>
              <w:right w:type="dxa" w:w="120"/>
            </w:tcMar>
          </w:tcPr>
          <w:p>
            <w:pPr>
              <w:spacing w:before="0" w:after="120"/>
            </w:pPr>
            <w:r>
              <w:rPr>
                <w:rFonts w:ascii="Arial" w:cs="Arial" w:eastAsia="Arial" w:hAnsi="Arial"/>
                <w:b/>
                <w:bCs/>
                <w:color w:val="DC2626"/>
                <w:sz w:val="20"/>
                <w:szCs w:val="20"/>
              </w:rPr>
              <w:t xml:space="preserve">WHAT NOT TO DO</w:t>
            </w:r>
          </w:p>
          <w:p>
            <w:pPr>
              <w:spacing w:before="0" w:after="120"/>
            </w:pPr>
            <w:r>
              <w:rPr>
                <w:rFonts w:ascii="Arial" w:cs="Arial" w:eastAsia="Arial" w:hAnsi="Arial"/>
                <w:b w:val="false"/>
                <w:bCs w:val="false"/>
                <w:color w:val="000000"/>
                <w:sz w:val="18"/>
                <w:szCs w:val="18"/>
              </w:rPr>
              <w:t xml:space="preserve">• Send lab results via WhatsApp
• Share X-rays in WhatsApp groups
• Discuss diagnoses in patient WhatsApp chats
• Store patient data on personal phones
• Use WhatsApp for appointment booking with medical details</w:t>
            </w:r>
          </w:p>
        </w:tc>
        <w:tc>
          <w:tcPr>
            <w:tcW w:type="dxa" w:w="4680"/>
            <w:tcBorders>
              <w:top w:val="single" w:color="999999" w:sz="1"/>
              <w:left w:val="single" w:color="999999" w:sz="1"/>
              <w:bottom w:val="single" w:color="999999" w:sz="1"/>
              <w:right w:val="single" w:color="999999" w:sz="1"/>
            </w:tcBorders>
            <w:shd w:fill="DCFCE7" w:val="clear"/>
            <w:tcMar>
              <w:top w:type="dxa" w:w="80"/>
              <w:left w:type="dxa" w:w="120"/>
              <w:bottom w:type="dxa" w:w="80"/>
              <w:right w:type="dxa" w:w="120"/>
            </w:tcMar>
          </w:tcPr>
          <w:p>
            <w:pPr>
              <w:spacing w:before="0" w:after="120"/>
            </w:pPr>
            <w:r>
              <w:rPr>
                <w:rFonts w:ascii="Arial" w:cs="Arial" w:eastAsia="Arial" w:hAnsi="Arial"/>
                <w:b/>
                <w:bCs/>
                <w:color w:val="166534"/>
                <w:sz w:val="20"/>
                <w:szCs w:val="20"/>
              </w:rPr>
              <w:t xml:space="preserve">WHAT TO DO INSTEAD</w:t>
            </w:r>
          </w:p>
          <w:p>
            <w:pPr>
              <w:spacing w:before="0" w:after="120"/>
            </w:pPr>
            <w:r>
              <w:rPr>
                <w:rFonts w:ascii="Arial" w:cs="Arial" w:eastAsia="Arial" w:hAnsi="Arial"/>
                <w:b w:val="false"/>
                <w:bCs w:val="false"/>
                <w:color w:val="000000"/>
                <w:sz w:val="18"/>
                <w:szCs w:val="18"/>
              </w:rPr>
              <w:t xml:space="preserve">• Use a POPIA-compliant patient portal
• Use encrypted email for clinical results
• Limit WhatsApp to appointment reminders only (no clinical detail)
• Implement a mobile device management (MDM) solution
• Document a WhatsApp usage policy and train all staff</w:t>
            </w:r>
          </w:p>
        </w:tc>
      </w:tr>
    </w:tbl>
    <w:p>
      <w:pPr>
        <w:pStyle w:val="Heading1"/>
      </w:pPr>
      <w:r>
        <w:t xml:space="preserve">6. HPCSA OBLIGATIONS &amp; PROFESSIONAL CONDUCT</w:t>
      </w:r>
    </w:p>
    <w:p>
      <w:pPr>
        <w:spacing w:before="0" w:after="120"/>
      </w:pPr>
      <w:r>
        <w:rPr>
          <w:rFonts w:ascii="Arial" w:cs="Arial" w:eastAsia="Arial" w:hAnsi="Arial"/>
          <w:b w:val="false"/>
          <w:bCs w:val="false"/>
          <w:color w:val="000000"/>
          <w:sz w:val="20"/>
          <w:szCs w:val="20"/>
        </w:rPr>
        <w:t xml:space="preserve">The Health Professions Council of South Africa (HPCSA) has issued ethical rules and guidelines that intersect with cybersecurity:</w:t>
      </w:r>
    </w:p>
    <w:p>
      <w:pPr>
        <w:spacing w:before="0" w:after="120"/>
      </w:pPr>
      <w:r>
        <w:rPr>
          <w:rFonts w:ascii="Arial" w:cs="Arial" w:eastAsia="Arial" w:hAnsi="Arial"/>
          <w:b w:val="false"/>
          <w:bCs w:val="false"/>
          <w:color w:val="000000"/>
          <w:sz w:val="20"/>
          <w:szCs w:val="20"/>
        </w:rPr>
        <w:t xml:space="preserve">• Rule 13 (Confidentiality): A practitioner shall not disclose personal information regarding a patient without their written consent. A data breach constitutes a failure to maintain confidentiality.
• Booklet 9 (Guidelines on the Keeping of Patient Records): Records must be kept confidential, accurate, and secure. This extends to electronic records and backups.
• Telemedicine Guidelines: Virtual consultations must use secure, encrypted platforms. WhatsApp video calls do not meet this standard for clinical consultations.
• National Health Act (Section 14-17): Patients have the right to confidentiality of their health information. Practitioners who fail to protect records may face disciplinary proceedings.</w:t>
      </w:r>
    </w:p>
    <w:p>
      <w:pPr>
        <w:pStyle w:val="Heading1"/>
      </w:pPr>
      <w:r>
        <w:t xml:space="preserve">7. THE 5 QUESTIONS EVERY PRACTICE MUST ANSWER</w:t>
      </w:r>
    </w:p>
    <w:p>
      <w:pPr>
        <w:spacing w:before="100" w:after="200"/>
      </w:pPr>
      <w:r>
        <w:rPr>
          <w:rFonts w:ascii="Arial" w:cs="Arial" w:eastAsia="Arial" w:hAnsi="Arial"/>
          <w:b w:val="false"/>
          <w:bCs w:val="false"/>
          <w:color w:val="000000"/>
          <w:sz w:val="20"/>
          <w:szCs w:val="20"/>
        </w:rPr>
        <w:t xml:space="preserve">If you cannot confidently answer “yes” to all five, your practice is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1300"/>
        <w:gridCol w:w="1300"/>
      </w:tblGrid>
      <w:tr>
        <w:tc>
          <w:tcPr>
            <w:tcW w:type="dxa" w:w="6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16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3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3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No</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documented, tested incident response plan that specifically covers patient data breaches and POPIA Section 22 notification?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all patient data encrypted at rest (on your servers/PCs) AND in transit (between your systems, labs, and medical schemes)?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every staff member who accesses patient data have their own unique login with multi-factor authentication (MFA) enabled?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Have all staff completed documented security awareness training in the past 12 months covering phishing, password hygiene, and POPIA obligations?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POPIA-compliant data processing agreement (DPA) with every third party that touches patient data (IT provider, cloud host, practice management vendor, lab)?</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before="200" w:after="120"/>
      </w:pPr>
      <w:r>
        <w:rPr>
          <w:rFonts w:ascii="Arial" w:cs="Arial" w:eastAsia="Arial" w:hAnsi="Arial"/>
          <w:b/>
          <w:bCs/>
          <w:color w:val="D97706"/>
          <w:sz w:val="20"/>
          <w:szCs w:val="20"/>
        </w:rPr>
        <w:t xml:space="preserve">If you answered “No” to any of these, Greyhat4hire can help. Contact us for a free initial consultation at +27 84 635 3581 or visit www.greyhat4hire.com.</w:t>
      </w:r>
    </w:p>
    <w:p>
      <w:r>
        <w:br w:type="page"/>
      </w:r>
    </w:p>
    <w:p>
      <w:pPr>
        <w:pStyle w:val="Heading1"/>
      </w:pPr>
      <w:r>
        <w:t xml:space="preserve">8. QUICK-START SECURITY CHECKLIST FOR PRACTICES</w:t>
      </w:r>
    </w:p>
    <w:p>
      <w:pPr>
        <w:spacing w:before="0" w:after="120"/>
      </w:pPr>
      <w:r>
        <w:rPr>
          <w:rFonts w:ascii="Arial" w:cs="Arial" w:eastAsia="Arial" w:hAnsi="Arial"/>
          <w:b w:val="false"/>
          <w:bCs w:val="false"/>
          <w:color w:val="000000"/>
          <w:sz w:val="20"/>
          <w:szCs w:val="20"/>
        </w:rPr>
        <w:t xml:space="preserve">Implement these controls as a minimum baseline. They address the most common attack vectors targeting SA healthcare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380"/>
        <w:gridCol w:w="1380"/>
      </w:tblGrid>
      <w:tr>
        <w:tc>
          <w:tcPr>
            <w:tcW w:type="dxa" w:w="6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00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8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1380"/>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 MFA on all accounts (email, practice management, cloud)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Install and maintain EDR/antivirus on all computers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 full-disk encryption (BitLocker/FileVault) on all machines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daily automated backups with off-site/cloud copy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backup restoration quarterly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 default passwords on all routers, printers, and IoT devices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Separate guest Wi-Fi from practice network</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WPA3 or WPA2-Enterprise for wireless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Patch all operating systems and software within 30 days of release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individual user accounts (no shared logins)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Conduct annual security awareness training for all staff</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a POPIA-compliant privacy notice for patients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Obtain signed DPAs from all IT and cloud providers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Restrict USB port access on all workstations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a clean-desk policy for paper records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 annual penetration test of internet-facing systems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Appoint a POPIA Information Officer and register with the Regulator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email filtering (anti-phishing, anti-malware)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an incident response procedure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and restrict practice management system access rights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3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before="300" w:after="12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3"/>
              <w:left w:val="single" w:color="D97706" w:sz="3"/>
              <w:bottom w:val="single" w:color="D97706" w:sz="3"/>
              <w:right w:val="single" w:color="D97706" w:sz="3"/>
            </w:tcBorders>
            <w:shd w:fill="FFFBEB" w:val="clear"/>
            <w:tcMar>
              <w:top w:type="dxa" w:w="200"/>
              <w:left w:type="dxa" w:w="200"/>
              <w:bottom w:type="dxa" w:w="200"/>
              <w:right w:type="dxa" w:w="200"/>
            </w:tcMar>
          </w:tcPr>
          <w:p>
            <w:pPr>
              <w:jc w:val="center"/>
            </w:pPr>
            <w:r>
              <w:rPr>
                <w:rFonts w:ascii="Arial" w:cs="Arial" w:eastAsia="Arial" w:hAnsi="Arial"/>
                <w:b/>
                <w:bCs/>
                <w:color w:val="92400E"/>
                <w:sz w:val="26"/>
                <w:szCs w:val="26"/>
              </w:rPr>
              <w:t xml:space="preserve">NEED HELP SECURING YOUR PRACTICE?</w:t>
            </w:r>
          </w:p>
          <w:p>
            <w:pPr>
              <w:spacing w:before="100"/>
              <w:jc w:val="center"/>
            </w:pPr>
            <w:r>
              <w:rPr>
                <w:rFonts w:ascii="Arial" w:cs="Arial" w:eastAsia="Arial" w:hAnsi="Arial"/>
                <w:sz w:val="20"/>
                <w:szCs w:val="20"/>
              </w:rPr>
              <w:t xml:space="preserve">Greyhat4hire specialises in healthcare cybersecurity for South African practices.
We offer POPIA gap assessments, penetration testing, security awareness training, and incident response planning.</w:t>
            </w:r>
          </w:p>
          <w:p>
            <w:pPr>
              <w:spacing w:before="150"/>
              <w:jc w:val="center"/>
            </w:pPr>
            <w:r>
              <w:rPr>
                <w:rFonts w:ascii="Arial" w:cs="Arial" w:eastAsia="Arial" w:hAnsi="Arial"/>
                <w:b/>
                <w:bCs/>
                <w:color w:val="D97706"/>
                <w:sz w:val="20"/>
                <w:szCs w:val="20"/>
              </w:rPr>
              <w:t xml:space="preserve">+27 84 635 3581  |  www.greyhat4hire.com  |  info@greyhat4hire.com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92400E"/>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2026-03-07T08:49:02.961Z</dcterms:created>
  <dcterms:modified xsi:type="dcterms:W3CDTF">2026-03-07T08:49:02.962Z</dcterms:modified>
</cp:coreProperties>
</file>

<file path=docProps/custom.xml><?xml version="1.0" encoding="utf-8"?>
<Properties xmlns="http://schemas.openxmlformats.org/officeDocument/2006/custom-properties" xmlns:vt="http://schemas.openxmlformats.org/officeDocument/2006/docPropsVTypes"/>
</file>