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2"/>
              <w:left w:val="single" w:color="2E74B5" w:sz="2"/>
              <w:bottom w:val="single" w:color="2E74B5" w:sz="2"/>
              <w:right w:val="single" w:color="2E74B5" w:sz="2"/>
            </w:tcBorders>
            <w:shd w:fill="2E74B5" w:val="clear"/>
            <w:tcMar>
              <w:top w:type="dxa" w:w="150"/>
              <w:left w:type="dxa" w:w="200"/>
              <w:bottom w:type="dxa" w:w="80"/>
              <w:right w:type="dxa" w:w="200"/>
            </w:tcMar>
          </w:tcPr>
          <w:p>
            <w:pPr>
              <w:jc w:val="center"/>
            </w:pPr>
            <w:r>
              <w:rPr>
                <w:rFonts w:ascii="Arial" w:cs="Arial" w:eastAsia="Arial" w:hAnsi="Arial"/>
                <w:b/>
                <w:bCs/>
                <w:color w:val="FFFFFF"/>
                <w:sz w:val="36"/>
                <w:szCs w:val="36"/>
              </w:rPr>
              <w:t xml:space="preserve">Greyhat4hire</w:t>
            </w:r>
          </w:p>
          <w:p>
            <w:pPr>
              <w:spacing w:after="60"/>
              <w:jc w:val="center"/>
            </w:pPr>
            <w:r>
              <w:rPr>
                <w:rFonts w:ascii="Arial" w:cs="Arial" w:eastAsia="Arial" w:hAnsi="Arial"/>
                <w:color w:val="FFFFFF"/>
                <w:sz w:val="20"/>
                <w:szCs w:val="20"/>
              </w:rPr>
              <w:t xml:space="preserve">www.greyhat4hire.com | +27 84 635 3581</w:t>
            </w:r>
          </w:p>
        </w:tc>
      </w:tr>
      <w:tr>
        <w:tc>
          <w:tcPr>
            <w:tcW w:type="dxa" w:w="9026"/>
            <w:tcBorders>
              <w:top w:val="single" w:color="2E74B5" w:sz="2"/>
              <w:left w:val="single" w:color="2E74B5" w:sz="2"/>
              <w:bottom w:val="single" w:color="2E74B5" w:sz="2"/>
              <w:right w:val="single" w:color="2E74B5" w:sz="2"/>
            </w:tcBorders>
            <w:shd w:fill="1F4D78"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PENETRATION TEST — SCOPE OF WORK TEMPLATE</w:t>
            </w:r>
          </w:p>
          <w:p>
            <w:pPr>
              <w:jc w:val="center"/>
            </w:pPr>
            <w:r>
              <w:rPr>
                <w:rFonts w:ascii="Arial" w:cs="Arial" w:eastAsia="Arial" w:hAnsi="Arial"/>
                <w:color w:val="D5E8F0"/>
                <w:sz w:val="18"/>
                <w:szCs w:val="18"/>
              </w:rPr>
              <w:t xml:space="preserve">Issued Under and Subject to the Master Service Agreement Between the Parties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9026"/>
            <w:gridSpan w:val="2"/>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2"/>
                <w:szCs w:val="22"/>
              </w:rPr>
              <w:t xml:space="preserve">1. ENGAGEMENT IDENTIFICATION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SOW Reference No.</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GH4H-PT-SOW-______-______</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MSA Reference No.</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GH4H-MSA-______-______</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ROE Reference No.</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GH4H-ROE-______-______</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Service Provider</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Greyhat4hire (Pty) Ltd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Registration No.</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2026/115528/07</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Provider Address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Suite 2 Corals on Campbell, Umhlanga, Durban, 4320</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Provider Tel / Web</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 84 635 3581 | www.greyhat4hire.com</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Client Name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Client Reg. No.</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Client Address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Client Contact Person</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Client Email / Tel</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SOW Issue Date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SOW Valid Until</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Engagement Type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External Pentest  ☐ Internal Pentest  ☐ Web App  ☐ API  ☐ Mobile App  ☐ Red Team  ☐ Wireless  ☐ Social Engineering  ☐ Other: ______</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Testing Approach</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Black Box  ☐ Grey Box  ☐ White Box</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Lead Consultant</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Supporting Consultants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200"/>
      </w:pPr>
    </w:p>
    <w:p>
      <w:pPr>
        <w:pStyle w:val="Heading1"/>
        <w:spacing w:before="300" w:after="150"/>
      </w:pPr>
      <w:r>
        <w:rPr>
          <w:rFonts w:ascii="Arial" w:cs="Arial" w:eastAsia="Arial" w:hAnsi="Arial"/>
          <w:b/>
          <w:bCs/>
          <w:color w:val="2E74B5"/>
          <w:sz w:val="28"/>
          <w:szCs w:val="28"/>
        </w:rPr>
        <w:t xml:space="preserve">2. EXECUTIVE SUMMARY</w:t>
      </w:r>
    </w:p>
    <w:p>
      <w:pPr>
        <w:spacing w:after="100"/>
      </w:pPr>
      <w:r>
        <w:rPr>
          <w:rFonts w:ascii="Arial" w:cs="Arial" w:eastAsia="Arial" w:hAnsi="Arial"/>
          <w:sz w:val="20"/>
          <w:szCs w:val="20"/>
        </w:rPr>
        <w:t xml:space="preserve">This Statement of Work sets out the specific scope, methodology, deliverables, timeline, and commercial terms for the penetration testing engagement described herein. It is to be read in conjunction with the Master Service Agreement (MSA) and the Rules of Engagement (ROE) signed by both Parties.</w:t>
      </w:r>
    </w:p>
    <w:p>
      <w:pPr>
        <w:pBdr>
          <w:top w:val="single" w:color="CCCCCC" w:sz="1"/>
          <w:left w:val="single" w:color="CCCCCC" w:sz="1"/>
          <w:bottom w:val="single" w:color="CCCCCC" w:sz="1"/>
          <w:right w:val="single" w:color="CCCCCC" w:sz="1"/>
        </w:pBdr>
        <w:spacing w:after="100"/>
      </w:pPr>
      <w:r>
        <w:rPr>
          <w:rFonts w:ascii="Arial" w:cs="Arial" w:eastAsia="Arial" w:hAnsi="Arial"/>
          <w:i/>
          <w:iCs/>
          <w:color w:val="666666"/>
          <w:sz w:val="20"/>
          <w:szCs w:val="20"/>
        </w:rPr>
        <w:t xml:space="preserve">[Provide a 2–4 sentence plain-language summary of the engagement: what will be tested, why, and what the Client will receive. Example: Greyhat4hire will conduct an external penetration test against the Client’s internet-facing web applications and infrastructure, simulating an unauthenticated external threat actor. The objective is to identify and demonstrate exploitable vulnerabilities before they can be leveraged by real attackers. The Client will receive an Executive Summary Report and a full Technical Report with prioritised remediation guidance.]</w:t>
      </w:r>
    </w:p>
    <w:p>
      <w:pPr>
        <w:spacing w:after="200"/>
      </w:pPr>
    </w:p>
    <w:p>
      <w:pPr>
        <w:pStyle w:val="Heading1"/>
        <w:spacing w:before="300" w:after="150"/>
      </w:pPr>
      <w:r>
        <w:rPr>
          <w:rFonts w:ascii="Arial" w:cs="Arial" w:eastAsia="Arial" w:hAnsi="Arial"/>
          <w:b/>
          <w:bCs/>
          <w:color w:val="2E74B5"/>
          <w:sz w:val="28"/>
          <w:szCs w:val="28"/>
        </w:rPr>
        <w:t xml:space="preserve">3. SCOPE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1426"/>
        <w:gridCol w:w="1400"/>
        <w:gridCol w:w="1400"/>
      </w:tblGrid>
      <w:tr>
        <w:tc>
          <w:tcPr>
            <w:tcW w:type="dxa" w:w="9026"/>
            <w:gridSpan w:val="6"/>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2"/>
                <w:szCs w:val="22"/>
              </w:rPr>
              <w:t xml:space="preserve">3.1 IN-SCOPE ASSETS &amp; TARGETS</w:t>
            </w:r>
          </w:p>
        </w:tc>
      </w:tr>
      <w:tr>
        <w:tc>
          <w:tcPr>
            <w:tcW w:type="dxa" w:w="6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Asset / System Name</w:t>
            </w:r>
          </w:p>
        </w:tc>
        <w:tc>
          <w:tcPr>
            <w:tcW w:type="dxa" w:w="2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IP / URL / Description</w:t>
            </w:r>
          </w:p>
        </w:tc>
        <w:tc>
          <w:tcPr>
            <w:tcW w:type="dxa" w:w="1426"/>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w:t>
            </w:r>
          </w:p>
        </w:tc>
        <w:tc>
          <w:tcPr>
            <w:tcW w:type="dxa" w:w="14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Type</w:t>
            </w:r>
          </w:p>
        </w:tc>
        <w:tc>
          <w:tcPr>
            <w:tcW w:type="dxa" w:w="14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Credentials?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Prod  ☐ Dev  ☐ Staging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Yes  ☐ No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Prod  ☐ Dev  ☐ Staging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Yes  ☐ No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Prod  ☐ Dev  ☐ Staging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Yes  ☐ No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Prod  ☐ Dev  ☐ Staging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Yes  ☐ No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Prod  ☐ Dev  ☐ Staging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Yes  ☐ No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Prod  ☐ Dev  ☐ Staging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Yes  ☐ No</w:t>
            </w:r>
          </w:p>
        </w:tc>
      </w:tr>
    </w:tbl>
    <w:p>
      <w:pPr>
        <w:spacing w:after="150"/>
      </w:pPr>
    </w:p>
    <w:p>
      <w:pPr>
        <w:pStyle w:val="Heading2"/>
        <w:spacing w:before="200" w:after="100"/>
      </w:pPr>
      <w:r>
        <w:rPr>
          <w:rFonts w:ascii="Arial" w:cs="Arial" w:eastAsia="Arial" w:hAnsi="Arial"/>
          <w:b/>
          <w:bCs/>
          <w:color w:val="2E74B5"/>
          <w:sz w:val="24"/>
          <w:szCs w:val="24"/>
        </w:rPr>
        <w:t xml:space="preserve">3.2 Out-of-Scope</w:t>
      </w:r>
    </w:p>
    <w:p>
      <w:pPr>
        <w:spacing w:after="100"/>
      </w:pPr>
      <w:r>
        <w:rPr>
          <w:rFonts w:ascii="Arial" w:cs="Arial" w:eastAsia="Arial" w:hAnsi="Arial"/>
          <w:sz w:val="20"/>
          <w:szCs w:val="20"/>
        </w:rPr>
        <w:t xml:space="preserve">All systems, networks, and assets not listed in section 3.1 are explicitly out of scope. In addition, the following are excluded from this engagement:</w:t>
      </w:r>
    </w:p>
    <w:p>
      <w:pPr>
        <w:pStyle w:val="ListParagraph"/>
        <w:numPr>
          <w:ilvl w:val="0"/>
          <w:numId w:val="2"/>
        </w:numPr>
      </w:pPr>
      <w:r>
        <w:rPr>
          <w:rFonts w:ascii="Arial" w:cs="Arial" w:eastAsia="Arial" w:hAnsi="Arial"/>
          <w:sz w:val="20"/>
          <w:szCs w:val="20"/>
        </w:rPr>
        <w:t xml:space="preserve">Third-party systems not owned or managed by the Client</w:t>
      </w:r>
    </w:p>
    <w:p>
      <w:pPr>
        <w:pStyle w:val="ListParagraph"/>
        <w:numPr>
          <w:ilvl w:val="0"/>
          <w:numId w:val="2"/>
        </w:numPr>
      </w:pPr>
      <w:r>
        <w:rPr>
          <w:rFonts w:ascii="Arial" w:cs="Arial" w:eastAsia="Arial" w:hAnsi="Arial"/>
          <w:sz w:val="20"/>
          <w:szCs w:val="20"/>
        </w:rPr>
        <w:t xml:space="preserve">Production databases containing live Personal Information (as defined in POPIA), unless specifically listed in section 3.1 with written exemption</w:t>
      </w:r>
    </w:p>
    <w:p>
      <w:pPr>
        <w:pStyle w:val="ListParagraph"/>
        <w:numPr>
          <w:ilvl w:val="0"/>
          <w:numId w:val="2"/>
        </w:numPr>
      </w:pPr>
      <w:r>
        <w:rPr>
          <w:rFonts w:ascii="Arial" w:cs="Arial" w:eastAsia="Arial" w:hAnsi="Arial"/>
          <w:sz w:val="20"/>
          <w:szCs w:val="20"/>
        </w:rPr>
        <w:t xml:space="preserve">Any systems not approved in the signed Rules of Engagement (ROE)</w:t>
      </w:r>
    </w:p>
    <w:p>
      <w:pPr>
        <w:pStyle w:val="ListParagraph"/>
        <w:numPr>
          <w:ilvl w:val="0"/>
          <w:numId w:val="2"/>
        </w:numPr>
      </w:pPr>
      <w:r>
        <w:rPr>
          <w:rFonts w:ascii="Arial" w:cs="Arial" w:eastAsia="Arial" w:hAnsi="Arial"/>
          <w:i/>
          <w:iCs/>
          <w:color w:val="666666"/>
          <w:sz w:val="20"/>
          <w:szCs w:val="20"/>
        </w:rPr>
        <w:t xml:space="preserve">[List any additional Client-specific exclusions here]</w:t>
      </w:r>
    </w:p>
    <w:p>
      <w:pPr>
        <w:spacing w:after="1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9026"/>
            <w:gridSpan w:val="2"/>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2"/>
                <w:szCs w:val="22"/>
              </w:rPr>
              <w:t xml:space="preserve">3.3 TESTING CONSTRAINTS &amp; CONDITIONS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Approved Testing Hours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Business Hours (08:00–17:00 SAST)  ☐ After Hours  ☐ 24/7</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Testing Window Start</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Testing Window End</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Denial-of-Service Testing</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Permitted  ☐ Not Permitted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Physical Social Engineering</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Permitted  ☐ Not Permitted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Phishing Simulation</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Permitted  ☐ Not Permitted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Automated Scanning</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Permitted  ☐ Limited  ☐ Not Permitted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Data Exfiltration (PoC)</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Permitted  ☐ Simulated Only  ☐ Not Permitted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Client Notification Contact</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____________  Tel: ____________  Email: ____________</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Emergency Stop Contact</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____________  Tel: ____________  Email: ____________</w:t>
            </w:r>
          </w:p>
        </w:tc>
      </w:tr>
    </w:tbl>
    <w:p>
      <w:pPr>
        <w:spacing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c>
          <w:tcPr>
            <w:tcW w:type="dxa" w:w="9026"/>
            <w:gridSpan w:val="3"/>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2"/>
                <w:szCs w:val="22"/>
              </w:rPr>
              <w:t xml:space="preserve">4. METHODOLOGY</w:t>
            </w:r>
          </w:p>
        </w:tc>
      </w:tr>
      <w:tr>
        <w:tc>
          <w:tcPr>
            <w:tcW w:type="dxa" w:w="6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6026"/>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Reconnaissance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Open-source intelligence gathering (OSINT), DNS enumeration, subdomain discovery, technology fingerprinting, and identification of publicly exposed assets.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Scanning &amp; Enumeration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network scanning, port enumeration, service version detection, and vulnerability scanning using industry-standard tools (Nmap, Nessus, etc.).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Vulnerability Analysis</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Assessment and validation of identified vulnerabilities against CVSS v3.1 scoring framework. False positive elimination through manual verification.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Exploitation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Controlled exploitation of confirmed vulnerabilities to demonstrate real-world impact. All exploitation follows the Rules of Engagement and targets only in-scope assets.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Post-Exploitation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Privilege escalation, lateral movement assessment, data access evaluation, and persistence analysis (where authorised under the ROE).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Reporting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Documentation of all findings with CVSS scores, proof-of-concept evidence, business impact analysis, and prioritised remediation recommendations.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Remediation Support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Post-report consultation session to walk through findings and assist the Client’s technical team with remediation planning.</w:t>
            </w:r>
          </w:p>
        </w:tc>
      </w:tr>
    </w:tbl>
    <w:p>
      <w:pPr>
        <w:spacing w:after="100"/>
      </w:pPr>
    </w:p>
    <w:p>
      <w:pPr>
        <w:spacing w:after="100"/>
      </w:pPr>
      <w:r>
        <w:rPr>
          <w:rFonts w:ascii="Arial" w:cs="Arial" w:eastAsia="Arial" w:hAnsi="Arial"/>
          <w:sz w:val="20"/>
          <w:szCs w:val="20"/>
        </w:rPr>
        <w:t xml:space="preserve">All testing will be conducted in accordance with industry-recognised frameworks and standards including OWASP Testing Guide v4.2, PTES (Penetration Testing Execution Standard), NIST SP 800-115, and MITRE ATT&amp;CK. Vulnerability severity ratings will follow the CVSS v3.1 scoring system.</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226"/>
        <w:gridCol w:w="2800"/>
      </w:tblGrid>
      <w:tr>
        <w:tc>
          <w:tcPr>
            <w:tcW w:type="dxa" w:w="9026"/>
            <w:gridSpan w:val="4"/>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2"/>
                <w:szCs w:val="22"/>
              </w:rPr>
              <w:t xml:space="preserve">5. DELIVERABLES</w:t>
            </w:r>
          </w:p>
        </w:tc>
      </w:tr>
      <w:tr>
        <w:tc>
          <w:tcPr>
            <w:tcW w:type="dxa" w:w="6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2226"/>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Format</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Delivery Date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Executive Summary Report</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 (password-protected)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Within __ business days of test completion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Technical Report</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 (password-protected)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Within __ business days of test completion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Vulnerability Register (Excel)</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XLSX (encrypted)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Delivered with Technical Report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Proof-of-Concept Evidence Pack</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ZIP (AES-256 encrypted)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Delivered with Technical Report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Remediation Walkthrough Session</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Virtual / On-site meeting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Within __ business days of report delivery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Re-test Report (if applicable)</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 (password-protected)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Within __ business days of remediation window</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513"/>
        <w:gridCol w:w="2513"/>
      </w:tblGrid>
      <w:tr>
        <w:tc>
          <w:tcPr>
            <w:tcW w:type="dxa" w:w="9026"/>
            <w:gridSpan w:val="4"/>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2"/>
                <w:szCs w:val="22"/>
              </w:rPr>
              <w:t xml:space="preserve">6. TIMELINE &amp; MILESTONES</w:t>
            </w:r>
          </w:p>
        </w:tc>
      </w:tr>
      <w:tr>
        <w:tc>
          <w:tcPr>
            <w:tcW w:type="dxa" w:w="6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2513"/>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Planned Date</w:t>
            </w:r>
          </w:p>
        </w:tc>
        <w:tc>
          <w:tcPr>
            <w:tcW w:type="dxa" w:w="2513"/>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Completed Date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SOW &amp; ROE Signed</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Kick-off Call / Pre-engagement Briefing</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 Commences</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 Concludes</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 Report Delivered</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 Report Delivered</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Remediation Walkthrough</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Re-test Window (if applicable)</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9026"/>
            <w:gridSpan w:val="2"/>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2"/>
                <w:szCs w:val="22"/>
              </w:rPr>
              <w:t xml:space="preserve">7. COMMERCIAL TERMS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Total Engagement Fee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 ______________ (excl. VAT)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VAT (15%)</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 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Total Incl. VAT</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 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Payment Terms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50% on SOW signature, 50% on report delivery
☐ 100% within 30 days of invoice
☐ Other: ____________</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Payment Method</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EFT  ☐ Credit Card  ☐ Other: ____________</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Re-test Fee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Included  ☐ Additional: R ____________</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Travel &amp; Expenses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Included  ☐ Billed at cost  ☐ Not Applicable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Currency</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South African Rand (ZAR)</w:t>
            </w:r>
          </w:p>
        </w:tc>
      </w:tr>
    </w:tbl>
    <w:p>
      <w:pPr>
        <w:spacing w:after="200"/>
      </w:pPr>
    </w:p>
    <w:p>
      <w:pPr>
        <w:pStyle w:val="Heading1"/>
        <w:spacing w:before="300" w:after="150"/>
      </w:pPr>
      <w:r>
        <w:rPr>
          <w:rFonts w:ascii="Arial" w:cs="Arial" w:eastAsia="Arial" w:hAnsi="Arial"/>
          <w:b/>
          <w:bCs/>
          <w:color w:val="2E74B5"/>
          <w:sz w:val="28"/>
          <w:szCs w:val="28"/>
        </w:rPr>
        <w:t xml:space="preserve">8. LEGAL &amp; COMPLIANCE FRAMEWORK</w:t>
      </w:r>
    </w:p>
    <w:p>
      <w:pPr>
        <w:spacing w:after="100"/>
      </w:pPr>
      <w:r>
        <w:rPr>
          <w:rFonts w:ascii="Arial" w:cs="Arial" w:eastAsia="Arial" w:hAnsi="Arial"/>
          <w:sz w:val="20"/>
          <w:szCs w:val="20"/>
        </w:rPr>
        <w:t xml:space="preserve">8.1  This SOW is governed by and construed in accordance with the laws of the Republic of South Africa.</w:t>
      </w:r>
    </w:p>
    <w:p>
      <w:pPr>
        <w:spacing w:after="100"/>
      </w:pPr>
      <w:r>
        <w:rPr>
          <w:rFonts w:ascii="Arial" w:cs="Arial" w:eastAsia="Arial" w:hAnsi="Arial"/>
          <w:sz w:val="20"/>
          <w:szCs w:val="20"/>
        </w:rPr>
        <w:t xml:space="preserve">8.2  All testing activities shall comply with the Cybercrimes Act 19 of 2020. The Service Provider confirms that no testing will commence without a signed ROE and written Authorisation to Test from an authorised representative of the Client.</w:t>
      </w:r>
    </w:p>
    <w:p>
      <w:pPr>
        <w:spacing w:after="100"/>
      </w:pPr>
      <w:r>
        <w:rPr>
          <w:rFonts w:ascii="Arial" w:cs="Arial" w:eastAsia="Arial" w:hAnsi="Arial"/>
          <w:sz w:val="20"/>
          <w:szCs w:val="20"/>
        </w:rPr>
        <w:t xml:space="preserve">8.3  Both Parties shall comply with the Protection of Personal Information Act 4 of 2013 (POPIA). Any Personal Information encountered during testing will be handled in accordance with the Data Processing Agreement (DPA) between the Parties.</w:t>
      </w:r>
    </w:p>
    <w:p>
      <w:pPr>
        <w:spacing w:after="100"/>
      </w:pPr>
      <w:r>
        <w:rPr>
          <w:rFonts w:ascii="Arial" w:cs="Arial" w:eastAsia="Arial" w:hAnsi="Arial"/>
          <w:sz w:val="20"/>
          <w:szCs w:val="20"/>
        </w:rPr>
        <w:t xml:space="preserve">8.4  Electronic signatures on this SOW shall be deemed valid and binding in accordance with the Electronic Communications and Transactions Act 25 of 2002 (ECTA).</w:t>
      </w:r>
    </w:p>
    <w:p>
      <w:pPr>
        <w:spacing w:after="100"/>
      </w:pPr>
      <w:r>
        <w:rPr>
          <w:rFonts w:ascii="Arial" w:cs="Arial" w:eastAsia="Arial" w:hAnsi="Arial"/>
          <w:sz w:val="20"/>
          <w:szCs w:val="20"/>
        </w:rPr>
        <w:t xml:space="preserve">8.5  Confidentiality obligations are governed by the mutual Non-Disclosure Agreement (NDA) signed between the Parties. All findings, reports, and test data constitute Confidential Information under that NDA.</w:t>
      </w:r>
    </w:p>
    <w:p>
      <w:pPr>
        <w:spacing w:after="100"/>
      </w:pPr>
      <w:r>
        <w:rPr>
          <w:rFonts w:ascii="Arial" w:cs="Arial" w:eastAsia="Arial" w:hAnsi="Arial"/>
          <w:sz w:val="20"/>
          <w:szCs w:val="20"/>
        </w:rPr>
        <w:t xml:space="preserve">8.6  The Service Provider maintains professional indemnity insurance covering cybersecurity consulting engagements.</w:t>
      </w:r>
    </w:p>
    <w:p>
      <w:pPr>
        <w:spacing w:after="200"/>
      </w:pPr>
    </w:p>
    <w:p>
      <w:pPr>
        <w:pStyle w:val="Heading1"/>
        <w:spacing w:before="300" w:after="150"/>
      </w:pPr>
      <w:r>
        <w:rPr>
          <w:rFonts w:ascii="Arial" w:cs="Arial" w:eastAsia="Arial" w:hAnsi="Arial"/>
          <w:b/>
          <w:bCs/>
          <w:color w:val="2E74B5"/>
          <w:sz w:val="28"/>
          <w:szCs w:val="28"/>
        </w:rPr>
        <w:t xml:space="preserve">9. ASSUMPTIONS &amp; PREREQUISITES</w:t>
      </w:r>
    </w:p>
    <w:p>
      <w:pPr>
        <w:pStyle w:val="ListParagraph"/>
        <w:numPr>
          <w:ilvl w:val="0"/>
          <w:numId w:val="2"/>
        </w:numPr>
      </w:pPr>
      <w:r>
        <w:rPr>
          <w:rFonts w:ascii="Arial" w:cs="Arial" w:eastAsia="Arial" w:hAnsi="Arial"/>
          <w:sz w:val="20"/>
          <w:szCs w:val="20"/>
        </w:rPr>
        <w:t xml:space="preserve">The Client will provide timely access to all in-scope systems, accounts, and environments as outlined in section 3.1.</w:t>
      </w:r>
    </w:p>
    <w:p>
      <w:pPr>
        <w:pStyle w:val="ListParagraph"/>
        <w:numPr>
          <w:ilvl w:val="0"/>
          <w:numId w:val="2"/>
        </w:numPr>
      </w:pPr>
      <w:r>
        <w:rPr>
          <w:rFonts w:ascii="Arial" w:cs="Arial" w:eastAsia="Arial" w:hAnsi="Arial"/>
          <w:sz w:val="20"/>
          <w:szCs w:val="20"/>
        </w:rPr>
        <w:t xml:space="preserve">The Client will designate a primary point of contact who is authorised to make decisions during the engagement.</w:t>
      </w:r>
    </w:p>
    <w:p>
      <w:pPr>
        <w:pStyle w:val="ListParagraph"/>
        <w:numPr>
          <w:ilvl w:val="0"/>
          <w:numId w:val="2"/>
        </w:numPr>
      </w:pPr>
      <w:r>
        <w:rPr>
          <w:rFonts w:ascii="Arial" w:cs="Arial" w:eastAsia="Arial" w:hAnsi="Arial"/>
          <w:sz w:val="20"/>
          <w:szCs w:val="20"/>
        </w:rPr>
        <w:t xml:space="preserve">Where VPN or remote access is required, the Client will provide this before the testing window commences.</w:t>
      </w:r>
    </w:p>
    <w:p>
      <w:pPr>
        <w:pStyle w:val="ListParagraph"/>
        <w:numPr>
          <w:ilvl w:val="0"/>
          <w:numId w:val="2"/>
        </w:numPr>
      </w:pPr>
      <w:r>
        <w:rPr>
          <w:rFonts w:ascii="Arial" w:cs="Arial" w:eastAsia="Arial" w:hAnsi="Arial"/>
          <w:sz w:val="20"/>
          <w:szCs w:val="20"/>
        </w:rPr>
        <w:t xml:space="preserve">The Client’s security monitoring team (SOC/SIEM) will be notified of the testing window to avoid unnecessary incident escalations.</w:t>
      </w:r>
    </w:p>
    <w:p>
      <w:pPr>
        <w:pStyle w:val="ListParagraph"/>
        <w:numPr>
          <w:ilvl w:val="0"/>
          <w:numId w:val="2"/>
        </w:numPr>
      </w:pPr>
      <w:r>
        <w:rPr>
          <w:rFonts w:ascii="Arial" w:cs="Arial" w:eastAsia="Arial" w:hAnsi="Arial"/>
          <w:sz w:val="20"/>
          <w:szCs w:val="20"/>
        </w:rPr>
        <w:t xml:space="preserve">Any delays caused by the Client in providing access or approvals may result in timeline adjustments.</w:t>
      </w:r>
    </w:p>
    <w:p>
      <w:pPr>
        <w:spacing w:after="200"/>
      </w:pPr>
    </w:p>
    <w:p>
      <w:pPr>
        <w:pStyle w:val="Heading1"/>
        <w:spacing w:before="300" w:after="150"/>
      </w:pPr>
      <w:r>
        <w:rPr>
          <w:rFonts w:ascii="Arial" w:cs="Arial" w:eastAsia="Arial" w:hAnsi="Arial"/>
          <w:b/>
          <w:bCs/>
          <w:color w:val="2E74B5"/>
          <w:sz w:val="28"/>
          <w:szCs w:val="28"/>
        </w:rPr>
        <w:t xml:space="preserve">10. CHANGE CONTROL</w:t>
      </w:r>
    </w:p>
    <w:p>
      <w:pPr>
        <w:spacing w:after="100"/>
      </w:pPr>
      <w:r>
        <w:rPr>
          <w:rFonts w:ascii="Arial" w:cs="Arial" w:eastAsia="Arial" w:hAnsi="Arial"/>
          <w:sz w:val="20"/>
          <w:szCs w:val="20"/>
        </w:rPr>
        <w:t xml:space="preserve">Any changes to the scope, timeline, or commercial terms of this SOW must be documented in a formal Change Order signed by authorised representatives of both Parties. Verbal changes or email approvals alone are not sufficient to amend this SOW.</w:t>
      </w:r>
    </w:p>
    <w:p>
      <w:pPr>
        <w:spacing w:after="200"/>
      </w:pPr>
    </w:p>
    <w:p>
      <w:pPr>
        <w:pStyle w:val="Heading1"/>
        <w:spacing w:before="300" w:after="150"/>
      </w:pPr>
      <w:r>
        <w:rPr>
          <w:rFonts w:ascii="Arial" w:cs="Arial" w:eastAsia="Arial" w:hAnsi="Arial"/>
          <w:b/>
          <w:bCs/>
          <w:color w:val="2E74B5"/>
          <w:sz w:val="28"/>
          <w:szCs w:val="28"/>
        </w:rPr>
        <w:t xml:space="preserve">11. ACCEPTANCE &amp; SIGNATURES</w:t>
      </w:r>
    </w:p>
    <w:p>
      <w:pPr>
        <w:spacing w:after="100"/>
      </w:pPr>
      <w:r>
        <w:rPr>
          <w:rFonts w:ascii="Arial" w:cs="Arial" w:eastAsia="Arial" w:hAnsi="Arial"/>
          <w:sz w:val="20"/>
          <w:szCs w:val="20"/>
        </w:rPr>
        <w:t xml:space="preserve">By signing below, the Parties confirm that they have read, understood, and agree to the terms set out in this Statement of Work, the referenced Master Service Agreement, and the Rules of Engagement.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26"/>
        <w:gridCol w:w="4300"/>
      </w:tblGrid>
      <w:tr>
        <w:tc>
          <w:tcPr>
            <w:tcW w:type="dxa" w:w="43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FOR AND ON BEHALF OF:</w:t>
            </w:r>
          </w:p>
          <w:p>
            <w:r>
              <w:rPr>
                <w:rFonts w:ascii="Arial" w:cs="Arial" w:eastAsia="Arial" w:hAnsi="Arial"/>
                <w:b/>
                <w:bCs/>
                <w:color w:val="2E74B5"/>
                <w:sz w:val="20"/>
                <w:szCs w:val="20"/>
              </w:rPr>
              <w:t xml:space="preserve">Greyhat4hire (Pty) Ltd</w:t>
            </w:r>
          </w:p>
        </w:tc>
        <w:tc>
          <w:tcPr>
            <w:tcW w:type="dxa" w:w="426"/>
            <w:tcBorders>
              <w:top w:val="none" w:sz="0"/>
              <w:left w:val="none" w:sz="0"/>
              <w:bottom w:val="none" w:sz="0"/>
              <w:right w:val="none" w:sz="0"/>
            </w:tcBorders>
            <w:tcMar>
              <w:top w:type="dxa" w:w="60"/>
              <w:left w:type="dxa" w:w="100"/>
              <w:bottom w:type="dxa" w:w="60"/>
              <w:right w:type="dxa" w:w="100"/>
            </w:tcMar>
          </w:tcPr>
          <w:p>
            <w:r>
              <w:t xml:space="preserve"/>
            </w:r>
          </w:p>
        </w:tc>
        <w:tc>
          <w:tcPr>
            <w:tcW w:type="dxa" w:w="43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FOR AND ON BEHALF OF:</w:t>
            </w:r>
          </w:p>
          <w:p>
            <w:r>
              <w:rPr>
                <w:rFonts w:ascii="Arial" w:cs="Arial" w:eastAsia="Arial" w:hAnsi="Arial"/>
                <w:b/>
                <w:bCs/>
                <w:color w:val="2E74B5"/>
                <w:sz w:val="20"/>
                <w:szCs w:val="20"/>
              </w:rPr>
              <w:t xml:space="preserve">[Client Name]</w:t>
            </w:r>
          </w:p>
        </w:tc>
      </w:tr>
      <w:tr>
        <w:tc>
          <w:tcPr>
            <w:tcW w:type="dxa" w:w="4300"/>
            <w:tcBorders>
              <w:top w:val="none" w:sz="0"/>
              <w:left w:val="none" w:sz="0"/>
              <w:bottom w:val="none" w:sz="0"/>
              <w:right w:val="none" w:sz="0"/>
            </w:tcBorders>
            <w:tcMar>
              <w:top w:type="dxa" w:w="60"/>
              <w:left w:type="dxa" w:w="100"/>
              <w:bottom w:type="dxa" w:w="60"/>
              <w:right w:type="dxa" w:w="100"/>
            </w:tcMar>
          </w:tcPr>
          <w:p>
            <w:pPr>
              <w:spacing w:before="150"/>
            </w:pPr>
            <w:r>
              <w:rPr>
                <w:rFonts w:ascii="Arial" w:cs="Arial" w:eastAsia="Arial" w:hAnsi="Arial"/>
                <w:sz w:val="20"/>
                <w:szCs w:val="20"/>
              </w:rPr>
              <w:t xml:space="preserve">Full Name: ________________________</w:t>
            </w:r>
          </w:p>
        </w:tc>
        <w:tc>
          <w:tcPr>
            <w:tcW w:type="dxa" w:w="426"/>
            <w:tcBorders>
              <w:top w:val="none" w:sz="0"/>
              <w:left w:val="none" w:sz="0"/>
              <w:bottom w:val="none" w:sz="0"/>
              <w:right w:val="none" w:sz="0"/>
            </w:tcBorders>
            <w:tcMar>
              <w:top w:type="dxa" w:w="60"/>
              <w:left w:type="dxa" w:w="100"/>
              <w:bottom w:type="dxa" w:w="60"/>
              <w:right w:type="dxa" w:w="100"/>
            </w:tcMar>
          </w:tcPr>
          <w:p>
            <w:r>
              <w:t xml:space="preserve"/>
            </w:r>
          </w:p>
        </w:tc>
        <w:tc>
          <w:tcPr>
            <w:tcW w:type="dxa" w:w="4300"/>
            <w:tcBorders>
              <w:top w:val="none" w:sz="0"/>
              <w:left w:val="none" w:sz="0"/>
              <w:bottom w:val="none" w:sz="0"/>
              <w:right w:val="none" w:sz="0"/>
            </w:tcBorders>
            <w:tcMar>
              <w:top w:type="dxa" w:w="60"/>
              <w:left w:type="dxa" w:w="100"/>
              <w:bottom w:type="dxa" w:w="60"/>
              <w:right w:type="dxa" w:w="100"/>
            </w:tcMar>
          </w:tcPr>
          <w:p>
            <w:pPr>
              <w:spacing w:before="150"/>
            </w:pPr>
            <w:r>
              <w:rPr>
                <w:rFonts w:ascii="Arial" w:cs="Arial" w:eastAsia="Arial" w:hAnsi="Arial"/>
                <w:sz w:val="20"/>
                <w:szCs w:val="20"/>
              </w:rPr>
              <w:t xml:space="preserve">Full Name: ________________________</w:t>
            </w:r>
          </w:p>
        </w:tc>
      </w:tr>
      <w:tr>
        <w:tc>
          <w:tcPr>
            <w:tcW w:type="dxa" w:w="4300"/>
            <w:tcBorders>
              <w:top w:val="none" w:sz="0"/>
              <w:left w:val="none" w:sz="0"/>
              <w:bottom w:val="none" w:sz="0"/>
              <w:right w:val="none" w:sz="0"/>
            </w:tcBorders>
            <w:tcMar>
              <w:top w:type="dxa" w:w="60"/>
              <w:left w:type="dxa" w:w="100"/>
              <w:bottom w:type="dxa" w:w="60"/>
              <w:right w:type="dxa" w:w="100"/>
            </w:tcMar>
          </w:tcPr>
          <w:p>
            <w:pPr>
              <w:spacing w:before="150"/>
            </w:pPr>
            <w:r>
              <w:rPr>
                <w:rFonts w:ascii="Arial" w:cs="Arial" w:eastAsia="Arial" w:hAnsi="Arial"/>
                <w:sz w:val="20"/>
                <w:szCs w:val="20"/>
              </w:rPr>
              <w:t xml:space="preserve">Designation: ________________________</w:t>
            </w:r>
          </w:p>
        </w:tc>
        <w:tc>
          <w:tcPr>
            <w:tcW w:type="dxa" w:w="426"/>
            <w:tcBorders>
              <w:top w:val="none" w:sz="0"/>
              <w:left w:val="none" w:sz="0"/>
              <w:bottom w:val="none" w:sz="0"/>
              <w:right w:val="none" w:sz="0"/>
            </w:tcBorders>
            <w:tcMar>
              <w:top w:type="dxa" w:w="60"/>
              <w:left w:type="dxa" w:w="100"/>
              <w:bottom w:type="dxa" w:w="60"/>
              <w:right w:type="dxa" w:w="100"/>
            </w:tcMar>
          </w:tcPr>
          <w:p>
            <w:r>
              <w:t xml:space="preserve"/>
            </w:r>
          </w:p>
        </w:tc>
        <w:tc>
          <w:tcPr>
            <w:tcW w:type="dxa" w:w="4300"/>
            <w:tcBorders>
              <w:top w:val="none" w:sz="0"/>
              <w:left w:val="none" w:sz="0"/>
              <w:bottom w:val="none" w:sz="0"/>
              <w:right w:val="none" w:sz="0"/>
            </w:tcBorders>
            <w:tcMar>
              <w:top w:type="dxa" w:w="60"/>
              <w:left w:type="dxa" w:w="100"/>
              <w:bottom w:type="dxa" w:w="60"/>
              <w:right w:type="dxa" w:w="100"/>
            </w:tcMar>
          </w:tcPr>
          <w:p>
            <w:pPr>
              <w:spacing w:before="150"/>
            </w:pPr>
            <w:r>
              <w:rPr>
                <w:rFonts w:ascii="Arial" w:cs="Arial" w:eastAsia="Arial" w:hAnsi="Arial"/>
                <w:sz w:val="20"/>
                <w:szCs w:val="20"/>
              </w:rPr>
              <w:t xml:space="preserve">Designation: ________________________</w:t>
            </w:r>
          </w:p>
        </w:tc>
      </w:tr>
      <w:tr>
        <w:tc>
          <w:tcPr>
            <w:tcW w:type="dxa" w:w="4300"/>
            <w:tcBorders>
              <w:top w:val="none" w:sz="0"/>
              <w:left w:val="none" w:sz="0"/>
              <w:bottom w:val="none" w:sz="0"/>
              <w:right w:val="none" w:sz="0"/>
            </w:tcBorders>
            <w:tcMar>
              <w:top w:type="dxa" w:w="60"/>
              <w:left w:type="dxa" w:w="100"/>
              <w:bottom w:type="dxa" w:w="60"/>
              <w:right w:type="dxa" w:w="100"/>
            </w:tcMar>
          </w:tcPr>
          <w:p>
            <w:pPr>
              <w:spacing w:before="150"/>
            </w:pPr>
            <w:r>
              <w:rPr>
                <w:rFonts w:ascii="Arial" w:cs="Arial" w:eastAsia="Arial" w:hAnsi="Arial"/>
                <w:sz w:val="20"/>
                <w:szCs w:val="20"/>
              </w:rPr>
              <w:t xml:space="preserve">Signature: ________________________</w:t>
            </w:r>
          </w:p>
        </w:tc>
        <w:tc>
          <w:tcPr>
            <w:tcW w:type="dxa" w:w="426"/>
            <w:tcBorders>
              <w:top w:val="none" w:sz="0"/>
              <w:left w:val="none" w:sz="0"/>
              <w:bottom w:val="none" w:sz="0"/>
              <w:right w:val="none" w:sz="0"/>
            </w:tcBorders>
            <w:tcMar>
              <w:top w:type="dxa" w:w="60"/>
              <w:left w:type="dxa" w:w="100"/>
              <w:bottom w:type="dxa" w:w="60"/>
              <w:right w:type="dxa" w:w="100"/>
            </w:tcMar>
          </w:tcPr>
          <w:p>
            <w:r>
              <w:t xml:space="preserve"/>
            </w:r>
          </w:p>
        </w:tc>
        <w:tc>
          <w:tcPr>
            <w:tcW w:type="dxa" w:w="4300"/>
            <w:tcBorders>
              <w:top w:val="none" w:sz="0"/>
              <w:left w:val="none" w:sz="0"/>
              <w:bottom w:val="none" w:sz="0"/>
              <w:right w:val="none" w:sz="0"/>
            </w:tcBorders>
            <w:tcMar>
              <w:top w:type="dxa" w:w="60"/>
              <w:left w:type="dxa" w:w="100"/>
              <w:bottom w:type="dxa" w:w="60"/>
              <w:right w:type="dxa" w:w="100"/>
            </w:tcMar>
          </w:tcPr>
          <w:p>
            <w:pPr>
              <w:spacing w:before="150"/>
            </w:pPr>
            <w:r>
              <w:rPr>
                <w:rFonts w:ascii="Arial" w:cs="Arial" w:eastAsia="Arial" w:hAnsi="Arial"/>
                <w:sz w:val="20"/>
                <w:szCs w:val="20"/>
              </w:rPr>
              <w:t xml:space="preserve">Signature: ________________________</w:t>
            </w:r>
          </w:p>
        </w:tc>
      </w:tr>
      <w:tr>
        <w:tc>
          <w:tcPr>
            <w:tcW w:type="dxa" w:w="4300"/>
            <w:tcBorders>
              <w:top w:val="none" w:sz="0"/>
              <w:left w:val="none" w:sz="0"/>
              <w:bottom w:val="none" w:sz="0"/>
              <w:right w:val="none" w:sz="0"/>
            </w:tcBorders>
            <w:tcMar>
              <w:top w:type="dxa" w:w="60"/>
              <w:left w:type="dxa" w:w="100"/>
              <w:bottom w:type="dxa" w:w="60"/>
              <w:right w:type="dxa" w:w="100"/>
            </w:tcMar>
          </w:tcPr>
          <w:p>
            <w:pPr>
              <w:spacing w:before="150"/>
            </w:pPr>
            <w:r>
              <w:rPr>
                <w:rFonts w:ascii="Arial" w:cs="Arial" w:eastAsia="Arial" w:hAnsi="Arial"/>
                <w:sz w:val="20"/>
                <w:szCs w:val="20"/>
              </w:rPr>
              <w:t xml:space="preserve">Date: ________________________</w:t>
            </w:r>
          </w:p>
        </w:tc>
        <w:tc>
          <w:tcPr>
            <w:tcW w:type="dxa" w:w="426"/>
            <w:tcBorders>
              <w:top w:val="none" w:sz="0"/>
              <w:left w:val="none" w:sz="0"/>
              <w:bottom w:val="none" w:sz="0"/>
              <w:right w:val="none" w:sz="0"/>
            </w:tcBorders>
            <w:tcMar>
              <w:top w:type="dxa" w:w="60"/>
              <w:left w:type="dxa" w:w="100"/>
              <w:bottom w:type="dxa" w:w="60"/>
              <w:right w:type="dxa" w:w="100"/>
            </w:tcMar>
          </w:tcPr>
          <w:p>
            <w:r>
              <w:t xml:space="preserve"/>
            </w:r>
          </w:p>
        </w:tc>
        <w:tc>
          <w:tcPr>
            <w:tcW w:type="dxa" w:w="4300"/>
            <w:tcBorders>
              <w:top w:val="none" w:sz="0"/>
              <w:left w:val="none" w:sz="0"/>
              <w:bottom w:val="none" w:sz="0"/>
              <w:right w:val="none" w:sz="0"/>
            </w:tcBorders>
            <w:tcMar>
              <w:top w:type="dxa" w:w="60"/>
              <w:left w:type="dxa" w:w="100"/>
              <w:bottom w:type="dxa" w:w="60"/>
              <w:right w:type="dxa" w:w="100"/>
            </w:tcMar>
          </w:tcPr>
          <w:p>
            <w:pPr>
              <w:spacing w:before="150"/>
            </w:pPr>
            <w:r>
              <w:rPr>
                <w:rFonts w:ascii="Arial" w:cs="Arial" w:eastAsia="Arial" w:hAnsi="Arial"/>
                <w:sz w:val="20"/>
                <w:szCs w:val="20"/>
              </w:rPr>
              <w:t xml:space="preserve">Date: ________________________</w:t>
            </w:r>
          </w:p>
        </w:tc>
      </w:tr>
    </w:tbl>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317" w:sz="2"/>
              <w:left w:val="single" w:color="E8A317" w:sz="2"/>
              <w:bottom w:val="single" w:color="E8A317" w:sz="2"/>
              <w:right w:val="single" w:color="E8A317" w:sz="2"/>
            </w:tcBorders>
            <w:shd w:fill="FFF8E1" w:val="clear"/>
            <w:tcMar>
              <w:top w:type="dxa" w:w="100"/>
              <w:left w:type="dxa" w:w="150"/>
              <w:bottom w:type="dxa" w:w="100"/>
              <w:right w:type="dxa" w:w="150"/>
            </w:tcMar>
          </w:tcPr>
          <w:p>
            <w:r>
              <w:rPr>
                <w:rFonts w:ascii="Arial" w:cs="Arial" w:eastAsia="Arial" w:hAnsi="Arial"/>
                <w:b/>
                <w:bCs/>
                <w:sz w:val="20"/>
                <w:szCs w:val="20"/>
              </w:rPr>
              <w:t xml:space="preserve">⚠ IMPORTANT NOTICE</w:t>
            </w:r>
          </w:p>
          <w:p>
            <w:pPr>
              <w:spacing w:before="60"/>
            </w:pPr>
            <w:r>
              <w:rPr>
                <w:rFonts w:ascii="Arial" w:cs="Arial" w:eastAsia="Arial" w:hAnsi="Arial"/>
                <w:sz w:val="18"/>
                <w:szCs w:val="18"/>
              </w:rPr>
              <w:t xml:space="preserve">This template is provided for informational purposes. It should be reviewed and adapted by a qualified South African attorney before use. All penetration testing activities must be conducted in compliance with the Cybercrimes Act 19 of 2020, the Electronic Communications and Transactions Act 25 of 2002, and the Protection of Personal Information Act 4 of 2013. A signed Rules of Engagement (ROE) and written authorisation to test must be obtained before any testing commences.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tabs>
        <w:tab w:val="right" w:pos="9026"/>
      </w:tabs>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tabs>
        <w:tab w:val="right" w:pos="9026"/>
      </w:tabs>
    </w:pPr>
    <w:r>
      <w:rPr>
        <w:rFonts w:ascii="Arial" w:cs="Arial" w:eastAsia="Arial" w:hAnsi="Arial"/>
        <w:color w:val="999999"/>
        <w:sz w:val="16"/>
        <w:szCs w:val="16"/>
      </w:rPr>
      <w:t xml:space="preserve">Greyhat4hire (Pty) Ltd</w:t>
    </w:r>
    <w:r>
      <w:rPr>
        <w:rFonts w:ascii="Arial" w:cs="Arial" w:eastAsia="Arial" w:hAnsi="Arial"/>
        <w:color w:val="999999"/>
        <w:sz w:val="16"/>
        <w:szCs w:val="16"/>
      </w:rPr>
      <w:t xml:space="preserve">	Pentest Scope of Work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E74B5"/>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4B5"/>
      <w:sz w:val="24"/>
      <w:szCs w:val="24"/>
    </w:rPr>
  </w:style>
  <w:style w:type="paragraph" w:styleId="Heading3">
    <w:name w:val="Heading 3"/>
    <w:basedOn w:val="Normal"/>
    <w:next w:val="Normal"/>
    <w:qFormat/>
    <w:pPr>
      <w:spacing w:before="150" w:after="80"/>
      <w:outlineLvl w:val="2"/>
    </w:pPr>
    <w:rPr>
      <w:rFonts w:ascii="Arial" w:cs="Arial" w:eastAsia="Arial" w:hAnsi="Arial"/>
      <w:b/>
      <w:bCs/>
      <w:color w:val="1F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2026-02-27T16:40:20.276Z</dcterms:created>
  <dcterms:modified xsi:type="dcterms:W3CDTF">2026-02-27T16:40:20.277Z</dcterms:modified>
</cp:coreProperties>
</file>

<file path=docProps/custom.xml><?xml version="1.0" encoding="utf-8"?>
<Properties xmlns="http://schemas.openxmlformats.org/officeDocument/2006/custom-properties" xmlns:vt="http://schemas.openxmlformats.org/officeDocument/2006/docPropsVTypes"/>
</file>