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00000" w:val="clear"/>
        <w:spacing w:before="0" w:after="0"/>
      </w:pPr>
      <w:r>
        <w:rPr>
          <w:sz w:val="20"/>
          <w:szCs w:val="20"/>
        </w:rPr>
        <w:t xml:space="preserve"/>
      </w:r>
    </w:p>
    <w:p>
      <w:pPr>
        <w:shd w:fill="000000" w:val="clear"/>
        <w:spacing w:before="0" w:after="0"/>
        <w:jc w:val="center"/>
      </w:pPr>
      <w:r>
        <w:drawing>
          <wp:inline distT="0" distB="0" distL="0" distR="0">
            <wp:extent cx="3143250" cy="885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885825"/>
                    </a:xfrm>
                    <a:prstGeom prst="rect">
                      <a:avLst/>
                    </a:prstGeom>
                  </pic:spPr>
                </pic:pic>
              </a:graphicData>
            </a:graphic>
          </wp:inline>
        </w:drawing>
      </w:r>
    </w:p>
    <w:p>
      <w:pPr>
        <w:shd w:fill="000000" w:val="clear"/>
        <w:spacing w:before="0" w:after="0"/>
      </w:pPr>
      <w:r>
        <w:rPr>
          <w:sz w:val="60"/>
          <w:szCs w:val="60"/>
        </w:rPr>
        <w:t xml:space="preserve"/>
      </w:r>
    </w:p>
    <w:p>
      <w:pPr>
        <w:shd w:fill="000000" w:val="clear"/>
        <w:spacing w:before="0" w:after="0"/>
      </w:pPr>
      <w:r>
        <w:rPr>
          <w:sz w:val="60"/>
          <w:szCs w:val="60"/>
        </w:rPr>
        <w:t xml:space="preserve"/>
      </w:r>
    </w:p>
    <w:p>
      <w:pPr>
        <w:shd w:fill="000000" w:val="clear"/>
        <w:spacing w:before="0" w:after="0"/>
      </w:pPr>
      <w:r>
        <w:rPr>
          <w:sz w:val="60"/>
          <w:szCs w:val="60"/>
        </w:rPr>
        <w:t xml:space="preserve"/>
      </w:r>
    </w:p>
    <w:p>
      <w:pPr>
        <w:shd w:fill="E8176B" w:val="clear"/>
        <w:spacing w:before="0" w:after="0"/>
      </w:pPr>
      <w:r>
        <w:rPr>
          <w:sz w:val="20"/>
          <w:szCs w:val="20"/>
        </w:rPr>
        <w:t xml:space="preserve"> </w:t>
      </w:r>
    </w:p>
    <w:p>
      <w:pPr>
        <w:shd w:fill="E8176B" w:val="clear"/>
        <w:spacing w:before="0" w:after="0"/>
        <w:jc w:val="center"/>
      </w:pPr>
      <w:r>
        <w:rPr>
          <w:sz w:val="8"/>
          <w:szCs w:val="8"/>
        </w:rPr>
        <w:t xml:space="preserve"> </w:t>
      </w:r>
    </w:p>
    <w:p>
      <w:pPr>
        <w:shd w:fill="000000" w:val="clear"/>
        <w:spacing w:before="0" w:after="0"/>
      </w:pPr>
      <w:r>
        <w:rPr>
          <w:sz w:val="40"/>
          <w:szCs w:val="40"/>
        </w:rPr>
        <w:t xml:space="preserve"/>
      </w:r>
    </w:p>
    <w:p>
      <w:pPr>
        <w:shd w:fill="000000" w:val="clear"/>
        <w:spacing w:before="0" w:after="0"/>
        <w:jc w:val="center"/>
      </w:pPr>
      <w:r>
        <w:rPr>
          <w:rFonts w:ascii="Arial" w:cs="Arial" w:eastAsia="Arial" w:hAnsi="Arial"/>
          <w:b/>
          <w:bCs/>
          <w:color w:val="FFFFFF"/>
          <w:sz w:val="52"/>
          <w:szCs w:val="52"/>
        </w:rPr>
        <w:t xml:space="preserve">Communication &amp;
Escalation Protocols</w:t>
      </w:r>
    </w:p>
    <w:p>
      <w:pPr>
        <w:shd w:fill="000000" w:val="clear"/>
        <w:spacing w:before="0" w:after="0"/>
      </w:pPr>
      <w:r>
        <w:rPr>
          <w:sz w:val="24"/>
          <w:szCs w:val="24"/>
        </w:rPr>
        <w:t xml:space="preserve"/>
      </w:r>
    </w:p>
    <w:p>
      <w:pPr>
        <w:shd w:fill="000000" w:val="clear"/>
        <w:spacing w:before="0" w:after="0"/>
        <w:jc w:val="center"/>
      </w:pPr>
      <w:r>
        <w:rPr>
          <w:rFonts w:ascii="Arial" w:cs="Arial" w:eastAsia="Arial" w:hAnsi="Arial"/>
          <w:color w:val="AAAAAA"/>
          <w:sz w:val="28"/>
          <w:szCs w:val="28"/>
        </w:rPr>
        <w:t xml:space="preserve">Incident Notification, Escalation, and Stakeholder Communication Framework</w:t>
      </w:r>
    </w:p>
    <w:p>
      <w:pPr>
        <w:shd w:fill="000000" w:val="clear"/>
        <w:spacing w:before="0" w:after="0"/>
      </w:pPr>
      <w:r>
        <w:rPr>
          <w:sz w:val="40"/>
          <w:szCs w:val="40"/>
        </w:rPr>
        <w:t xml:space="preserve"/>
      </w:r>
    </w:p>
    <w:p>
      <w:pPr>
        <w:shd w:fill="000000" w:val="clear"/>
        <w:spacing w:before="0" w:after="0"/>
        <w:jc w:val="center"/>
      </w:pPr>
      <w:r>
        <w:rPr>
          <w:rFonts w:ascii="Arial" w:cs="Arial" w:eastAsia="Arial" w:hAnsi="Arial"/>
          <w:color w:val="888888"/>
          <w:sz w:val="18"/>
          <w:szCs w:val="18"/>
        </w:rPr>
        <w:t xml:space="preserve">v1.0  |  February 2026  |  CONFIDENTIAL</w:t>
      </w:r>
    </w:p>
    <w:p>
      <w:pPr>
        <w:shd w:fill="000000" w:val="clear"/>
        <w:spacing w:before="0" w:after="0"/>
      </w:pPr>
      <w:r>
        <w:rPr>
          <w:sz w:val="80"/>
          <w:szCs w:val="80"/>
        </w:rPr>
        <w:t xml:space="preserve"/>
      </w:r>
    </w:p>
    <w:p>
      <w:pPr>
        <w:shd w:fill="000000" w:val="clear"/>
        <w:spacing w:before="0" w:after="0"/>
      </w:pPr>
      <w:r>
        <w:rPr>
          <w:sz w:val="80"/>
          <w:szCs w:val="80"/>
        </w:rPr>
        <w:t xml:space="preserve"/>
      </w:r>
    </w:p>
    <w:p>
      <w:r>
        <w:br w:type="page"/>
      </w:r>
    </w:p>
    <w:p>
      <w:pPr>
        <w:shd w:fill="000000" w:val="clear"/>
        <w:spacing w:before="0" w:after="0"/>
      </w:pPr>
      <w:r>
        <w:rPr>
          <w:rFonts w:ascii="Arial" w:cs="Arial" w:eastAsia="Arial" w:hAnsi="Arial"/>
          <w:b/>
          <w:bCs/>
          <w:color w:val="FFFFFF"/>
          <w:sz w:val="30"/>
          <w:szCs w:val="30"/>
        </w:rPr>
        <w:t xml:space="preserve"> 1. PURPOSE</w:t>
      </w:r>
    </w:p>
    <w:p>
      <w:pPr>
        <w:spacing w:before="80" w:after="80"/>
      </w:pPr>
      <w:r>
        <w:t xml:space="preserve"/>
      </w:r>
    </w:p>
    <w:p>
      <w:pPr>
        <w:spacing w:before="60" w:after="60"/>
      </w:pPr>
      <w:r>
        <w:rPr>
          <w:rFonts w:ascii="Arial" w:cs="Arial" w:eastAsia="Arial" w:hAnsi="Arial"/>
          <w:color w:val="1A1A1A"/>
          <w:sz w:val="20"/>
          <w:szCs w:val="20"/>
        </w:rPr>
        <w:t xml:space="preserve">This document defines Greyhat 4 Hire's structured communication and escalation protocols during cybersecurity incidents. Clear, timely, and accurate communication is as critical as technical response — poor communication during incidents leads to regulatory breaches, client relationship damage, and reputational harm.</w:t>
      </w:r>
    </w:p>
    <w:p>
      <w:pPr>
        <w:spacing w:before="160"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none" w:color="FFFFFF" w:sz="0"/>
              <w:left w:val="none" w:color="FFFFFF" w:sz="0"/>
              <w:bottom w:val="none" w:color="FFFFFF" w:sz="0"/>
              <w:right w:val="none" w:color="FFFFFF" w:sz="0"/>
            </w:tcBorders>
            <w:shd w:fill="E8176B" w:val="clear"/>
            <w:tcMar>
              <w:top w:type="dxa" w:w="80"/>
              <w:left w:type="dxa" w:w="100"/>
              <w:bottom w:type="dxa" w:w="80"/>
              <w:right w:type="dxa" w:w="100"/>
            </w:tcMar>
            <w:vAlign w:val="center"/>
          </w:tcPr>
          <w:p>
            <w:pPr>
              <w:jc w:val="center"/>
            </w:pPr>
            <w:r>
              <w:rPr>
                <w:rFonts w:ascii="Arial" w:cs="Arial" w:eastAsia="Arial" w:hAnsi="Arial"/>
                <w:b/>
                <w:bCs/>
                <w:color w:val="FFFFFF"/>
                <w:sz w:val="18"/>
                <w:szCs w:val="18"/>
              </w:rPr>
              <w:t xml:space="preserve">PRINCIPLE</w:t>
            </w:r>
          </w:p>
        </w:tc>
        <w:tc>
          <w:tcPr>
            <w:tcW w:type="dxa" w:w="8160"/>
            <w:tcBorders>
              <w:top w:val="none" w:color="FFFFFF" w:sz="0"/>
              <w:left w:val="none" w:color="FFFFFF" w:sz="0"/>
              <w:bottom w:val="none" w:color="FFFFFF" w:sz="0"/>
              <w:right w:val="none" w:color="FFFFFF" w:sz="0"/>
            </w:tcBorders>
            <w:shd w:fill="FCE4EE" w:val="clear"/>
            <w:tcMar>
              <w:top w:type="dxa" w:w="80"/>
              <w:left w:type="dxa" w:w="160"/>
              <w:bottom w:type="dxa" w:w="80"/>
              <w:right w:type="dxa" w:w="120"/>
            </w:tcMar>
          </w:tcPr>
          <w:p>
            <w:r>
              <w:rPr>
                <w:rFonts w:ascii="Arial" w:cs="Arial" w:eastAsia="Arial" w:hAnsi="Arial"/>
                <w:color w:val="1A1A1A"/>
                <w:sz w:val="19"/>
                <w:szCs w:val="19"/>
              </w:rPr>
              <w:t xml:space="preserve">Never communicate incident details through unencrypted channels. Use Signal, encrypted email (PGP), or the designated secure IRT channel for all sensitive incident communications.</w:t>
            </w:r>
          </w:p>
        </w:tc>
      </w:tr>
    </w:tbl>
    <w:p>
      <w:pPr>
        <w:spacing w:before="160" w:after="160"/>
      </w:pPr>
      <w:r>
        <w:t xml:space="preserve"/>
      </w:r>
    </w:p>
    <w:p>
      <w:pPr>
        <w:shd w:fill="000000" w:val="clear"/>
        <w:spacing w:before="0" w:after="0"/>
      </w:pPr>
      <w:r>
        <w:rPr>
          <w:rFonts w:ascii="Arial" w:cs="Arial" w:eastAsia="Arial" w:hAnsi="Arial"/>
          <w:b/>
          <w:bCs/>
          <w:color w:val="FFFFFF"/>
          <w:sz w:val="30"/>
          <w:szCs w:val="30"/>
        </w:rPr>
        <w:t xml:space="preserve"> 2. ESCALATION MATRIX</w:t>
      </w:r>
    </w:p>
    <w:p>
      <w:pPr>
        <w:spacing w:before="80" w:after="80"/>
      </w:pPr>
      <w:r>
        <w:t xml:space="preserve"/>
      </w:r>
    </w:p>
    <w:p>
      <w:pPr>
        <w:spacing w:before="240" w:after="80"/>
      </w:pPr>
      <w:r>
        <w:rPr>
          <w:rFonts w:ascii="Arial" w:cs="Arial" w:eastAsia="Arial" w:hAnsi="Arial"/>
          <w:b/>
          <w:bCs/>
          <w:color w:val="000000"/>
          <w:sz w:val="26"/>
          <w:szCs w:val="26"/>
        </w:rPr>
        <w:t xml:space="preserve">2.1 Severity-Based Escalation Table</w:t>
      </w:r>
    </w:p>
    <w:p>
      <w:pPr>
        <w:spacing w:before="60" w:after="60"/>
      </w:pPr>
      <w:r>
        <w:rPr>
          <w:rFonts w:ascii="Arial" w:cs="Arial" w:eastAsia="Arial" w:hAnsi="Arial"/>
          <w:color w:val="1A1A1A"/>
          <w:sz w:val="20"/>
          <w:szCs w:val="20"/>
        </w:rPr>
        <w:t xml:space="preserve">The following matrix defines who to contact, when, how, and within what timeframe for each incident severity level.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400"/>
        <w:gridCol w:w="1300"/>
        <w:gridCol w:w="1400"/>
        <w:gridCol w:w="1000"/>
        <w:gridCol w:w="1560"/>
      </w:tblGrid>
      <w:tr>
        <w:tc>
          <w:tcPr>
            <w:tcW w:type="dxa" w:w="700"/>
            <w:tcBorders>
              <w:top w:val="single" w:color="CCCCCC" w:sz="1"/>
              <w:left w:val="single" w:color="CCCCCC" w:sz="1"/>
              <w:bottom w:val="single" w:color="CCCCCC" w:sz="1"/>
              <w:right w:val="single" w:color="CCCCCC" w:sz="1"/>
            </w:tcBorders>
            <w:shd w:fill="000000" w:val="clear"/>
            <w:tcMar>
              <w:top w:type="dxa" w:w="80"/>
              <w:left w:type="dxa" w:w="100"/>
              <w:bottom w:type="dxa" w:w="80"/>
              <w:right w:type="dxa" w:w="100"/>
            </w:tcMar>
          </w:tcPr>
          <w:p>
            <w:r>
              <w:rPr>
                <w:rFonts w:ascii="Arial" w:cs="Arial" w:eastAsia="Arial" w:hAnsi="Arial"/>
                <w:b/>
                <w:bCs/>
                <w:color w:val="FFFFFF"/>
                <w:sz w:val="18"/>
                <w:szCs w:val="18"/>
              </w:rPr>
              <w:t xml:space="preserve">SEV</w:t>
            </w:r>
          </w:p>
        </w:tc>
        <w:tc>
          <w:tcPr>
            <w:tcW w:type="dxa" w:w="2000"/>
            <w:tcBorders>
              <w:top w:val="single" w:color="CCCCCC" w:sz="1"/>
              <w:left w:val="single" w:color="CCCCCC" w:sz="1"/>
              <w:bottom w:val="single" w:color="CCCCCC" w:sz="1"/>
              <w:right w:val="single" w:color="CCCCCC" w:sz="1"/>
            </w:tcBorders>
            <w:shd w:fill="000000" w:val="clear"/>
            <w:tcMar>
              <w:top w:type="dxa" w:w="80"/>
              <w:left w:type="dxa" w:w="100"/>
              <w:bottom w:type="dxa" w:w="80"/>
              <w:right w:type="dxa" w:w="100"/>
            </w:tcMar>
          </w:tcPr>
          <w:p>
            <w:r>
              <w:rPr>
                <w:rFonts w:ascii="Arial" w:cs="Arial" w:eastAsia="Arial" w:hAnsi="Arial"/>
                <w:b/>
                <w:bCs/>
                <w:color w:val="FFFFFF"/>
                <w:sz w:val="18"/>
                <w:szCs w:val="18"/>
              </w:rPr>
              <w:t xml:space="preserve">Trigger Condition</w:t>
            </w:r>
          </w:p>
        </w:tc>
        <w:tc>
          <w:tcPr>
            <w:tcW w:type="dxa" w:w="1400"/>
            <w:tcBorders>
              <w:top w:val="single" w:color="CCCCCC" w:sz="1"/>
              <w:left w:val="single" w:color="CCCCCC" w:sz="1"/>
              <w:bottom w:val="single" w:color="CCCCCC" w:sz="1"/>
              <w:right w:val="single" w:color="CCCCCC" w:sz="1"/>
            </w:tcBorders>
            <w:shd w:fill="000000" w:val="clear"/>
            <w:tcMar>
              <w:top w:type="dxa" w:w="80"/>
              <w:left w:type="dxa" w:w="100"/>
              <w:bottom w:type="dxa" w:w="80"/>
              <w:right w:type="dxa" w:w="100"/>
            </w:tcMar>
          </w:tcPr>
          <w:p>
            <w:r>
              <w:rPr>
                <w:rFonts w:ascii="Arial" w:cs="Arial" w:eastAsia="Arial" w:hAnsi="Arial"/>
                <w:b/>
                <w:bCs/>
                <w:color w:val="FFFFFF"/>
                <w:sz w:val="18"/>
                <w:szCs w:val="18"/>
              </w:rPr>
              <w:t xml:space="preserve">Primary Contact</w:t>
            </w:r>
          </w:p>
        </w:tc>
        <w:tc>
          <w:tcPr>
            <w:tcW w:type="dxa" w:w="1300"/>
            <w:tcBorders>
              <w:top w:val="single" w:color="CCCCCC" w:sz="1"/>
              <w:left w:val="single" w:color="CCCCCC" w:sz="1"/>
              <w:bottom w:val="single" w:color="CCCCCC" w:sz="1"/>
              <w:right w:val="single" w:color="CCCCCC" w:sz="1"/>
            </w:tcBorders>
            <w:shd w:fill="000000" w:val="clear"/>
            <w:tcMar>
              <w:top w:type="dxa" w:w="80"/>
              <w:left w:type="dxa" w:w="100"/>
              <w:bottom w:type="dxa" w:w="80"/>
              <w:right w:type="dxa" w:w="100"/>
            </w:tcMar>
          </w:tcPr>
          <w:p>
            <w:r>
              <w:rPr>
                <w:rFonts w:ascii="Arial" w:cs="Arial" w:eastAsia="Arial" w:hAnsi="Arial"/>
                <w:b/>
                <w:bCs/>
                <w:color w:val="FFFFFF"/>
                <w:sz w:val="18"/>
                <w:szCs w:val="18"/>
              </w:rPr>
              <w:t xml:space="preserve">Backup Contact</w:t>
            </w:r>
          </w:p>
        </w:tc>
        <w:tc>
          <w:tcPr>
            <w:tcW w:type="dxa" w:w="1400"/>
            <w:tcBorders>
              <w:top w:val="single" w:color="CCCCCC" w:sz="1"/>
              <w:left w:val="single" w:color="CCCCCC" w:sz="1"/>
              <w:bottom w:val="single" w:color="CCCCCC" w:sz="1"/>
              <w:right w:val="single" w:color="CCCCCC" w:sz="1"/>
            </w:tcBorders>
            <w:shd w:fill="000000" w:val="clear"/>
            <w:tcMar>
              <w:top w:type="dxa" w:w="80"/>
              <w:left w:type="dxa" w:w="100"/>
              <w:bottom w:type="dxa" w:w="80"/>
              <w:right w:type="dxa" w:w="100"/>
            </w:tcMar>
          </w:tcPr>
          <w:p>
            <w:r>
              <w:rPr>
                <w:rFonts w:ascii="Arial" w:cs="Arial" w:eastAsia="Arial" w:hAnsi="Arial"/>
                <w:b/>
                <w:bCs/>
                <w:color w:val="FFFFFF"/>
                <w:sz w:val="18"/>
                <w:szCs w:val="18"/>
              </w:rPr>
              <w:t xml:space="preserve">Method</w:t>
            </w:r>
          </w:p>
        </w:tc>
        <w:tc>
          <w:tcPr>
            <w:tcW w:type="dxa" w:w="1000"/>
            <w:tcBorders>
              <w:top w:val="single" w:color="CCCCCC" w:sz="1"/>
              <w:left w:val="single" w:color="CCCCCC" w:sz="1"/>
              <w:bottom w:val="single" w:color="CCCCCC" w:sz="1"/>
              <w:right w:val="single" w:color="CCCCCC" w:sz="1"/>
            </w:tcBorders>
            <w:shd w:fill="000000" w:val="clear"/>
            <w:tcMar>
              <w:top w:type="dxa" w:w="80"/>
              <w:left w:type="dxa" w:w="100"/>
              <w:bottom w:type="dxa" w:w="80"/>
              <w:right w:type="dxa" w:w="100"/>
            </w:tcMar>
          </w:tcPr>
          <w:p>
            <w:r>
              <w:rPr>
                <w:rFonts w:ascii="Arial" w:cs="Arial" w:eastAsia="Arial" w:hAnsi="Arial"/>
                <w:b/>
                <w:bCs/>
                <w:color w:val="FFFFFF"/>
                <w:sz w:val="18"/>
                <w:szCs w:val="18"/>
              </w:rPr>
              <w:t xml:space="preserve">SLA</w:t>
            </w:r>
          </w:p>
        </w:tc>
        <w:tc>
          <w:tcPr>
            <w:tcW w:type="dxa" w:w="1560"/>
            <w:tcBorders>
              <w:top w:val="single" w:color="CCCCCC" w:sz="1"/>
              <w:left w:val="single" w:color="CCCCCC" w:sz="1"/>
              <w:bottom w:val="single" w:color="CCCCCC" w:sz="1"/>
              <w:right w:val="single" w:color="CCCCCC" w:sz="1"/>
            </w:tcBorders>
            <w:shd w:fill="000000" w:val="clear"/>
            <w:tcMar>
              <w:top w:type="dxa" w:w="80"/>
              <w:left w:type="dxa" w:w="100"/>
              <w:bottom w:type="dxa" w:w="80"/>
              <w:right w:type="dxa" w:w="100"/>
            </w:tcMar>
          </w:tcPr>
          <w:p>
            <w:r>
              <w:rPr>
                <w:rFonts w:ascii="Arial" w:cs="Arial" w:eastAsia="Arial" w:hAnsi="Arial"/>
                <w:b/>
                <w:bCs/>
                <w:color w:val="FFFFFF"/>
                <w:sz w:val="18"/>
                <w:szCs w:val="18"/>
              </w:rPr>
              <w:t xml:space="preserve">Template</w:t>
            </w:r>
          </w:p>
        </w:tc>
      </w:tr>
      <w:tr>
        <w:tc>
          <w:tcPr>
            <w:tcW w:type="dxa" w:w="700"/>
            <w:tcBorders>
              <w:top w:val="single" w:color="CCCCCC" w:sz="1"/>
              <w:left w:val="single" w:color="CCCCCC" w:sz="1"/>
              <w:bottom w:val="single" w:color="CCCCCC" w:sz="1"/>
              <w:right w:val="single" w:color="CCCCCC" w:sz="1"/>
            </w:tcBorders>
            <w:shd w:fill="B71C1C"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SEV 1</w:t>
            </w:r>
          </w:p>
        </w:tc>
        <w:tc>
          <w:tcPr>
            <w:tcW w:type="dxa" w:w="2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7"/>
                <w:szCs w:val="17"/>
              </w:rPr>
              <w:t xml:space="preserve">Active breach, ransomware, exfiltration, &gt;50% client impact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IRT Lead + CEO</w:t>
            </w:r>
          </w:p>
        </w:tc>
        <w:tc>
          <w:tcPr>
            <w:tcW w:type="dxa" w:w="1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7"/>
                <w:szCs w:val="17"/>
              </w:rPr>
              <w:t xml:space="preserve">CTO + Legal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Phone + Signal</w:t>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bCs/>
                <w:color w:val="E8176B"/>
                <w:sz w:val="17"/>
                <w:szCs w:val="17"/>
              </w:rPr>
              <w:t xml:space="preserve">15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TMPL-001</w:t>
            </w:r>
          </w:p>
        </w:tc>
      </w:tr>
      <w:tr>
        <w:tc>
          <w:tcPr>
            <w:tcW w:type="dxa" w:w="700"/>
            <w:tcBorders>
              <w:top w:val="single" w:color="CCCCCC" w:sz="1"/>
              <w:left w:val="single" w:color="CCCCCC" w:sz="1"/>
              <w:bottom w:val="single" w:color="CCCCCC" w:sz="1"/>
              <w:right w:val="single" w:color="CCCCCC" w:sz="1"/>
            </w:tcBorders>
            <w:shd w:fill="E8176B"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SEV 2</w:t>
            </w:r>
          </w:p>
        </w:tc>
        <w:tc>
          <w:tcPr>
            <w:tcW w:type="dxa" w:w="2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7"/>
                <w:szCs w:val="17"/>
              </w:rPr>
              <w:t xml:space="preserve">Confirmed intrusion, privilege escalation, active malware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IRT Lead + CISO</w:t>
            </w:r>
          </w:p>
        </w:tc>
        <w:tc>
          <w:tcPr>
            <w:tcW w:type="dxa" w:w="1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7"/>
                <w:szCs w:val="17"/>
              </w:rPr>
              <w:t xml:space="preserve">Senior L2 Analyst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Signal + Email</w:t>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bCs/>
                <w:color w:val="E8176B"/>
                <w:sz w:val="17"/>
                <w:szCs w:val="17"/>
              </w:rPr>
              <w:t xml:space="preserve">30 min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TMPL-002</w:t>
            </w:r>
          </w:p>
        </w:tc>
      </w:tr>
      <w:tr>
        <w:tc>
          <w:tcPr>
            <w:tcW w:type="dxa" w:w="700"/>
            <w:tcBorders>
              <w:top w:val="single" w:color="CCCCCC" w:sz="1"/>
              <w:left w:val="single" w:color="CCCCCC" w:sz="1"/>
              <w:bottom w:val="single" w:color="CCCCCC" w:sz="1"/>
              <w:right w:val="single" w:color="CCCCCC" w:sz="1"/>
            </w:tcBorders>
            <w:shd w:fill="E6510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SEV 3</w:t>
            </w:r>
          </w:p>
        </w:tc>
        <w:tc>
          <w:tcPr>
            <w:tcW w:type="dxa" w:w="2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7"/>
                <w:szCs w:val="17"/>
              </w:rPr>
              <w:t xml:space="preserve">Suspected compromise, phishing success, policy violation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L2 Analyst</w:t>
            </w:r>
          </w:p>
        </w:tc>
        <w:tc>
          <w:tcPr>
            <w:tcW w:type="dxa" w:w="1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7"/>
                <w:szCs w:val="17"/>
              </w:rPr>
              <w:t xml:space="preserve">IRT Lead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Email + ITS</w:t>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bCs/>
                <w:color w:val="E8176B"/>
                <w:sz w:val="17"/>
                <w:szCs w:val="17"/>
              </w:rPr>
              <w:t xml:space="preserve">2 hrs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TMPL-003</w:t>
            </w:r>
          </w:p>
        </w:tc>
      </w:tr>
      <w:tr>
        <w:tc>
          <w:tcPr>
            <w:tcW w:type="dxa" w:w="700"/>
            <w:tcBorders>
              <w:top w:val="single" w:color="CCCCCC" w:sz="1"/>
              <w:left w:val="single" w:color="CCCCCC" w:sz="1"/>
              <w:bottom w:val="single" w:color="CCCCCC" w:sz="1"/>
              <w:right w:val="single" w:color="CCCCCC" w:sz="1"/>
            </w:tcBorders>
            <w:shd w:fill="1565C0" w:val="clear"/>
            <w:tcMar>
              <w:top w:type="dxa" w:w="80"/>
              <w:left w:type="dxa" w:w="80"/>
              <w:bottom w:type="dxa" w:w="80"/>
              <w:right w:type="dxa" w:w="80"/>
            </w:tcMar>
            <w:vAlign w:val="center"/>
          </w:tcPr>
          <w:p>
            <w:pPr>
              <w:jc w:val="center"/>
            </w:pPr>
            <w:r>
              <w:rPr>
                <w:rFonts w:ascii="Arial" w:cs="Arial" w:eastAsia="Arial" w:hAnsi="Arial"/>
                <w:b/>
                <w:bCs/>
                <w:color w:val="FFFFFF"/>
                <w:sz w:val="17"/>
                <w:szCs w:val="17"/>
              </w:rPr>
              <w:t xml:space="preserve">SEV 4</w:t>
            </w:r>
          </w:p>
        </w:tc>
        <w:tc>
          <w:tcPr>
            <w:tcW w:type="dxa" w:w="2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7"/>
                <w:szCs w:val="17"/>
              </w:rPr>
              <w:t xml:space="preserve">Failed attack, anomalous but benign, tool alert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L1 Analyst (self)</w:t>
            </w:r>
          </w:p>
        </w:tc>
        <w:tc>
          <w:tcPr>
            <w:tcW w:type="dxa" w:w="13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color w:val="1A1A1A"/>
                <w:sz w:val="17"/>
                <w:szCs w:val="17"/>
              </w:rPr>
              <w:t xml:space="preserve">L2 Analyst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ITS Ticket</w:t>
            </w:r>
          </w:p>
        </w:tc>
        <w:tc>
          <w:tcPr>
            <w:tcW w:type="dxa" w:w="1000"/>
            <w:tcBorders>
              <w:top w:val="single" w:color="CCCCCC" w:sz="1"/>
              <w:left w:val="single" w:color="CCCCCC" w:sz="1"/>
              <w:bottom w:val="single" w:color="CCCCCC" w:sz="1"/>
              <w:right w:val="single" w:color="CCCCCC" w:sz="1"/>
            </w:tcBorders>
            <w:shd w:fill="F4F4F4" w:val="clear"/>
            <w:tcMar>
              <w:top w:type="dxa" w:w="80"/>
              <w:left w:type="dxa" w:w="100"/>
              <w:bottom w:type="dxa" w:w="80"/>
              <w:right w:type="dxa" w:w="100"/>
            </w:tcMar>
          </w:tcPr>
          <w:p>
            <w:r>
              <w:rPr>
                <w:rFonts w:ascii="Arial" w:cs="Arial" w:eastAsia="Arial" w:hAnsi="Arial"/>
                <w:b/>
                <w:bCs/>
                <w:color w:val="E8176B"/>
                <w:sz w:val="17"/>
                <w:szCs w:val="17"/>
              </w:rPr>
              <w:t xml:space="preserve">24 hrs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tcPr>
          <w:p>
            <w:r>
              <w:rPr>
                <w:rFonts w:ascii="Arial" w:cs="Arial" w:eastAsia="Arial" w:hAnsi="Arial"/>
                <w:color w:val="1A1A1A"/>
                <w:sz w:val="17"/>
                <w:szCs w:val="17"/>
              </w:rPr>
              <w:t xml:space="preserve">TMPL-004</w:t>
            </w:r>
          </w:p>
        </w:tc>
      </w:tr>
    </w:tbl>
    <w:p>
      <w:pPr>
        <w:spacing w:before="160" w:after="160"/>
      </w:pPr>
      <w:r>
        <w:t xml:space="preserve"/>
      </w:r>
    </w:p>
    <w:p>
      <w:pPr>
        <w:spacing w:before="240" w:after="80"/>
      </w:pPr>
      <w:r>
        <w:rPr>
          <w:rFonts w:ascii="Arial" w:cs="Arial" w:eastAsia="Arial" w:hAnsi="Arial"/>
          <w:b/>
          <w:bCs/>
          <w:color w:val="000000"/>
          <w:sz w:val="26"/>
          <w:szCs w:val="26"/>
        </w:rPr>
        <w:t xml:space="preserve">2.2 External Escalation — Regulatory &amp; Law Enforcement</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000"/>
        <w:gridCol w:w="1560"/>
        <w:gridCol w:w="1600"/>
      </w:tblGrid>
      <w:tr>
        <w:tc>
          <w:tcPr>
            <w:tcW w:type="dxa" w:w="200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19"/>
                <w:szCs w:val="19"/>
              </w:rPr>
              <w:t xml:space="preserve">Authority</w:t>
            </w:r>
          </w:p>
        </w:tc>
        <w:tc>
          <w:tcPr>
            <w:tcW w:type="dxa" w:w="220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19"/>
                <w:szCs w:val="19"/>
              </w:rPr>
              <w:t xml:space="preserve">Trigger</w:t>
            </w:r>
          </w:p>
        </w:tc>
        <w:tc>
          <w:tcPr>
            <w:tcW w:type="dxa" w:w="200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19"/>
                <w:szCs w:val="19"/>
              </w:rPr>
              <w:t xml:space="preserve">Contact Method</w:t>
            </w:r>
          </w:p>
        </w:tc>
        <w:tc>
          <w:tcPr>
            <w:tcW w:type="dxa" w:w="156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19"/>
                <w:szCs w:val="19"/>
              </w:rPr>
              <w:t xml:space="preserve">SLA</w:t>
            </w:r>
          </w:p>
        </w:tc>
        <w:tc>
          <w:tcPr>
            <w:tcW w:type="dxa" w:w="1600"/>
            <w:tcBorders>
              <w:top w:val="single" w:color="CCCCCC" w:sz="1"/>
              <w:left w:val="single" w:color="CCCCCC" w:sz="1"/>
              <w:bottom w:val="single" w:color="CCCCCC" w:sz="1"/>
              <w:right w:val="single" w:color="CCCCCC" w:sz="1"/>
            </w:tcBorders>
            <w:shd w:fill="000000" w:val="clear"/>
            <w:tcMar>
              <w:top w:type="dxa" w:w="80"/>
              <w:left w:type="dxa" w:w="120"/>
              <w:bottom w:type="dxa" w:w="80"/>
              <w:right w:type="dxa" w:w="120"/>
            </w:tcMar>
          </w:tcPr>
          <w:p>
            <w:r>
              <w:rPr>
                <w:rFonts w:ascii="Arial" w:cs="Arial" w:eastAsia="Arial" w:hAnsi="Arial"/>
                <w:b/>
                <w:bCs/>
                <w:color w:val="FFFFFF"/>
                <w:sz w:val="19"/>
                <w:szCs w:val="19"/>
              </w:rPr>
              <w:t xml:space="preserve">Responsible Party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Information Regulator (SA)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POPIA data breach (personal info)</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Written notification — www.inforegulator.org.za</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72 hours from awareness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Legal Counsel + IRT Lead</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9"/>
                <w:szCs w:val="19"/>
              </w:rPr>
              <w:t xml:space="preserve">SAPS Cybercrime Unit</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9"/>
                <w:szCs w:val="19"/>
              </w:rPr>
              <w:t xml:space="preserve">Cybercrimes Act 19/2020 offence confirmed</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9"/>
                <w:szCs w:val="19"/>
              </w:rPr>
              <w:t xml:space="preserve">Case number registration — nearest cybercrime desk</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9"/>
                <w:szCs w:val="19"/>
              </w:rPr>
              <w:t xml:space="preserve">72 hours from awareness</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9"/>
                <w:szCs w:val="19"/>
              </w:rPr>
              <w:t xml:space="preserve">Legal Counsel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SABRIC (Banking)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Financial data breach or banking fraud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24hr hotline + secure submission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Immediate on confirmation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IRT Lead + Legal</w:t>
            </w:r>
          </w:p>
        </w:tc>
      </w:tr>
      <w:tr>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9"/>
                <w:szCs w:val="19"/>
              </w:rPr>
              <w:t xml:space="preserve">Client CISO / Security Team</w:t>
            </w:r>
          </w:p>
        </w:tc>
        <w:tc>
          <w:tcPr>
            <w:tcW w:type="dxa" w:w="2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9"/>
                <w:szCs w:val="19"/>
              </w:rPr>
              <w:t xml:space="preserve">Any incident affecting client environment</w:t>
            </w:r>
          </w:p>
        </w:tc>
        <w:tc>
          <w:tcPr>
            <w:tcW w:type="dxa" w:w="2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9"/>
                <w:szCs w:val="19"/>
              </w:rPr>
              <w:t xml:space="preserve">Per client contract — encrypted channel</w:t>
            </w:r>
          </w:p>
        </w:tc>
        <w:tc>
          <w:tcPr>
            <w:tcW w:type="dxa" w:w="15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9"/>
                <w:szCs w:val="19"/>
              </w:rPr>
              <w:t xml:space="preserve">Per SLA (default 1hr)</w:t>
            </w:r>
          </w:p>
        </w:tc>
        <w:tc>
          <w:tcPr>
            <w:tcW w:type="dxa" w:w="16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tcPr>
          <w:p>
            <w:r>
              <w:rPr>
                <w:rFonts w:ascii="Arial" w:cs="Arial" w:eastAsia="Arial" w:hAnsi="Arial"/>
                <w:color w:val="1A1A1A"/>
                <w:sz w:val="19"/>
                <w:szCs w:val="19"/>
              </w:rPr>
              <w:t xml:space="preserve">Client Liaison + IRT Lead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Cyber Insurance Provider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Any SEV 1 or SEV 2 incident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Policy number + hotline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Within 24hrs of SEV 1/2 declaration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9"/>
                <w:szCs w:val="19"/>
              </w:rPr>
              <w:t xml:space="preserve">Legal Counsel + CEO</w:t>
            </w:r>
          </w:p>
        </w:tc>
      </w:tr>
    </w:tbl>
    <w:p>
      <w:pPr>
        <w:spacing w:before="160" w:after="160"/>
      </w:pPr>
      <w:r>
        <w:t xml:space="preserve"/>
      </w:r>
    </w:p>
    <w:p>
      <w:pPr>
        <w:shd w:fill="000000" w:val="clear"/>
        <w:spacing w:before="0" w:after="0"/>
      </w:pPr>
      <w:r>
        <w:rPr>
          <w:rFonts w:ascii="Arial" w:cs="Arial" w:eastAsia="Arial" w:hAnsi="Arial"/>
          <w:b/>
          <w:bCs/>
          <w:color w:val="FFFFFF"/>
          <w:sz w:val="30"/>
          <w:szCs w:val="30"/>
        </w:rPr>
        <w:t xml:space="preserve"> 3. COMMUNICATION TEMPLATES</w:t>
      </w:r>
    </w:p>
    <w:p>
      <w:pPr>
        <w:spacing w:before="80" w:after="80"/>
      </w:pPr>
      <w:r>
        <w:t xml:space="preserve"/>
      </w:r>
    </w:p>
    <w:p>
      <w:pPr>
        <w:spacing w:before="240" w:after="80"/>
      </w:pPr>
      <w:r>
        <w:rPr>
          <w:rFonts w:ascii="Arial" w:cs="Arial" w:eastAsia="Arial" w:hAnsi="Arial"/>
          <w:b/>
          <w:bCs/>
          <w:color w:val="000000"/>
          <w:sz w:val="26"/>
          <w:szCs w:val="26"/>
        </w:rPr>
        <w:t xml:space="preserve">TMPL-001 — SEV 1 Initial Alert (Internal — IRT Team)</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00000" w:val="clear"/>
            <w:tcMar>
              <w:top w:type="dxa" w:w="80"/>
              <w:left w:type="dxa" w:w="160"/>
              <w:bottom w:type="dxa" w:w="80"/>
              <w:right w:type="dxa" w:w="160"/>
            </w:tcMar>
          </w:tcPr>
          <w:p>
            <w:r>
              <w:rPr>
                <w:rFonts w:ascii="Arial Narrow" w:cs="Arial Narrow" w:eastAsia="Arial Narrow" w:hAnsi="Arial Narrow"/>
                <w:b/>
                <w:bCs/>
                <w:color w:val="E8176B"/>
                <w:sz w:val="22"/>
                <w:szCs w:val="22"/>
              </w:rPr>
              <w:t xml:space="preserve">🚨 GH4H CRITICAL INCIDENT ALERT — SEV 1</w:t>
            </w:r>
          </w:p>
          <w:p>
            <w:r>
              <w:rPr>
                <w:rFonts w:ascii="Arial Narrow" w:cs="Arial Narrow" w:eastAsia="Arial Narrow" w:hAnsi="Arial Narrow"/>
                <w:color w:val="FFFFFF"/>
                <w:sz w:val="18"/>
                <w:szCs w:val="18"/>
              </w:rPr>
              <w:t xml:space="preserve">Incident ID: GH4H-IR-[YYYY-NNNN]</w:t>
            </w:r>
          </w:p>
          <w:p>
            <w:r>
              <w:rPr>
                <w:rFonts w:ascii="Arial Narrow" w:cs="Arial Narrow" w:eastAsia="Arial Narrow" w:hAnsi="Arial Narrow"/>
                <w:color w:val="FFFFFF"/>
                <w:sz w:val="18"/>
                <w:szCs w:val="18"/>
              </w:rPr>
              <w:t xml:space="preserve">Date/Time: [DD MMM YYYY] [HH:MM SAST]</w:t>
            </w:r>
          </w:p>
          <w:p>
            <w:r>
              <w:rPr>
                <w:rFonts w:ascii="Arial Narrow" w:cs="Arial Narrow" w:eastAsia="Arial Narrow" w:hAnsi="Arial Narrow"/>
                <w:color w:val="FFFFFF"/>
                <w:sz w:val="18"/>
                <w:szCs w:val="18"/>
              </w:rPr>
              <w:t xml:space="preserve">Declared by: [Analyst Name, L1/L2/L3]</w:t>
            </w:r>
          </w:p>
          <w:p>
            <w:r>
              <w:rPr>
                <w:sz w:val="10"/>
                <w:szCs w:val="10"/>
              </w:rPr>
              <w:t xml:space="preserve"> </w:t>
            </w:r>
          </w:p>
          <w:p>
            <w:r>
              <w:rPr>
                <w:rFonts w:ascii="Arial Narrow" w:cs="Arial Narrow" w:eastAsia="Arial Narrow" w:hAnsi="Arial Narrow"/>
                <w:b/>
                <w:bCs/>
                <w:color w:val="E8176B"/>
                <w:sz w:val="18"/>
                <w:szCs w:val="18"/>
              </w:rPr>
              <w:t xml:space="preserve">SUMMARY:</w:t>
            </w:r>
          </w:p>
          <w:p>
            <w:r>
              <w:rPr>
                <w:rFonts w:ascii="Arial Narrow" w:cs="Arial Narrow" w:eastAsia="Arial Narrow" w:hAnsi="Arial Narrow"/>
                <w:color w:val="AAAAAA"/>
                <w:sz w:val="18"/>
                <w:szCs w:val="18"/>
              </w:rPr>
              <w:t xml:space="preserve">[Brief 2-3 sentence description of what is happening, what systems are affected, and what initial actions have been taken.]</w:t>
            </w:r>
          </w:p>
          <w:p>
            <w:r>
              <w:rPr>
                <w:sz w:val="10"/>
                <w:szCs w:val="10"/>
              </w:rPr>
              <w:t xml:space="preserve"> </w:t>
            </w:r>
          </w:p>
          <w:p>
            <w:r>
              <w:rPr>
                <w:rFonts w:ascii="Arial Narrow" w:cs="Arial Narrow" w:eastAsia="Arial Narrow" w:hAnsi="Arial Narrow"/>
                <w:color w:val="FFFFFF"/>
                <w:sz w:val="18"/>
                <w:szCs w:val="18"/>
              </w:rPr>
              <w:t xml:space="preserve">AFFECTED SYSTEMS: [List]</w:t>
            </w:r>
          </w:p>
          <w:p>
            <w:r>
              <w:rPr>
                <w:rFonts w:ascii="Arial Narrow" w:cs="Arial Narrow" w:eastAsia="Arial Narrow" w:hAnsi="Arial Narrow"/>
                <w:color w:val="FFFFFF"/>
                <w:sz w:val="18"/>
                <w:szCs w:val="18"/>
              </w:rPr>
              <w:t xml:space="preserve">CLIENT IMPACT: [Yes/No — if Yes, which clients]</w:t>
            </w:r>
          </w:p>
          <w:p>
            <w:r>
              <w:rPr>
                <w:rFonts w:ascii="Arial Narrow" w:cs="Arial Narrow" w:eastAsia="Arial Narrow" w:hAnsi="Arial Narrow"/>
                <w:color w:val="FFFFFF"/>
                <w:sz w:val="18"/>
                <w:szCs w:val="18"/>
              </w:rPr>
              <w:t xml:space="preserve">DATA AT RISK: [Yes/No — if Yes, type of data]</w:t>
            </w:r>
          </w:p>
          <w:p>
            <w:r>
              <w:rPr>
                <w:rFonts w:ascii="Arial Narrow" w:cs="Arial Narrow" w:eastAsia="Arial Narrow" w:hAnsi="Arial Narrow"/>
                <w:color w:val="FFFFFF"/>
                <w:sz w:val="18"/>
                <w:szCs w:val="18"/>
              </w:rPr>
              <w:t xml:space="preserve">INITIAL ACTIONS TAKEN: [List]</w:t>
            </w:r>
          </w:p>
          <w:p>
            <w:r>
              <w:rPr>
                <w:sz w:val="10"/>
                <w:szCs w:val="10"/>
              </w:rPr>
              <w:t xml:space="preserve"> </w:t>
            </w:r>
          </w:p>
          <w:p>
            <w:r>
              <w:rPr>
                <w:rFonts w:ascii="Arial Narrow" w:cs="Arial Narrow" w:eastAsia="Arial Narrow" w:hAnsi="Arial Narrow"/>
                <w:b/>
                <w:bCs/>
                <w:color w:val="E8176B"/>
                <w:sz w:val="18"/>
                <w:szCs w:val="18"/>
              </w:rPr>
              <w:t xml:space="preserve">BRIDGE CALL: [Link/Dial-in details] opens in 10 minutes.</w:t>
            </w:r>
          </w:p>
        </w:tc>
      </w:tr>
    </w:tbl>
    <w:p>
      <w:pPr>
        <w:spacing w:before="160" w:after="160"/>
      </w:pPr>
      <w:r>
        <w:t xml:space="preserve"/>
      </w:r>
    </w:p>
    <w:p>
      <w:pPr>
        <w:spacing w:before="240" w:after="80"/>
      </w:pPr>
      <w:r>
        <w:rPr>
          <w:rFonts w:ascii="Arial" w:cs="Arial" w:eastAsia="Arial" w:hAnsi="Arial"/>
          <w:b/>
          <w:bCs/>
          <w:color w:val="000000"/>
          <w:sz w:val="26"/>
          <w:szCs w:val="26"/>
        </w:rPr>
        <w:t xml:space="preserve">TMPL-002 — SEV 2 Initial Alert (Internal)</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1A1A" w:val="clear"/>
            <w:tcMar>
              <w:top w:type="dxa" w:w="80"/>
              <w:left w:type="dxa" w:w="160"/>
              <w:bottom w:type="dxa" w:w="80"/>
              <w:right w:type="dxa" w:w="160"/>
            </w:tcMar>
          </w:tcPr>
          <w:p>
            <w:r>
              <w:rPr>
                <w:rFonts w:ascii="Arial Narrow" w:cs="Arial Narrow" w:eastAsia="Arial Narrow" w:hAnsi="Arial Narrow"/>
                <w:b/>
                <w:bCs/>
                <w:color w:val="FFA000"/>
                <w:sz w:val="22"/>
                <w:szCs w:val="22"/>
              </w:rPr>
              <w:t xml:space="preserve">⚠ GH4H HIGH SEVERITY INCIDENT — SEV 2</w:t>
            </w:r>
          </w:p>
          <w:p>
            <w:r>
              <w:rPr>
                <w:rFonts w:ascii="Arial Narrow" w:cs="Arial Narrow" w:eastAsia="Arial Narrow" w:hAnsi="Arial Narrow"/>
                <w:color w:val="FFFFFF"/>
                <w:sz w:val="18"/>
                <w:szCs w:val="18"/>
              </w:rPr>
              <w:t xml:space="preserve">Incident ID: GH4H-IR-[YYYY-NNNN]  |  Date/Time: [DD MMM YYYY] [HH:MM SAST]</w:t>
            </w:r>
          </w:p>
          <w:p>
            <w:r>
              <w:rPr>
                <w:sz w:val="10"/>
                <w:szCs w:val="10"/>
              </w:rPr>
              <w:t xml:space="preserve"> </w:t>
            </w:r>
          </w:p>
          <w:p>
            <w:r>
              <w:rPr>
                <w:rFonts w:ascii="Arial Narrow" w:cs="Arial Narrow" w:eastAsia="Arial Narrow" w:hAnsi="Arial Narrow"/>
                <w:color w:val="CCCCCC"/>
                <w:sz w:val="18"/>
                <w:szCs w:val="18"/>
              </w:rPr>
              <w:t xml:space="preserve">DESCRIPTION: [What was detected, by which tool, initial IOCs]</w:t>
            </w:r>
          </w:p>
          <w:p>
            <w:r>
              <w:rPr>
                <w:rFonts w:ascii="Arial Narrow" w:cs="Arial Narrow" w:eastAsia="Arial Narrow" w:hAnsi="Arial Narrow"/>
                <w:color w:val="CCCCCC"/>
                <w:sz w:val="18"/>
                <w:szCs w:val="18"/>
              </w:rPr>
              <w:t xml:space="preserve">AFFECTED ASSETS: [Hostnames, IPs, accounts]</w:t>
            </w:r>
          </w:p>
          <w:p>
            <w:r>
              <w:rPr>
                <w:rFonts w:ascii="Arial Narrow" w:cs="Arial Narrow" w:eastAsia="Arial Narrow" w:hAnsi="Arial Narrow"/>
                <w:color w:val="CCCCCC"/>
                <w:sz w:val="18"/>
                <w:szCs w:val="18"/>
              </w:rPr>
              <w:t xml:space="preserve">CURRENT STATUS: [Containment status, ongoing risk]</w:t>
            </w:r>
          </w:p>
          <w:p>
            <w:r>
              <w:rPr>
                <w:rFonts w:ascii="Arial Narrow" w:cs="Arial Narrow" w:eastAsia="Arial Narrow" w:hAnsi="Arial Narrow"/>
                <w:color w:val="CCCCCC"/>
                <w:sz w:val="18"/>
                <w:szCs w:val="18"/>
              </w:rPr>
              <w:t xml:space="preserve">NEXT UPDATE: [Time of next update — default 1hr]</w:t>
            </w:r>
          </w:p>
          <w:p>
            <w:r>
              <w:rPr>
                <w:rFonts w:ascii="Arial Narrow" w:cs="Arial Narrow" w:eastAsia="Arial Narrow" w:hAnsi="Arial Narrow"/>
                <w:b/>
                <w:bCs/>
                <w:color w:val="FFA000"/>
                <w:sz w:val="18"/>
                <w:szCs w:val="18"/>
              </w:rPr>
              <w:t xml:space="preserve">IRT LEAD: [Name — available on Signal/[number]]</w:t>
            </w:r>
          </w:p>
        </w:tc>
      </w:tr>
    </w:tbl>
    <w:p>
      <w:pPr>
        <w:spacing w:before="160" w:after="160"/>
      </w:pPr>
      <w:r>
        <w:t xml:space="preserve"/>
      </w:r>
    </w:p>
    <w:p>
      <w:pPr>
        <w:spacing w:before="240" w:after="80"/>
      </w:pPr>
      <w:r>
        <w:rPr>
          <w:rFonts w:ascii="Arial" w:cs="Arial" w:eastAsia="Arial" w:hAnsi="Arial"/>
          <w:b/>
          <w:bCs/>
          <w:color w:val="000000"/>
          <w:sz w:val="26"/>
          <w:szCs w:val="26"/>
        </w:rPr>
        <w:t xml:space="preserve">TMPL-005 — Client Notification (Breach Disclosure)</w:t>
      </w:r>
    </w:p>
    <w:p>
      <w:pPr>
        <w:spacing w:before="60" w:after="60"/>
      </w:pPr>
      <w:r>
        <w:rPr>
          <w:rFonts w:ascii="Arial" w:cs="Arial" w:eastAsia="Arial" w:hAnsi="Arial"/>
          <w:color w:val="1A1A1A"/>
          <w:sz w:val="20"/>
          <w:szCs w:val="20"/>
        </w:rPr>
        <w:t xml:space="preserve">This template is used for formal written client notification of a confirmed breach affecting their environment. Review with Legal Counsel before sending.</w:t>
      </w:r>
    </w:p>
    <w:p>
      <w:pPr>
        <w:spacing w:before="40" w:after="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8176B" w:sz="8"/>
              <w:left w:val="single" w:color="E8176B" w:sz="8"/>
              <w:bottom w:val="single" w:color="CCCCCC" w:sz="1"/>
              <w:right w:val="single" w:color="CCCCCC" w:sz="1"/>
            </w:tcBorders>
            <w:shd w:fill="FFFFFF" w:val="clear"/>
            <w:tcMar>
              <w:top w:type="dxa" w:w="120"/>
              <w:left w:type="dxa" w:w="200"/>
              <w:bottom w:type="dxa" w:w="120"/>
              <w:right w:type="dxa" w:w="200"/>
            </w:tcMar>
          </w:tcPr>
          <w:p>
            <w:r>
              <w:rPr>
                <w:rFonts w:ascii="Arial" w:cs="Arial" w:eastAsia="Arial" w:hAnsi="Arial"/>
                <w:b/>
                <w:bCs/>
                <w:color w:val="000000"/>
                <w:sz w:val="20"/>
                <w:szCs w:val="20"/>
              </w:rPr>
              <w:t xml:space="preserve">SUBJECT: Security Incident Notification — [Client Name] — Reference: GH4H-IR-[YYYY-NNNN]</w:t>
            </w:r>
          </w:p>
          <w:p>
            <w:pPr>
              <w:spacing w:before="80" w:after="80"/>
            </w:pPr>
            <w:r>
              <w:t xml:space="preserve"/>
            </w:r>
          </w:p>
          <w:p>
            <w:r>
              <w:rPr>
                <w:rFonts w:ascii="Arial" w:cs="Arial" w:eastAsia="Arial" w:hAnsi="Arial"/>
                <w:color w:val="1A1A1A"/>
                <w:sz w:val="20"/>
                <w:szCs w:val="20"/>
              </w:rPr>
              <w:t xml:space="preserve">Dear [Client Contact Name],</w:t>
            </w:r>
          </w:p>
          <w:p>
            <w:pPr>
              <w:spacing w:before="60" w:after="60"/>
            </w:pPr>
            <w:r>
              <w:t xml:space="preserve"/>
            </w:r>
          </w:p>
          <w:p>
            <w:r>
              <w:rPr>
                <w:rFonts w:ascii="Arial" w:cs="Arial" w:eastAsia="Arial" w:hAnsi="Arial"/>
                <w:color w:val="1A1A1A"/>
                <w:sz w:val="20"/>
                <w:szCs w:val="20"/>
              </w:rPr>
              <w:t xml:space="preserve">We are writing to formally notify you of a security incident that has been identified affecting [describe scope]. This notification is provided in accordance with our contractual obligations and applicable data protection regulations.</w:t>
            </w:r>
          </w:p>
          <w:p>
            <w:pPr>
              <w:spacing w:before="60" w:after="60"/>
            </w:pPr>
            <w:r>
              <w:t xml:space="preserve"/>
            </w:r>
          </w:p>
          <w:p>
            <w:r>
              <w:rPr>
                <w:rFonts w:ascii="Arial" w:cs="Arial" w:eastAsia="Arial" w:hAnsi="Arial"/>
                <w:b/>
                <w:bCs/>
                <w:color w:val="000000"/>
                <w:sz w:val="20"/>
                <w:szCs w:val="20"/>
              </w:rPr>
              <w:t xml:space="preserve">INCIDENT DETAILS:</w:t>
            </w:r>
          </w:p>
          <w:p>
            <w:r>
              <w:rPr>
                <w:rFonts w:ascii="Arial" w:cs="Arial" w:eastAsia="Arial" w:hAnsi="Arial"/>
                <w:color w:val="1A1A1A"/>
                <w:sz w:val="19"/>
                <w:szCs w:val="19"/>
              </w:rPr>
              <w:t xml:space="preserve">Detection Date/Time: [DD MMM YYYY at HH:MM SAST]</w:t>
            </w:r>
          </w:p>
          <w:p>
            <w:r>
              <w:rPr>
                <w:rFonts w:ascii="Arial" w:cs="Arial" w:eastAsia="Arial" w:hAnsi="Arial"/>
                <w:color w:val="1A1A1A"/>
                <w:sz w:val="19"/>
                <w:szCs w:val="19"/>
              </w:rPr>
              <w:t xml:space="preserve">Nature of Incident: [Type of incident in plain language]</w:t>
            </w:r>
          </w:p>
          <w:p>
            <w:r>
              <w:rPr>
                <w:rFonts w:ascii="Arial" w:cs="Arial" w:eastAsia="Arial" w:hAnsi="Arial"/>
                <w:color w:val="1A1A1A"/>
                <w:sz w:val="19"/>
                <w:szCs w:val="19"/>
              </w:rPr>
              <w:t xml:space="preserve">Systems/Data Affected: [Description — avoid technical jargon]</w:t>
            </w:r>
          </w:p>
          <w:p>
            <w:r>
              <w:rPr>
                <w:rFonts w:ascii="Arial" w:cs="Arial" w:eastAsia="Arial" w:hAnsi="Arial"/>
                <w:color w:val="1A1A1A"/>
                <w:sz w:val="19"/>
                <w:szCs w:val="19"/>
              </w:rPr>
              <w:t xml:space="preserve">Containment Status: [Contained / Ongoing — current posture]</w:t>
            </w:r>
          </w:p>
          <w:p>
            <w:pPr>
              <w:spacing w:before="60" w:after="60"/>
            </w:pPr>
            <w:r>
              <w:t xml:space="preserve"/>
            </w:r>
          </w:p>
          <w:p>
            <w:r>
              <w:rPr>
                <w:rFonts w:ascii="Arial" w:cs="Arial" w:eastAsia="Arial" w:hAnsi="Arial"/>
                <w:b/>
                <w:bCs/>
                <w:color w:val="000000"/>
                <w:sz w:val="20"/>
                <w:szCs w:val="20"/>
              </w:rPr>
              <w:t xml:space="preserve">ACTIONS TAKEN TO DATE:</w:t>
            </w:r>
          </w:p>
          <w:p>
            <w:r>
              <w:rPr>
                <w:rFonts w:ascii="Arial" w:cs="Arial" w:eastAsia="Arial" w:hAnsi="Arial"/>
                <w:color w:val="1A1A1A"/>
                <w:sz w:val="19"/>
                <w:szCs w:val="19"/>
              </w:rPr>
              <w:t xml:space="preserve">[List key response actions taken]</w:t>
            </w:r>
          </w:p>
          <w:p>
            <w:pPr>
              <w:spacing w:before="60" w:after="60"/>
            </w:pPr>
            <w:r>
              <w:t xml:space="preserve"/>
            </w:r>
          </w:p>
          <w:p>
            <w:r>
              <w:rPr>
                <w:rFonts w:ascii="Arial" w:cs="Arial" w:eastAsia="Arial" w:hAnsi="Arial"/>
                <w:color w:val="1A1A1A"/>
                <w:sz w:val="20"/>
                <w:szCs w:val="20"/>
              </w:rPr>
              <w:t xml:space="preserve">We will provide a full technical Post-Incident Report within 5 business days of incident closure. Our dedicated Client Liaison [Name] is available at [email/phone] for any immediate queries.</w:t>
            </w:r>
          </w:p>
          <w:p>
            <w:pPr>
              <w:spacing w:before="60" w:after="60"/>
            </w:pPr>
            <w:r>
              <w:t xml:space="preserve"/>
            </w:r>
          </w:p>
          <w:p>
            <w:r>
              <w:rPr>
                <w:rFonts w:ascii="Arial" w:cs="Arial" w:eastAsia="Arial" w:hAnsi="Arial"/>
                <w:color w:val="1A1A1A"/>
                <w:sz w:val="19"/>
                <w:szCs w:val="19"/>
              </w:rPr>
              <w:t xml:space="preserve">Yours sincerely,
[IRT Lead Name]
Greyhat 4 Hire (Pty) Ltd
www.greyhat4hire.co.za</w:t>
            </w:r>
          </w:p>
        </w:tc>
      </w:tr>
    </w:tbl>
    <w:p>
      <w:pPr>
        <w:spacing w:before="160" w:after="160"/>
      </w:pPr>
      <w:r>
        <w:t xml:space="preserve"/>
      </w:r>
    </w:p>
    <w:p>
      <w:pPr>
        <w:shd w:fill="000000" w:val="clear"/>
        <w:spacing w:before="0" w:after="0"/>
      </w:pPr>
      <w:r>
        <w:rPr>
          <w:rFonts w:ascii="Arial" w:cs="Arial" w:eastAsia="Arial" w:hAnsi="Arial"/>
          <w:b/>
          <w:bCs/>
          <w:color w:val="FFFFFF"/>
          <w:sz w:val="30"/>
          <w:szCs w:val="30"/>
        </w:rPr>
        <w:t xml:space="preserve"> 4. COMMUNICATION RULES &amp; GOVERNANCE</w:t>
      </w:r>
    </w:p>
    <w:p>
      <w:pPr>
        <w:spacing w:before="80" w:after="80"/>
      </w:pPr>
      <w:r>
        <w:t xml:space="preserve"/>
      </w:r>
    </w:p>
    <w:p>
      <w:pPr>
        <w:spacing w:before="240" w:after="80"/>
      </w:pPr>
      <w:r>
        <w:rPr>
          <w:rFonts w:ascii="Arial" w:cs="Arial" w:eastAsia="Arial" w:hAnsi="Arial"/>
          <w:b/>
          <w:bCs/>
          <w:color w:val="000000"/>
          <w:sz w:val="26"/>
          <w:szCs w:val="26"/>
        </w:rPr>
        <w:t xml:space="preserve">4.1 Golden Rules of Incident Communication</w:t>
      </w:r>
    </w:p>
    <w:p>
      <w:pPr>
        <w:pStyle w:val="ListParagraph"/>
        <w:numPr>
          <w:ilvl w:val="0"/>
          <w:numId w:val="2"/>
        </w:numPr>
        <w:spacing w:before="40" w:after="40"/>
      </w:pPr>
      <w:r>
        <w:rPr>
          <w:rFonts w:ascii="Arial" w:cs="Arial" w:eastAsia="Arial" w:hAnsi="Arial"/>
          <w:color w:val="1A1A1A"/>
          <w:sz w:val="20"/>
          <w:szCs w:val="20"/>
        </w:rPr>
        <w:t xml:space="preserve">Accuracy over speed — verify before communicating, but do not delay notification beyond SLA</w:t>
      </w:r>
    </w:p>
    <w:p>
      <w:pPr>
        <w:pStyle w:val="ListParagraph"/>
        <w:numPr>
          <w:ilvl w:val="0"/>
          <w:numId w:val="2"/>
        </w:numPr>
        <w:spacing w:before="40" w:after="40"/>
      </w:pPr>
      <w:r>
        <w:rPr>
          <w:rFonts w:ascii="Arial" w:cs="Arial" w:eastAsia="Arial" w:hAnsi="Arial"/>
          <w:color w:val="1A1A1A"/>
          <w:sz w:val="20"/>
          <w:szCs w:val="20"/>
        </w:rPr>
        <w:t xml:space="preserve">Never speculate about cause, attribution, or scope in external communications — state only confirmed facts</w:t>
      </w:r>
    </w:p>
    <w:p>
      <w:pPr>
        <w:pStyle w:val="ListParagraph"/>
        <w:numPr>
          <w:ilvl w:val="0"/>
          <w:numId w:val="2"/>
        </w:numPr>
        <w:spacing w:before="40" w:after="40"/>
      </w:pPr>
      <w:r>
        <w:rPr>
          <w:rFonts w:ascii="Arial" w:cs="Arial" w:eastAsia="Arial" w:hAnsi="Arial"/>
          <w:color w:val="1A1A1A"/>
          <w:sz w:val="20"/>
          <w:szCs w:val="20"/>
        </w:rPr>
        <w:t xml:space="preserve">All external communications must be approved by IRT Lead and Legal Counsel before release</w:t>
      </w:r>
    </w:p>
    <w:p>
      <w:pPr>
        <w:pStyle w:val="ListParagraph"/>
        <w:numPr>
          <w:ilvl w:val="0"/>
          <w:numId w:val="2"/>
        </w:numPr>
        <w:spacing w:before="40" w:after="40"/>
      </w:pPr>
      <w:r>
        <w:rPr>
          <w:rFonts w:ascii="Arial" w:cs="Arial" w:eastAsia="Arial" w:hAnsi="Arial"/>
          <w:color w:val="1A1A1A"/>
          <w:sz w:val="20"/>
          <w:szCs w:val="20"/>
        </w:rPr>
        <w:t xml:space="preserve">Use designated secure channels — no incident details via WhatsApp, SMS, or unencrypted email</w:t>
      </w:r>
    </w:p>
    <w:p>
      <w:pPr>
        <w:pStyle w:val="ListParagraph"/>
        <w:numPr>
          <w:ilvl w:val="0"/>
          <w:numId w:val="2"/>
        </w:numPr>
        <w:spacing w:before="40" w:after="40"/>
      </w:pPr>
      <w:r>
        <w:rPr>
          <w:rFonts w:ascii="Arial" w:cs="Arial" w:eastAsia="Arial" w:hAnsi="Arial"/>
          <w:color w:val="1A1A1A"/>
          <w:sz w:val="20"/>
          <w:szCs w:val="20"/>
        </w:rPr>
        <w:t xml:space="preserve">Maintain a communication log — record all notifications with timestamps and recipients</w:t>
      </w:r>
    </w:p>
    <w:p>
      <w:pPr>
        <w:pStyle w:val="ListParagraph"/>
        <w:numPr>
          <w:ilvl w:val="0"/>
          <w:numId w:val="2"/>
        </w:numPr>
        <w:spacing w:before="40" w:after="40"/>
      </w:pPr>
      <w:r>
        <w:rPr>
          <w:rFonts w:ascii="Arial" w:cs="Arial" w:eastAsia="Arial" w:hAnsi="Arial"/>
          <w:color w:val="1A1A1A"/>
          <w:sz w:val="20"/>
          <w:szCs w:val="20"/>
        </w:rPr>
        <w:t xml:space="preserve">Consistent messaging — all personnel must use approved templates to avoid conflicting statements</w:t>
      </w:r>
    </w:p>
    <w:p>
      <w:pPr>
        <w:pStyle w:val="ListParagraph"/>
        <w:numPr>
          <w:ilvl w:val="0"/>
          <w:numId w:val="2"/>
        </w:numPr>
        <w:spacing w:before="40" w:after="40"/>
      </w:pPr>
      <w:r>
        <w:rPr>
          <w:rFonts w:ascii="Arial" w:cs="Arial" w:eastAsia="Arial" w:hAnsi="Arial"/>
          <w:color w:val="1A1A1A"/>
          <w:sz w:val="20"/>
          <w:szCs w:val="20"/>
        </w:rPr>
        <w:t xml:space="preserve">Brief, factual updates every 1-2 hours for SEV 1/2 incidents — silence breeds panic</w:t>
      </w:r>
    </w:p>
    <w:p>
      <w:pPr>
        <w:pStyle w:val="ListParagraph"/>
        <w:numPr>
          <w:ilvl w:val="0"/>
          <w:numId w:val="2"/>
        </w:numPr>
        <w:spacing w:before="40" w:after="40"/>
      </w:pPr>
      <w:r>
        <w:rPr>
          <w:rFonts w:ascii="Arial" w:cs="Arial" w:eastAsia="Arial" w:hAnsi="Arial"/>
          <w:color w:val="1A1A1A"/>
          <w:sz w:val="20"/>
          <w:szCs w:val="20"/>
        </w:rPr>
        <w:t xml:space="preserve">Never make commitments about timelines, recovery, or compensation without management approval</w:t>
      </w:r>
    </w:p>
    <w:p>
      <w:pPr>
        <w:spacing w:before="160" w:after="160"/>
      </w:pPr>
      <w:r>
        <w:t xml:space="preserve"/>
      </w:r>
    </w:p>
    <w:p>
      <w:pPr>
        <w:spacing w:before="240" w:after="80"/>
      </w:pPr>
      <w:r>
        <w:rPr>
          <w:rFonts w:ascii="Arial" w:cs="Arial" w:eastAsia="Arial" w:hAnsi="Arial"/>
          <w:b/>
          <w:bCs/>
          <w:color w:val="000000"/>
          <w:sz w:val="26"/>
          <w:szCs w:val="26"/>
        </w:rPr>
        <w:t xml:space="preserve">4.2 Media &amp; Social Media Policy</w:t>
      </w:r>
    </w:p>
    <w:p>
      <w:pPr>
        <w:spacing w:before="60" w:after="60"/>
      </w:pPr>
      <w:r>
        <w:rPr>
          <w:rFonts w:ascii="Arial" w:cs="Arial" w:eastAsia="Arial" w:hAnsi="Arial"/>
          <w:color w:val="1A1A1A"/>
          <w:sz w:val="20"/>
          <w:szCs w:val="20"/>
        </w:rPr>
        <w:t xml:space="preserve">During active incidents, all media enquiries must be redirected to the designated Communications Lead. No GH4H staff member is authorised to comment to press or on social media about an active incident. Violations are a disciplinary matter. The Communications Lead will coordinate with Legal Counsel on any public statements.</w:t>
      </w:r>
    </w:p>
    <w:p>
      <w:pPr>
        <w:spacing w:before="160" w:after="160"/>
      </w:pPr>
      <w:r>
        <w:t xml:space="preserve"/>
      </w:r>
    </w:p>
    <w:p>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t xml:space="preserve"/>
    </w:r>
  </w:p>
  <w:p>
    <w:pPr>
      <w:tabs>
        <w:tab w:val="center" w:pos="4680"/>
        <w:tab w:val="right" w:pos="9360"/>
      </w:tabs>
    </w:pPr>
    <w:r>
      <w:rPr>
        <w:rFonts w:ascii="Arial" w:cs="Arial" w:eastAsia="Arial" w:hAnsi="Arial"/>
        <w:color w:val="AAAAAA"/>
        <w:sz w:val="16"/>
        <w:szCs w:val="16"/>
      </w:rPr>
      <w:t xml:space="preserve">CONFIDENTIAL</w:t>
    </w:r>
    <w:r>
      <w:rPr>
        <w:sz w:val="16"/>
        <w:szCs w:val="16"/>
      </w:rPr>
      <w:t xml:space="preserve">	</w:t>
    </w:r>
    <w:r>
      <w:rPr>
        <w:rFonts w:ascii="Arial" w:cs="Arial" w:eastAsia="Arial" w:hAnsi="Arial"/>
        <w:color w:val="AAAAAA"/>
        <w:sz w:val="16"/>
        <w:szCs w:val="16"/>
      </w:rPr>
      <w:t xml:space="preserve">Greyhat 4 Hire (Pty) Ltd</w:t>
    </w:r>
    <w:r>
      <w:rPr>
        <w:sz w:val="16"/>
        <w:szCs w:val="16"/>
      </w:rPr>
      <w:t xml:space="preserve">	</w:t>
    </w:r>
    <w:r>
      <w:rPr>
        <w:rFonts w:ascii="Arial" w:cs="Arial" w:eastAsia="Arial" w:hAnsi="Arial"/>
        <w:color w:val="AAAAAA"/>
        <w:sz w:val="16"/>
        <w:szCs w:val="16"/>
      </w:rPr>
      <w:t xml:space="preserve">Page </w:t>
    </w:r>
    <w:fldSimple w:instr="PAGE">
      <w:r>
        <w:rPr>
          <w:rFonts w:ascii="Arial" w:cs="Arial" w:eastAsia="Arial" w:hAnsi="Arial"/>
          <w:color w:val="E8176B"/>
          <w:sz w:val="16"/>
          <w:szCs w:val="16"/>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Pr>
        <w:p>
          <w:r>
            <w:drawing>
              <wp:inline distT="0" distB="0" distL="0" distR="0">
                <wp:extent cx="1314450" cy="37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314450" cy="371475"/>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right"/>
          </w:pPr>
          <w:r>
            <w:rPr>
              <w:rFonts w:ascii="Arial" w:cs="Arial" w:eastAsia="Arial" w:hAnsi="Arial"/>
              <w:color w:val="888888"/>
              <w:sz w:val="16"/>
              <w:szCs w:val="16"/>
            </w:rPr>
            <w:t xml:space="preserve">GH4H-CEP-003 | Communication &amp; Escalation Protocols</w:t>
          </w:r>
        </w:p>
      </w:tc>
    </w:tr>
  </w:tbl>
  <w:p>
    <w:pPr>
      <w:pBdr>
        <w:bottom w:val="single" w:color="E8176B" w:sz="8" w:space="1"/>
      </w:pBdr>
    </w:pPr>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color w:val="E8176B"/>
      </w:rPr>
    </w:lvl>
    <w:lvl w:ilvl="1" w15:tentative="1">
      <w:start w:val="1"/>
      <w:numFmt w:val="bullet"/>
      <w:lvlText w:val="–"/>
      <w:lvlJc w:val="left"/>
      <w:pPr>
        <w:ind w:left="840" w:hanging="240"/>
      </w:pPr>
      <w:rPr>
        <w:rFonts w:ascii="Arial" w:cs="Arial" w:eastAsia="Arial" w:hAnsi="Arial"/>
        <w:color w:val="888888"/>
      </w:rPr>
    </w:lvl>
  </w:abstractNum>
  <w:abstractNum w:abstractNumId="3" w15:restartNumberingAfterBreak="0">
    <w:multiLevelType w:val="hybridMultilevel"/>
    <w:lvl w:ilvl="0" w15:tentative="1">
      <w:start w:val="1"/>
      <w:numFmt w:val="decimal"/>
      <w:lvlText w:val="%1."/>
      <w:lvlJc w:val="left"/>
      <w:pPr>
        <w:ind w:left="480" w:hanging="240"/>
      </w:pPr>
      <w:rPr>
        <w:rFonts w:ascii="Arial" w:cs="Arial" w:eastAsia="Arial" w:hAnsi="Arial"/>
        <w:b/>
        <w:bCs/>
        <w:color w:val="E8176B"/>
      </w:rPr>
    </w:lvl>
    <w:lvl w:ilvl="1" w15:tentative="1">
      <w:start w:val="1"/>
      <w:numFmt w:val="lowerLetter"/>
      <w:lvlText w:val="%2."/>
      <w:lvlJc w:val="left"/>
      <w:pPr>
        <w:ind w:left="840" w:hanging="240"/>
      </w:pPr>
      <w:rPr>
        <w:rFonts w:ascii="Arial" w:cs="Arial" w:eastAsia="Arial" w:hAnsi="Arial"/>
        <w:color w:val="1A1A1A"/>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26ec73a50ac17b38df2a72748225a40988cd95f5.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6ec73a50ac17b38df2a72748225a40988cd95f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2026-02-24T17:08:36.149Z</dcterms:created>
  <dcterms:modified xsi:type="dcterms:W3CDTF">2026-02-24T17:08:36.149Z</dcterms:modified>
</cp:coreProperties>
</file>

<file path=docProps/custom.xml><?xml version="1.0" encoding="utf-8"?>
<Properties xmlns="http://schemas.openxmlformats.org/officeDocument/2006/custom-properties" xmlns:vt="http://schemas.openxmlformats.org/officeDocument/2006/docPropsVTypes"/>
</file>