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00" w:val="clear"/>
        <w:spacing w:before="0" w:after="0"/>
      </w:pPr>
      <w:r>
        <w:rPr>
          <w:sz w:val="20"/>
          <w:szCs w:val="20"/>
        </w:rPr>
        <w:t xml:space="preserve"/>
      </w:r>
    </w:p>
    <w:p>
      <w:pPr>
        <w:shd w:fill="000000" w:val="clear"/>
        <w:spacing w:before="0" w:after="0"/>
        <w:jc w:val="center"/>
      </w:pPr>
      <w:r>
        <w:drawing>
          <wp:inline distT="0" distB="0" distL="0" distR="0">
            <wp:extent cx="314325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E8176B" w:val="clear"/>
        <w:spacing w:before="0" w:after="0"/>
      </w:pPr>
      <w:r>
        <w:rPr>
          <w:sz w:val="20"/>
          <w:szCs w:val="20"/>
        </w:rPr>
        <w:t xml:space="preserve"> </w:t>
      </w:r>
    </w:p>
    <w:p>
      <w:pPr>
        <w:shd w:fill="E8176B" w:val="clear"/>
        <w:spacing w:before="0" w:after="0"/>
        <w:jc w:val="center"/>
      </w:pPr>
      <w:r>
        <w:rPr>
          <w:sz w:val="8"/>
          <w:szCs w:val="8"/>
        </w:rPr>
        <w:t xml:space="preserve"> 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Incident Response Plan</w:t>
      </w:r>
    </w:p>
    <w:p>
      <w:pPr>
        <w:shd w:fill="000000" w:val="clear"/>
        <w:spacing w:before="0" w:after="0"/>
      </w:pPr>
      <w:r>
        <w:rPr>
          <w:sz w:val="24"/>
          <w:szCs w:val="24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Cybersecurity Incident Management Framework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v1.0  |  February 2026  |  CONFIDENTIAL</w:t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1. PURPOSE &amp; SCOPE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Purpose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Incident Response Plan (IRP) establishes a structured, repeatable methodology for Greyhat 4 Hire (Pty) Ltd to prepare for, detect, contain, eradicate, and recover from cybersecurity incidents. It aligns with ISO/IEC 27035, NIST SP 800-61r2, and the South African Protection of Personal Information Act (POPIA).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Scope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plan applies to all Greyhat 4 Hire personnel, contractors, client-facing engagements, internal infrastructure, and managed security services. It covers: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information systems owned or operated by Greyhat 4 Hire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Client environments under active managed security 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Third-party and supply chain relationships with data access agreements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 environments, on-premises infrastructure, and endpoint assets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1.3 Regulatory &amp; Compliance Context (South Africa)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Greyhat 4 Hire operates under the following regulatory obligations when responding to incidents: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 / 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 Deadline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POPIA (Act 4 of 2013)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data breach notification to Information Regulator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Within 72 hours of awareness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ECTA (Act 25 of 2002)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Electronic communications and cybercrimes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 required by enforcement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Cybercrimes Act 19 of 2020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Reporting of cybercrime to SAPS &amp; CSIRT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Within 72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ISO/IEC 27035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Incident management best practice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 alignment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NIST SP 800-61r2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Computer security incident handling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Ongoing alignment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2. INCIDENT CLASSIFICATION &amp; SEVERITY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Severity Levels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incidents are classified on intake using the following severity matrix. Severity determines response timelines, escalation paths, and resource allocation.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860"/>
        <w:gridCol w:w="1600"/>
        <w:gridCol w:w="17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SLA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Executive Notify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SEV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breach, ransomware, data exfiltration, nation-state attack, service outage &gt; 50% clients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 (15 min)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— within 30 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SEV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Confirmed intrusion, privilege escalation, active malware, insider threat, single client outage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minutes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— within 2 hrs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SEV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Suspected compromise, phishing success, policy violation, unauthorized access attempt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escalates to SEV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SEV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Failed attack attempt, anomalous but benign activity, security tool alert — no confirmed 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Incident Categories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Incidents are further categorised by type to direct specialist response teams: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CAT-01: Malware &amp; Ransomware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CAT-02: Unauthorised Access / Intrusion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CAT-03: Data Breach / Exfiltration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CAT-04: Denial of Service (DoS/DDoS)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CAT-05: Phishing &amp; Social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CAT-06: Insider Threat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CAT-07: Supply Chain / Third-Party Compromise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CAT-08: Physical Security Incident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CAT-09: Cloud Infrastructure Incident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CAT-10: Application / Web Attack (SQLi, XSS, API abuse)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3. ROLES &amp; RESPONSIBILITIES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Incident Response Team Structure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Responsibilities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IRT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Incident Commander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Owns incident lifecycle, coordinates all functions, executive communication, final decisions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Analyst (L1)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Triage Analyst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Initial alert investigation, severity assessment, ticket creation, initial containment 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Analyst (L2)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Senior Analyst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Deep-dive forensics, malware analysis, IOC extraction, threat hunting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Analyst (L3)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 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Advanced forensics, reverse engineering, complex containment and eradication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Threat Intel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Intel Officer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Contextual threat intelligence, attribution, adversary TTPs (MITRE ATT&amp;CK mapping)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Counsel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Advisor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Regulatory compliance, breach notifications, law enforcement liaison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Communications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 / Comms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Internal and external communications, client notifications, media management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IT/Infrastructure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 Admin Lead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 isolation, backup verification, recovery operations, patch deployment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Liaison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communication, SLA management, progress updates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4. INCIDENT RESPONSE LIFECYCLE (PICERL)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Greyhat 4 Hire follows the PICERL model — a proven six-phase lifecycle that ensures structured, repeatable incident handling from first signal to post-incident review.</w:t>
      </w:r>
    </w:p>
    <w:p>
      <w:pP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176B"/>
          <w:sz w:val="26"/>
          <w:szCs w:val="26"/>
        </w:rPr>
        <w:t xml:space="preserve">Phase 1: Preparation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Preparation is the foundation of all effective incident response. Activities in this phase occur continuously outside of active incidents.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 and update this IRP, playbooks, and contact directories on a quarterly basis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 tabletop exercises and red team exercises at minimum bi-annually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all IR tooling (SIEM, EDR, SOAR, forensics platforms) is operational and tuned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 and test secure out-of-band communication channels (Signal, encrypted email)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Pre-negotiate retainer agreements with external forensics and legal firms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 evidence collection kits and forensic boot media on-hand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Train all staff in phishing awareness, secure reporting channels, and initial response actions</w:t>
      </w:r>
    </w:p>
    <w:p>
      <w:pP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176B"/>
          <w:sz w:val="26"/>
          <w:szCs w:val="26"/>
        </w:rPr>
        <w:t xml:space="preserve">Phase 2: Identification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Identification involves detecting indicators of compromise (IOCs), correlating alerts, and formally declaring an incident.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SIEM, EDR, IDS/IPS, and cloud security tool alerts 24/7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threat intelligence feeds to correlate known-bad IOCs against telemetry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Triage all alerts against the severity matrix within defined SLA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initial findings in the Incident Tracking System (ITS)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true positives before formal incident declaration to minimise false escalations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a unique Incident ID (format: GH4H-IR-YYYY-NNNN) for tracking</w:t>
      </w:r>
    </w:p>
    <w:p>
      <w:pP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176B"/>
          <w:sz w:val="26"/>
          <w:szCs w:val="26"/>
        </w:rPr>
        <w:t xml:space="preserve">Phase 3: Containment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Containment limits the blast radius of an active incident, preventing further damage while evidence is preserved.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Short-Term Containment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Isolate affected hosts from the network using EDR quarantine or VLAN segregation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Disable compromised user accounts and revoke active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Block identified malicious IPs, domains, and file hashes at perimeter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Preserve system state — take memory dumps and disk images before changes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Long-Term Containment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 temporary patches or compensating controls where eradication is delayed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Migrate critical workloads to clean environments where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enhanced monitoring on adjacent and potentially impacted systems</w:t>
      </w:r>
    </w:p>
    <w:p>
      <w:pP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176B"/>
          <w:sz w:val="26"/>
          <w:szCs w:val="26"/>
        </w:rPr>
        <w:t xml:space="preserve">Phase 4: Eradication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Eradication removes all traces of the threat actor and attack artefacts from the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and remove all malware, backdoors, persistence mechanisms, and rogue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 root cause analysis (RCA) to understand initial access vector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Apply security patches and close identified vulnerabilities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Reset all compromised credentials — enforce MFA re-enrolment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Scan all systems with updated AV/EDR signatures post-eradication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no lateral movement artefacts remain in the environment</w:t>
      </w:r>
    </w:p>
    <w:p>
      <w:pP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176B"/>
          <w:sz w:val="26"/>
          <w:szCs w:val="26"/>
        </w:rPr>
        <w:t xml:space="preserve">Phase 5: Recovery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Recovery restores affected systems to normal, validated operation with confidence that the threat has been fully removed.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Restore from known-good backups validated to be free of compromise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Rebuild compromised systems from golden images where appropriate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systems back into production in a controlled, monitored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enhanced monitoring during recovery period (minimum 30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business functionality with system and application owners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all recovery steps with client sign-off before closing the incident</w:t>
      </w:r>
    </w:p>
    <w:p>
      <w:pP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176B"/>
          <w:sz w:val="26"/>
          <w:szCs w:val="26"/>
        </w:rPr>
        <w:t xml:space="preserve">Phase 6: Lessons Learned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incident is an opportunity to improve. A formal post-incident review must be conducted within 5 business days of incident closure.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 a structured blameless post-mortem with all IR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 a complete incident timeline from first signal to closure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gaps in detection, response, tooling, and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IRP, playbooks, and detection rules based on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a formal Post-Incident Report (PIR) for client and management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Track remediation action items with assigned owners and deadlines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5. EVIDENCE HANDLING &amp; CHAIN OF CUSTODY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Evidence Collection Principles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digital evidence must be collected in a forensically sound manner to preserve integrity and maintain admissibility. Follow the order of volatility: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CPU registers and CPU cache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Routing tables, ARP cache, process table, kernel statistics, memory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Temporary file systems and swap space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Network configuration and connections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Running processes and open files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Disk images and persistent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Remote logging and monitoring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Physical configuration and network topology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Archival media and backups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Chain of Custody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piece of evidence must be accompanied by a Chain of Custody (CoC) form documenting: evidence description, collection date/time, collector identity, hash values (SHA-256), storage location, and all subsequent access. CoC breaks render evidence inadmissible and must be escalated to Legal Counsel immediately.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6. DOCUMENT CONTROL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GH4H-IRP-001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Incident Response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 of Security Operations, Greyhat 4 Hire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 — or immediately following a SEV 1 or SEV 2 incident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CONFIDENTIAL — Internal and Authorised Client Use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Republic of South Africa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 Review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 2026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t xml:space="preserve"/>
    </w:r>
  </w:p>
  <w:p>
    <w:pPr>
      <w:tabs>
        <w:tab w:val="center" w:pos="4680"/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Greyhat 4 Hire (Pty) Ltd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E8176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3144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GH4H-IRP-001 | Incident Response Plan</w:t>
          </w:r>
        </w:p>
      </w:tc>
    </w:tr>
  </w:tbl>
  <w:p>
    <w:pPr>
      <w:pBdr>
        <w:bottom w:val="single" w:color="E8176B" w:sz="8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E8176B"/>
      </w:rPr>
    </w:lvl>
    <w:lvl w:ilvl="1" w15:tentative="1">
      <w:start w:val="1"/>
      <w:numFmt w:val="bullet"/>
      <w:lvlText w:val="–"/>
      <w:lvlJc w:val="left"/>
      <w:pPr>
        <w:ind w:left="840" w:hanging="240"/>
      </w:pPr>
      <w:rPr>
        <w:rFonts w:ascii="Arial" w:cs="Arial" w:eastAsia="Arial" w:hAnsi="Arial"/>
        <w:color w:val="8888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b/>
        <w:bCs/>
        <w:color w:val="E8176B"/>
      </w:rPr>
    </w:lvl>
    <w:lvl w:ilvl="1" w15:tentative="1">
      <w:start w:val="1"/>
      <w:numFmt w:val="lowerLetter"/>
      <w:lvlText w:val="%2."/>
      <w:lvlJc w:val="left"/>
      <w:pPr>
        <w:ind w:left="840" w:hanging="240"/>
      </w:pPr>
      <w:rPr>
        <w:rFonts w:ascii="Arial" w:cs="Arial" w:eastAsia="Arial" w:hAnsi="Arial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6ec73a50ac17b38df2a72748225a40988cd95f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ec73a50ac17b38df2a72748225a40988cd95f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2026-02-24T17:08:35.961Z</dcterms:created>
  <dcterms:modified xsi:type="dcterms:W3CDTF">2026-02-24T17:08:35.962Z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