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drawing>
          <wp:inline distT="0" distB="0" distL="0" distR="0">
            <wp:extent cx="2667000" cy="828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0"/>
      </w:pPr>
      <w:r>
        <w:t xml:space="preserve"/>
      </w:r>
    </w:p>
    <w:p>
      <w:pPr>
        <w:spacing w:before="0" w:after="0"/>
      </w:pPr>
      <w:r>
        <w:rPr>
          <w:rFonts w:ascii="Arial" w:cs="Arial" w:eastAsia="Arial" w:hAnsi="Arial"/>
          <w:b/>
          <w:bCs/>
          <w:color w:val="E8166D"/>
          <w:sz w:val="20"/>
          <w:szCs w:val="20"/>
        </w:rPr>
        <w:t xml:space="preserve">GREYHAT 4 HIRE  |  TEMPLATE</w:t>
      </w:r>
    </w:p>
    <w:p>
      <w:pPr>
        <w:spacing w:before="60" w:after="0"/>
      </w:pPr>
      <w:r>
        <w:rPr>
          <w:rFonts w:ascii="Arial" w:cs="Arial" w:eastAsia="Arial" w:hAnsi="Arial"/>
          <w:b/>
          <w:bCs/>
          <w:color w:val="1B1B2E"/>
          <w:sz w:val="64"/>
          <w:szCs w:val="64"/>
        </w:rPr>
        <w:t xml:space="preserve">INCIDENT RESPONSE</w:t>
      </w:r>
    </w:p>
    <w:p>
      <w:pPr>
        <w:spacing w:before="0" w:after="0"/>
      </w:pPr>
      <w:r>
        <w:rPr>
          <w:rFonts w:ascii="Arial" w:cs="Arial" w:eastAsia="Arial" w:hAnsi="Arial"/>
          <w:b/>
          <w:bCs/>
          <w:color w:val="E8166D"/>
          <w:sz w:val="64"/>
          <w:szCs w:val="64"/>
        </w:rPr>
        <w:t xml:space="preserve">PLAN TEMPLATE</w:t>
      </w:r>
    </w:p>
    <w:p>
      <w:pPr>
        <w:pBdr>
          <w:bottom w:val="single" w:color="E8166D" w:sz="8" w:space="2"/>
        </w:pBdr>
        <w:spacing w:before="120" w:after="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Aligned with NIST SP 800-61  |  ISO/IEC 27035  |  POPIA Section 22</w:t>
      </w:r>
    </w:p>
    <w:p>
      <w:pPr>
        <w:spacing w:before="3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16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Organisation Name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8166D" w:sz="6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16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Version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8166D" w:sz="6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16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 Owner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8166D" w:sz="6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16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Effective Date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8166D" w:sz="6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16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8166D" w:sz="6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16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8166D" w:sz="6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16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8166D" w:sz="6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16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Next Revision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8166D" w:sz="6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166D" w:val="clear"/>
          </w:tcPr>
          <w:p>
            <w:r>
              <w:t xml:space="preserve"/>
            </w:r>
          </w:p>
        </w:tc>
        <w:tc>
          <w:tcPr>
            <w:tcW w:type="dxa" w:w="9180"/>
            <w:tcBorders>
              <w:top w:val="single" w:color="F5BBCF" w:sz="1"/>
              <w:left w:val="none" w:color="FFFFFF" w:sz="0"/>
              <w:bottom w:val="single" w:color="F5BBCF" w:sz="1"/>
              <w:right w:val="single" w:color="F5BBCF" w:sz="1"/>
            </w:tcBorders>
            <w:shd w:fill="FCE4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030"/>
                <w:sz w:val="20"/>
                <w:szCs w:val="20"/>
              </w:rPr>
              <w:t xml:space="preserve">⚠  This is a fill-in template. All blank fields must be completed before this plan is operational. Review annually or after any major incident.</w:t>
            </w:r>
          </w:p>
        </w:tc>
      </w:tr>
    </w:tbl>
    <w:p>
      <w:pPr>
        <w:spacing w:before="100" w:after="0"/>
      </w:pPr>
      <w:r>
        <w:t xml:space="preserve"/>
      </w:r>
    </w:p>
    <w:p>
      <w:r>
        <w:br w:type="page"/>
      </w:r>
    </w:p>
    <w:p>
      <w:pPr>
        <w:pBdr>
          <w:bottom w:val="single" w:color="E8166D" w:sz="6" w:space="2"/>
        </w:pBdr>
        <w:spacing w:before="400" w:after="100"/>
      </w:pPr>
      <w:r>
        <w:rPr>
          <w:rFonts w:ascii="Arial" w:cs="Arial" w:eastAsia="Arial" w:hAnsi="Arial"/>
          <w:b/>
          <w:bCs/>
          <w:color w:val="1B1B2E"/>
          <w:sz w:val="30"/>
          <w:szCs w:val="30"/>
        </w:rPr>
        <w:t xml:space="preserve">1.  Introduction &amp; Purpose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Incident Response Plan (IRP) defines the policies, procedures, and responsibilities that [ORGANISATION NAME] will follow when detecting, containing, eradicating, and recovering from cybersecurity incidents.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plan is aligned with NIST SP 800-61 Rev. 2, ISO/IEC 27035, and the Protection of Personal Information Act (POPIA) requirements applicable to South African organisations.</w:t>
      </w:r>
    </w:p>
    <w:p>
      <w:pPr>
        <w:spacing w:before="8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B1B2E"/>
          <w:sz w:val="24"/>
          <w:szCs w:val="24"/>
        </w:rPr>
        <w:t xml:space="preserve">Plan Objectives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Minimise business impact, data loss, and reputational damage from cyber incidents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Ensure compliance with POPIA, ECTA, and applicable international standards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Preserve digital forensic evidence for regulatory reporting and legal proceedings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sz w:val="20"/>
          <w:szCs w:val="20"/>
        </w:rPr>
        <w:t xml:space="preserve">Drive continuous improvement through post-incident analysis and threat intelligence</w:t>
      </w:r>
    </w:p>
    <w:p>
      <w:pPr>
        <w:spacing w:before="6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B1B2E"/>
          <w:sz w:val="24"/>
          <w:szCs w:val="24"/>
        </w:rPr>
        <w:t xml:space="preserve">Scope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[Describe which systems, locations, data types, and business units this plan covers. Include any explicit exclusions.]</w:t>
      </w:r>
    </w:p>
    <w:p>
      <w:pPr>
        <w:spacing w:before="100" w:after="0"/>
      </w:pPr>
      <w:r>
        <w:t xml:space="preserve"/>
      </w:r>
    </w:p>
    <w:p>
      <w:pPr>
        <w:pBdr>
          <w:bottom w:val="single" w:color="E8166D" w:sz="6" w:space="2"/>
        </w:pBdr>
        <w:spacing w:before="400" w:after="100"/>
      </w:pPr>
      <w:r>
        <w:rPr>
          <w:rFonts w:ascii="Arial" w:cs="Arial" w:eastAsia="Arial" w:hAnsi="Arial"/>
          <w:b/>
          <w:bCs/>
          <w:color w:val="1B1B2E"/>
          <w:sz w:val="30"/>
          <w:szCs w:val="30"/>
        </w:rPr>
        <w:t xml:space="preserve">2.  Incident Response Team Structure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Cyber Security Incident Response Team (CSIRT) is responsible for executing this plan. All members must be trained and reachable 24/7 during an active incident.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80"/>
        <w:gridCol w:w="1880"/>
        <w:gridCol w:w="3000"/>
      </w:tblGrid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16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16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16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Phone (24/7)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16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Email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Incident Commander</w:t>
            </w:r>
          </w:p>
        </w:tc>
        <w:tc>
          <w:tcPr>
            <w:tcW w:type="dxa" w:w="1880"/>
            <w:tcBorders>
              <w:top w:val="single" w:color="E0E0E0" w:sz="1"/>
              <w:left w:val="single" w:color="E0E0E0" w:sz="1"/>
              <w:bottom w:val="single" w:color="E8166D" w:sz="6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80"/>
            <w:tcBorders>
              <w:top w:val="single" w:color="E0E0E0" w:sz="1"/>
              <w:left w:val="single" w:color="E0E0E0" w:sz="1"/>
              <w:bottom w:val="single" w:color="E8166D" w:sz="6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8166D" w:sz="6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CISO / Security Manager</w:t>
            </w:r>
          </w:p>
        </w:tc>
        <w:tc>
          <w:tcPr>
            <w:tcW w:type="dxa" w:w="1880"/>
            <w:tcBorders>
              <w:top w:val="single" w:color="E0E0E0" w:sz="1"/>
              <w:left w:val="single" w:color="E0E0E0" w:sz="1"/>
              <w:bottom w:val="single" w:color="E8166D" w:sz="6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80"/>
            <w:tcBorders>
              <w:top w:val="single" w:color="E0E0E0" w:sz="1"/>
              <w:left w:val="single" w:color="E0E0E0" w:sz="1"/>
              <w:bottom w:val="single" w:color="E8166D" w:sz="6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8166D" w:sz="6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Lead Forensic Analyst</w:t>
            </w:r>
          </w:p>
        </w:tc>
        <w:tc>
          <w:tcPr>
            <w:tcW w:type="dxa" w:w="1880"/>
            <w:tcBorders>
              <w:top w:val="single" w:color="E0E0E0" w:sz="1"/>
              <w:left w:val="single" w:color="E0E0E0" w:sz="1"/>
              <w:bottom w:val="single" w:color="E8166D" w:sz="6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80"/>
            <w:tcBorders>
              <w:top w:val="single" w:color="E0E0E0" w:sz="1"/>
              <w:left w:val="single" w:color="E0E0E0" w:sz="1"/>
              <w:bottom w:val="single" w:color="E8166D" w:sz="6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8166D" w:sz="6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Network Security Engineer</w:t>
            </w:r>
          </w:p>
        </w:tc>
        <w:tc>
          <w:tcPr>
            <w:tcW w:type="dxa" w:w="1880"/>
            <w:tcBorders>
              <w:top w:val="single" w:color="E0E0E0" w:sz="1"/>
              <w:left w:val="single" w:color="E0E0E0" w:sz="1"/>
              <w:bottom w:val="single" w:color="E8166D" w:sz="6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80"/>
            <w:tcBorders>
              <w:top w:val="single" w:color="E0E0E0" w:sz="1"/>
              <w:left w:val="single" w:color="E0E0E0" w:sz="1"/>
              <w:bottom w:val="single" w:color="E8166D" w:sz="6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8166D" w:sz="6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Legal / Compliance Officer</w:t>
            </w:r>
          </w:p>
        </w:tc>
        <w:tc>
          <w:tcPr>
            <w:tcW w:type="dxa" w:w="1880"/>
            <w:tcBorders>
              <w:top w:val="single" w:color="E0E0E0" w:sz="1"/>
              <w:left w:val="single" w:color="E0E0E0" w:sz="1"/>
              <w:bottom w:val="single" w:color="E8166D" w:sz="6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80"/>
            <w:tcBorders>
              <w:top w:val="single" w:color="E0E0E0" w:sz="1"/>
              <w:left w:val="single" w:color="E0E0E0" w:sz="1"/>
              <w:bottom w:val="single" w:color="E8166D" w:sz="6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8166D" w:sz="6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Communications Officer</w:t>
            </w:r>
          </w:p>
        </w:tc>
        <w:tc>
          <w:tcPr>
            <w:tcW w:type="dxa" w:w="1880"/>
            <w:tcBorders>
              <w:top w:val="single" w:color="E0E0E0" w:sz="1"/>
              <w:left w:val="single" w:color="E0E0E0" w:sz="1"/>
              <w:bottom w:val="single" w:color="E8166D" w:sz="6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80"/>
            <w:tcBorders>
              <w:top w:val="single" w:color="E0E0E0" w:sz="1"/>
              <w:left w:val="single" w:color="E0E0E0" w:sz="1"/>
              <w:bottom w:val="single" w:color="E8166D" w:sz="6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8166D" w:sz="6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External IR Partner (Greyhat 4 Hire)</w:t>
            </w:r>
          </w:p>
        </w:tc>
        <w:tc>
          <w:tcPr>
            <w:tcW w:type="dxa" w:w="1880"/>
            <w:tcBorders>
              <w:top w:val="single" w:color="E0E0E0" w:sz="1"/>
              <w:left w:val="single" w:color="E0E0E0" w:sz="1"/>
              <w:bottom w:val="single" w:color="E8166D" w:sz="6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80"/>
            <w:tcBorders>
              <w:top w:val="single" w:color="E0E0E0" w:sz="1"/>
              <w:left w:val="single" w:color="E0E0E0" w:sz="1"/>
              <w:bottom w:val="single" w:color="E8166D" w:sz="6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8166D" w:sz="6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100" w:after="0"/>
      </w:pPr>
      <w:r>
        <w:t xml:space="preserve"/>
      </w:r>
    </w:p>
    <w:p>
      <w:pPr>
        <w:pBdr>
          <w:bottom w:val="single" w:color="E8166D" w:sz="6" w:space="2"/>
        </w:pBdr>
        <w:spacing w:before="400" w:after="100"/>
      </w:pPr>
      <w:r>
        <w:rPr>
          <w:rFonts w:ascii="Arial" w:cs="Arial" w:eastAsia="Arial" w:hAnsi="Arial"/>
          <w:b/>
          <w:bCs/>
          <w:color w:val="1B1B2E"/>
          <w:sz w:val="30"/>
          <w:szCs w:val="30"/>
        </w:rPr>
        <w:t xml:space="preserve">3.  Incident Classification Matrix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incidents are classified using a four-tier severity model to ensure appropriate resource allocation and response urgency — consistent with the Greyhat 4 Hire Incident Response Framework.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800"/>
        <w:gridCol w:w="2160"/>
        <w:gridCol w:w="2800"/>
      </w:tblGrid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16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16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16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Notify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16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Examples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16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Immediate Actions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CRITICAL — SEV 1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&lt; 15 Min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CEO, Board, Regulator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Ransomware, Breach &gt;10k records, APT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Full CSIRT activation, executive notification, regulatory reporting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HIGH — SEV 2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&lt; 1 Hour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CISO, IT Director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Malware, Unauthorised admin access, DDoS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Senior analyst, network isolation, vendor escalation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MEDIUM — SEV 3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&lt; 4 Hours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IT Manager, Sec Lead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Phishing, Single compromise, Policy violation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Investigation, account suspension, evidence collection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LOW — SEV 4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&lt; 24 Hours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Security Analyst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Port scans, Failed logins, Spam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Log review, standard remediation, documentation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Bdr>
          <w:bottom w:val="single" w:color="E8166D" w:sz="6" w:space="2"/>
        </w:pBdr>
        <w:spacing w:before="400" w:after="100"/>
      </w:pPr>
      <w:r>
        <w:rPr>
          <w:rFonts w:ascii="Arial" w:cs="Arial" w:eastAsia="Arial" w:hAnsi="Arial"/>
          <w:b/>
          <w:bCs/>
          <w:color w:val="1B1B2E"/>
          <w:sz w:val="30"/>
          <w:szCs w:val="30"/>
        </w:rPr>
        <w:t xml:space="preserve">4.  Response Phases &amp; Checklists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B1B2E"/>
          <w:sz w:val="24"/>
          <w:szCs w:val="24"/>
        </w:rPr>
        <w:t xml:space="preserve">4.1  Detection &amp; Initial Triage</w:t>
      </w:r>
    </w:p>
    <w:p>
      <w:pPr>
        <w:spacing w:before="40" w:after="40"/>
      </w:pPr>
      <w:r>
        <w:rPr>
          <w:rFonts w:ascii="Arial" w:cs="Arial" w:eastAsia="Arial" w:hAnsi="Arial"/>
          <w:color w:val="E8166D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Alert received via SIEM, EDR, or manual report — log receipt time</w:t>
      </w:r>
    </w:p>
    <w:p>
      <w:pPr>
        <w:spacing w:before="40" w:after="40"/>
      </w:pPr>
      <w:r>
        <w:rPr>
          <w:rFonts w:ascii="Arial" w:cs="Arial" w:eastAsia="Arial" w:hAnsi="Arial"/>
          <w:color w:val="E8166D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Analyst validates: true positive vs false positive determination</w:t>
      </w:r>
    </w:p>
    <w:p>
      <w:pPr>
        <w:spacing w:before="40" w:after="40"/>
      </w:pPr>
      <w:r>
        <w:rPr>
          <w:rFonts w:ascii="Arial" w:cs="Arial" w:eastAsia="Arial" w:hAnsi="Arial"/>
          <w:color w:val="E8166D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Assign severity tier (SEV 1–4) using Classification Matrix above</w:t>
      </w:r>
    </w:p>
    <w:p>
      <w:pPr>
        <w:spacing w:before="40" w:after="40"/>
      </w:pPr>
      <w:r>
        <w:rPr>
          <w:rFonts w:ascii="Arial" w:cs="Arial" w:eastAsia="Arial" w:hAnsi="Arial"/>
          <w:color w:val="E8166D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Initiate notification tree per classification level</w:t>
      </w:r>
    </w:p>
    <w:p>
      <w:pPr>
        <w:spacing w:before="40" w:after="40"/>
      </w:pPr>
      <w:r>
        <w:rPr>
          <w:rFonts w:ascii="Arial" w:cs="Arial" w:eastAsia="Arial" w:hAnsi="Arial"/>
          <w:color w:val="E8166D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Open incident ticket and assign Incident ID: [FORMAT: INC-YYYY-XXXX]</w:t>
      </w:r>
    </w:p>
    <w:p>
      <w:pPr>
        <w:spacing w:before="40" w:after="40"/>
      </w:pPr>
      <w:r>
        <w:rPr>
          <w:rFonts w:ascii="Arial" w:cs="Arial" w:eastAsia="Arial" w:hAnsi="Arial"/>
          <w:color w:val="E8166D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Begin evidence preservation — do NOT reboot or shut down systems</w:t>
      </w:r>
    </w:p>
    <w:p>
      <w:pPr>
        <w:spacing w:before="8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B1B2E"/>
          <w:sz w:val="24"/>
          <w:szCs w:val="24"/>
        </w:rPr>
        <w:t xml:space="preserve">4.2  Containment</w:t>
      </w:r>
    </w:p>
    <w:p>
      <w:pPr>
        <w:spacing w:before="40" w:after="40"/>
      </w:pPr>
      <w:r>
        <w:rPr>
          <w:rFonts w:ascii="Arial" w:cs="Arial" w:eastAsia="Arial" w:hAnsi="Arial"/>
          <w:color w:val="E8166D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Isolate affected systems from network (VLAN quarantine or physical disconnect)</w:t>
      </w:r>
    </w:p>
    <w:p>
      <w:pPr>
        <w:spacing w:before="40" w:after="40"/>
      </w:pPr>
      <w:r>
        <w:rPr>
          <w:rFonts w:ascii="Arial" w:cs="Arial" w:eastAsia="Arial" w:hAnsi="Arial"/>
          <w:color w:val="E8166D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Block malicious IPs/domains at perimeter firewall</w:t>
      </w:r>
    </w:p>
    <w:p>
      <w:pPr>
        <w:spacing w:before="40" w:after="40"/>
      </w:pPr>
      <w:r>
        <w:rPr>
          <w:rFonts w:ascii="Arial" w:cs="Arial" w:eastAsia="Arial" w:hAnsi="Arial"/>
          <w:color w:val="E8166D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Disable compromised user accounts and revoke all active sessions</w:t>
      </w:r>
    </w:p>
    <w:p>
      <w:pPr>
        <w:spacing w:before="40" w:after="40"/>
      </w:pPr>
      <w:r>
        <w:rPr>
          <w:rFonts w:ascii="Arial" w:cs="Arial" w:eastAsia="Arial" w:hAnsi="Arial"/>
          <w:color w:val="E8166D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Capture live memory before any system changes are made</w:t>
      </w:r>
    </w:p>
    <w:p>
      <w:pPr>
        <w:spacing w:before="40" w:after="40"/>
      </w:pPr>
      <w:r>
        <w:rPr>
          <w:rFonts w:ascii="Arial" w:cs="Arial" w:eastAsia="Arial" w:hAnsi="Arial"/>
          <w:color w:val="E8166D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Preserve all logs in read-only format — maintain chain of custody</w:t>
      </w:r>
    </w:p>
    <w:p>
      <w:pPr>
        <w:spacing w:before="40" w:after="40"/>
      </w:pPr>
      <w:r>
        <w:rPr>
          <w:rFonts w:ascii="Arial" w:cs="Arial" w:eastAsia="Arial" w:hAnsi="Arial"/>
          <w:color w:val="E8166D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Deploy additional monitoring on all identified Indicators of Compromise (IOCs)</w:t>
      </w:r>
    </w:p>
    <w:p>
      <w:pPr>
        <w:spacing w:before="40" w:after="40"/>
      </w:pPr>
      <w:r>
        <w:rPr>
          <w:rFonts w:ascii="Arial" w:cs="Arial" w:eastAsia="Arial" w:hAnsi="Arial"/>
          <w:color w:val="E8166D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Activate backup communication channels if primary comms are compromised</w:t>
      </w:r>
    </w:p>
    <w:p>
      <w:pPr>
        <w:spacing w:before="8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B1B2E"/>
          <w:sz w:val="24"/>
          <w:szCs w:val="24"/>
        </w:rPr>
        <w:t xml:space="preserve">4.3  Eradication &amp; Recovery</w:t>
      </w:r>
    </w:p>
    <w:p>
      <w:pPr>
        <w:spacing w:before="40" w:after="40"/>
      </w:pPr>
      <w:r>
        <w:rPr>
          <w:rFonts w:ascii="Arial" w:cs="Arial" w:eastAsia="Arial" w:hAnsi="Arial"/>
          <w:color w:val="E8166D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Confirm full scope — verify no lateral movement to other systems</w:t>
      </w:r>
    </w:p>
    <w:p>
      <w:pPr>
        <w:spacing w:before="40" w:after="40"/>
      </w:pPr>
      <w:r>
        <w:rPr>
          <w:rFonts w:ascii="Arial" w:cs="Arial" w:eastAsia="Arial" w:hAnsi="Arial"/>
          <w:color w:val="E8166D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Remove all malicious artefacts: malware, webshells, backdoors, rogue accounts</w:t>
      </w:r>
    </w:p>
    <w:p>
      <w:pPr>
        <w:spacing w:before="40" w:after="40"/>
      </w:pPr>
      <w:r>
        <w:rPr>
          <w:rFonts w:ascii="Arial" w:cs="Arial" w:eastAsia="Arial" w:hAnsi="Arial"/>
          <w:color w:val="E8166D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Apply emergency patches to all exploited vulnerabilities</w:t>
      </w:r>
    </w:p>
    <w:p>
      <w:pPr>
        <w:spacing w:before="40" w:after="40"/>
      </w:pPr>
      <w:r>
        <w:rPr>
          <w:rFonts w:ascii="Arial" w:cs="Arial" w:eastAsia="Arial" w:hAnsi="Arial"/>
          <w:color w:val="E8166D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Force organisation-wide credential reset; rotate API keys and revoke certificates</w:t>
      </w:r>
    </w:p>
    <w:p>
      <w:pPr>
        <w:spacing w:before="40" w:after="40"/>
      </w:pPr>
      <w:r>
        <w:rPr>
          <w:rFonts w:ascii="Arial" w:cs="Arial" w:eastAsia="Arial" w:hAnsi="Arial"/>
          <w:color w:val="E8166D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Restore from verified clean backups — confirm integrity before restoration</w:t>
      </w:r>
    </w:p>
    <w:p>
      <w:pPr>
        <w:spacing w:before="40" w:after="40"/>
      </w:pPr>
      <w:r>
        <w:rPr>
          <w:rFonts w:ascii="Arial" w:cs="Arial" w:eastAsia="Arial" w:hAnsi="Arial"/>
          <w:color w:val="E8166D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Run full AV/EDR scan and confirm no active C2 connections remain</w:t>
      </w:r>
    </w:p>
    <w:p>
      <w:pPr>
        <w:spacing w:before="40" w:after="40"/>
      </w:pPr>
      <w:r>
        <w:rPr>
          <w:rFonts w:ascii="Arial" w:cs="Arial" w:eastAsia="Arial" w:hAnsi="Arial"/>
          <w:color w:val="E8166D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Re-enable user access only after thorough screening and formal sign-off</w:t>
      </w:r>
    </w:p>
    <w:p>
      <w:pPr>
        <w:spacing w:before="40" w:after="40"/>
      </w:pPr>
      <w:r>
        <w:rPr>
          <w:rFonts w:ascii="Arial" w:cs="Arial" w:eastAsia="Arial" w:hAnsi="Arial"/>
          <w:color w:val="E8166D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Maintain enhanced monitoring for minimum 72 hours post-recovery</w:t>
      </w:r>
    </w:p>
    <w:p>
      <w:pPr>
        <w:spacing w:before="100" w:after="0"/>
      </w:pPr>
      <w:r>
        <w:t xml:space="preserve"/>
      </w:r>
    </w:p>
    <w:p>
      <w:pPr>
        <w:pBdr>
          <w:bottom w:val="single" w:color="E8166D" w:sz="6" w:space="2"/>
        </w:pBdr>
        <w:spacing w:before="400" w:after="100"/>
      </w:pPr>
      <w:r>
        <w:rPr>
          <w:rFonts w:ascii="Arial" w:cs="Arial" w:eastAsia="Arial" w:hAnsi="Arial"/>
          <w:b/>
          <w:bCs/>
          <w:color w:val="1B1B2E"/>
          <w:sz w:val="30"/>
          <w:szCs w:val="30"/>
        </w:rPr>
        <w:t xml:space="preserve">5.  Communication &amp; Escalation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Clear, controlled communication is critical during an incident. Define your protocols below.</w:t>
      </w:r>
    </w:p>
    <w:p>
      <w:pPr>
        <w:spacing w:before="6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B1B2E"/>
          <w:sz w:val="24"/>
          <w:szCs w:val="24"/>
        </w:rPr>
        <w:t xml:space="preserve">Internal Communication Protocol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[Describe your internal communication protocol. Include: which secure channels to use (e.g. Signal, encrypted email), briefing intervals, and who is authorised to communicate to which stakeholder group.]</w:t>
      </w:r>
    </w:p>
    <w:p>
      <w:pPr>
        <w:spacing w:before="8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B1B2E"/>
          <w:sz w:val="24"/>
          <w:szCs w:val="24"/>
        </w:rPr>
        <w:t xml:space="preserve">External Emergency Contacts — South Africa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16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Organisation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16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Phone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16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Website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SAPS Cybercrime Unit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08600 10111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saps.gov.za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Information Regulator of SA (IRSF)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+27 10 023 5207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inforegulator.org.za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CERT.org.za — SA National CSIRT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+27 12 748 7000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cert.org.za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Financial Intelligence Centre (FIC)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+27 12 641 6000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fic.gov.za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Greyhat 4 Hire — 24/7 IR Hotline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+27 84 651 3581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www.greyhat4hire.co.za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Bdr>
          <w:bottom w:val="single" w:color="E8166D" w:sz="6" w:space="2"/>
        </w:pBdr>
        <w:spacing w:before="400" w:after="100"/>
      </w:pPr>
      <w:r>
        <w:rPr>
          <w:rFonts w:ascii="Arial" w:cs="Arial" w:eastAsia="Arial" w:hAnsi="Arial"/>
          <w:b/>
          <w:bCs/>
          <w:color w:val="1B1B2E"/>
          <w:sz w:val="30"/>
          <w:szCs w:val="30"/>
        </w:rPr>
        <w:t xml:space="preserve">6.  POPIA Breach Notification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166D" w:val="clear"/>
          </w:tcPr>
          <w:p>
            <w:r>
              <w:t xml:space="preserve"/>
            </w:r>
          </w:p>
        </w:tc>
        <w:tc>
          <w:tcPr>
            <w:tcW w:type="dxa" w:w="9180"/>
            <w:tcBorders>
              <w:top w:val="single" w:color="F5BBCF" w:sz="1"/>
              <w:left w:val="none" w:color="FFFFFF" w:sz="0"/>
              <w:bottom w:val="single" w:color="F5BBCF" w:sz="1"/>
              <w:right w:val="single" w:color="F5BBCF" w:sz="1"/>
            </w:tcBorders>
            <w:shd w:fill="FCE4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030"/>
                <w:sz w:val="20"/>
                <w:szCs w:val="20"/>
              </w:rPr>
              <w:t xml:space="preserve">⚖  MANDATORY: Under POPIA Section 22, you MUST notify the Information Regulator within 72 hours of becoming aware of a personal information breach. Fines of up to R10 million apply for non-compliance.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B1B2E"/>
          <w:sz w:val="24"/>
          <w:szCs w:val="24"/>
        </w:rPr>
        <w:t xml:space="preserve">Notification Checklist</w:t>
      </w:r>
    </w:p>
    <w:p>
      <w:pPr>
        <w:spacing w:before="40" w:after="40"/>
      </w:pPr>
      <w:r>
        <w:rPr>
          <w:rFonts w:ascii="Arial" w:cs="Arial" w:eastAsia="Arial" w:hAnsi="Arial"/>
          <w:color w:val="E8166D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Determine whether personal information (as defined in POPIA) was compromised</w:t>
      </w:r>
    </w:p>
    <w:p>
      <w:pPr>
        <w:spacing w:before="40" w:after="40"/>
      </w:pPr>
      <w:r>
        <w:rPr>
          <w:rFonts w:ascii="Arial" w:cs="Arial" w:eastAsia="Arial" w:hAnsi="Arial"/>
          <w:color w:val="E8166D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Notify the Information Regulator in writing within 72 hours — inforegulator.org.za</w:t>
      </w:r>
    </w:p>
    <w:p>
      <w:pPr>
        <w:spacing w:before="40" w:after="40"/>
      </w:pPr>
      <w:r>
        <w:rPr>
          <w:rFonts w:ascii="Arial" w:cs="Arial" w:eastAsia="Arial" w:hAnsi="Arial"/>
          <w:color w:val="E8166D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Notify all affected data subjects without undue delay</w:t>
      </w:r>
    </w:p>
    <w:p>
      <w:pPr>
        <w:spacing w:before="40" w:after="40"/>
      </w:pPr>
      <w:r>
        <w:rPr>
          <w:rFonts w:ascii="Arial" w:cs="Arial" w:eastAsia="Arial" w:hAnsi="Arial"/>
          <w:color w:val="E8166D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Notification must include: nature of breach, categories of data, scope, and remediation steps</w:t>
      </w:r>
    </w:p>
    <w:p>
      <w:pPr>
        <w:spacing w:before="40" w:after="40"/>
      </w:pPr>
      <w:r>
        <w:rPr>
          <w:rFonts w:ascii="Arial" w:cs="Arial" w:eastAsia="Arial" w:hAnsi="Arial"/>
          <w:color w:val="E8166D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Retain all breach documentation for a minimum of 3 years post-incident</w:t>
      </w:r>
    </w:p>
    <w:p>
      <w:pPr>
        <w:spacing w:before="40" w:after="40"/>
      </w:pPr>
      <w:r>
        <w:rPr>
          <w:rFonts w:ascii="Arial" w:cs="Arial" w:eastAsia="Arial" w:hAnsi="Arial"/>
          <w:color w:val="E8166D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Do NOT make public statements about the breach without legal counsel approval</w:t>
      </w:r>
    </w:p>
    <w:p>
      <w:pPr>
        <w:spacing w:before="8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B1B2E"/>
          <w:sz w:val="24"/>
          <w:szCs w:val="24"/>
        </w:rPr>
        <w:t xml:space="preserve">POPIA Notification Details — Fill In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Date of incident discovery: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E8166D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Nature of the personal information breach: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E8166D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Categories of data subjects affected: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E8166D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Estimated number of data subjects impacted: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E8166D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Likely consequences of the breach: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E8166D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Measures taken or proposed to address the breach: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E8166D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E8166D" w:sz="6" w:space="2"/>
        </w:pBdr>
        <w:spacing w:before="400" w:after="100"/>
      </w:pPr>
      <w:r>
        <w:rPr>
          <w:rFonts w:ascii="Arial" w:cs="Arial" w:eastAsia="Arial" w:hAnsi="Arial"/>
          <w:b/>
          <w:bCs/>
          <w:color w:val="1B1B2E"/>
          <w:sz w:val="30"/>
          <w:szCs w:val="30"/>
        </w:rPr>
        <w:t xml:space="preserve">7.  Post-Incident Review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mandatory lessons learned review must be conducted within 5 business days of incident closure for all SEV 1–3 incidents.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16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Review Area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16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16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Owner &amp; Deadline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Timeline Reconstruction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8166D" w:sz="6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8166D" w:sz="6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Root Cause Analysis (5-Why)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8166D" w:sz="6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8166D" w:sz="6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Detection Gap Analysis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8166D" w:sz="6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8166D" w:sz="6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Containment Effectiveness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8166D" w:sz="6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8166D" w:sz="6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Recovery Effectiveness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8166D" w:sz="6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8166D" w:sz="6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POPIA Compliance Review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8166D" w:sz="6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8166D" w:sz="6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Playbook Updates Required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8166D" w:sz="6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8166D" w:sz="6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100" w:after="0"/>
      </w:pPr>
      <w:r>
        <w:t xml:space="preserve"/>
      </w:r>
    </w:p>
    <w:p>
      <w:pPr>
        <w:pBdr>
          <w:bottom w:val="single" w:color="E8166D" w:sz="6" w:space="2"/>
        </w:pBdr>
        <w:spacing w:before="400" w:after="100"/>
      </w:pPr>
      <w:r>
        <w:rPr>
          <w:rFonts w:ascii="Arial" w:cs="Arial" w:eastAsia="Arial" w:hAnsi="Arial"/>
          <w:b/>
          <w:bCs/>
          <w:color w:val="1B1B2E"/>
          <w:sz w:val="30"/>
          <w:szCs w:val="30"/>
        </w:rPr>
        <w:t xml:space="preserve">8.  Key Performance Metrics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Track these metrics for every SEV 1–3 incident to measure and improve response capability over time — consistent with Greyhat 4 Hire IRF targets.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16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16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16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This Incident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16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Mean Time to Detect (MTTD)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&lt; 24 Hours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8166D" w:sz="6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8166D" w:sz="6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Mean Time to Isolate (MTTI)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&lt; 2 Hours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8166D" w:sz="6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8166D" w:sz="6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Mean Time to Recover (MTTR)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&lt; 72 Hours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8166D" w:sz="6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8166D" w:sz="6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False Positive Rate (FPR)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&lt; 5%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8166D" w:sz="6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8166D" w:sz="6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Containment Rate Index (CRI)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&gt; 95%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8166D" w:sz="6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8166D" w:sz="6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100" w:after="0"/>
      </w:pPr>
      <w:r>
        <w:t xml:space="preserve"/>
      </w:r>
    </w:p>
    <w:p>
      <w:pPr>
        <w:pBdr>
          <w:bottom w:val="single" w:color="E8166D" w:sz="6" w:space="2"/>
        </w:pBdr>
        <w:spacing w:before="400" w:after="100"/>
      </w:pPr>
      <w:r>
        <w:rPr>
          <w:rFonts w:ascii="Arial" w:cs="Arial" w:eastAsia="Arial" w:hAnsi="Arial"/>
          <w:b/>
          <w:bCs/>
          <w:color w:val="1B1B2E"/>
          <w:sz w:val="30"/>
          <w:szCs w:val="30"/>
        </w:rPr>
        <w:t xml:space="preserve">9.  Plan Approval &amp; Sign-Off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Incident Response Plan has been reviewed, approved, and authorised by the following stakeholders: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16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16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16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16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rPr>
          <w:trHeight w:val="600" w:hRule="atLeast"/>
        </w:trP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8166D" w:sz="6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8166D" w:sz="6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8166D" w:sz="6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8166D" w:sz="6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8166D" w:sz="6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8166D" w:sz="6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8166D" w:sz="6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8166D" w:sz="6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8166D" w:sz="6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8166D" w:sz="6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8166D" w:sz="6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8166D" w:sz="6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8166D" w:sz="6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8166D" w:sz="6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8166D" w:sz="6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8166D" w:sz="6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1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166D" w:val="clear"/>
          </w:tcPr>
          <w:p>
            <w:r>
              <w:t xml:space="preserve"/>
            </w:r>
          </w:p>
        </w:tc>
        <w:tc>
          <w:tcPr>
            <w:tcW w:type="dxa" w:w="9180"/>
            <w:tcBorders>
              <w:top w:val="single" w:color="F5BBCF" w:sz="1"/>
              <w:left w:val="none" w:color="FFFFFF" w:sz="0"/>
              <w:bottom w:val="single" w:color="F5BBCF" w:sz="1"/>
              <w:right w:val="single" w:color="F5BBCF" w:sz="1"/>
            </w:tcBorders>
            <w:shd w:fill="FCE4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030"/>
                <w:sz w:val="20"/>
                <w:szCs w:val="20"/>
              </w:rPr>
              <w:t xml:space="preserve">📋  This document must be stored securely, tested via tabletop exercises annually, and updated after every major incident or organisational change.  For professional IR support contact Greyhat 4 Hire: +27 84 651 3581  |  www.greyhat4hire.co.za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480"/>
      <w:gridCol w:w="3880"/>
    </w:tblGrid>
    <w:tr>
      <w:tc>
        <w:tcPr>
          <w:tcW w:type="dxa" w:w="5480"/>
          <w:tcBorders>
            <w:top w:val="single" w:color="E0E0E0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0"/>
            <w:right w:type="dxa" w:w="0"/>
          </w:tcMar>
        </w:tcPr>
        <w:p>
          <w:r>
            <w:rPr>
              <w:rFonts w:ascii="Arial" w:cs="Arial" w:eastAsia="Arial" w:hAnsi="Arial"/>
              <w:color w:val="888888"/>
              <w:sz w:val="16"/>
              <w:szCs w:val="16"/>
            </w:rPr>
            <w:t xml:space="preserve">Greyhat 4 Hire (Pty) Ltd  |  www.greyhat4hire.co.za  |  +27 84 651 3581</w:t>
          </w:r>
        </w:p>
      </w:tc>
      <w:tc>
        <w:tcPr>
          <w:tcW w:type="dxa" w:w="3880"/>
          <w:tcBorders>
            <w:top w:val="single" w:color="E0E0E0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888888"/>
              <w:sz w:val="16"/>
              <w:szCs w:val="16"/>
            </w:rPr>
            <w:t xml:space="preserve">Page </w:t>
          </w:r>
          <w:r>
            <w:rPr>
              <w:rFonts w:ascii="Arial" w:cs="Arial" w:eastAsia="Arial" w:hAnsi="Arial"/>
              <w:color w:val="888888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color w:val="888888"/>
              <w:sz w:val="16"/>
              <w:szCs w:val="16"/>
            </w:rPr>
            <w:t xml:space="preserve"> of </w:t>
          </w:r>
          <w:r>
            <w:rPr>
              <w:rFonts w:ascii="Arial" w:cs="Arial" w:eastAsia="Arial" w:hAnsi="Arial"/>
              <w:color w:val="888888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3000"/>
      <w:gridCol w:w="4360"/>
      <w:gridCol w:w="2000"/>
    </w:tblGrid>
    <w:tr>
      <w:tc>
        <w:tcPr>
          <w:tcW w:type="dxa" w:w="3000"/>
          <w:tcBorders>
            <w:top w:val="none" w:color="FFFFFF" w:sz="0"/>
            <w:left w:val="none" w:color="FFFFFF" w:sz="0"/>
            <w:bottom w:val="single" w:color="E8166D" w:sz="6"/>
            <w:right w:val="none" w:color="FFFFFF" w:sz="0"/>
          </w:tcBorders>
          <w:tcMar>
            <w:top w:type="dxa" w:w="40"/>
            <w:left w:type="dxa" w:w="0"/>
            <w:bottom w:type="dxa" w:w="60"/>
            <w:right w:type="dxa" w:w="0"/>
          </w:tcMar>
          <w:vAlign w:val="bottom"/>
        </w:tcPr>
        <w:p>
          <w:r>
            <w:drawing>
              <wp:inline distT="0" distB="0" distL="0" distR="0">
                <wp:extent cx="1524000" cy="4762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4000" cy="476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360"/>
          <w:tcBorders>
            <w:top w:val="none" w:color="FFFFFF" w:sz="0"/>
            <w:left w:val="none" w:color="FFFFFF" w:sz="0"/>
            <w:bottom w:val="single" w:color="E8166D" w:sz="6"/>
            <w:right w:val="none" w:color="FFFFFF" w:sz="0"/>
          </w:tcBorders>
          <w:tcMar>
            <w:top w:type="dxa" w:w="40"/>
            <w:left w:type="dxa" w:w="120"/>
            <w:bottom w:type="dxa" w:w="60"/>
            <w:right w:type="dxa" w:w="120"/>
          </w:tcMar>
          <w:vAlign w:val="bottom"/>
        </w:tcPr>
        <w:p>
          <w:pPr>
            <w:jc w:val="center"/>
          </w:pPr>
          <w:r>
            <w:rPr>
              <w:rFonts w:ascii="Arial" w:cs="Arial" w:eastAsia="Arial" w:hAnsi="Arial"/>
              <w:b/>
              <w:bCs/>
              <w:color w:val="1B1B2E"/>
              <w:sz w:val="17"/>
              <w:szCs w:val="17"/>
            </w:rPr>
            <w:t xml:space="preserve">INCIDENT RESPONSE PLAN TEMPLATE</w:t>
          </w:r>
        </w:p>
      </w:tc>
      <w:tc>
        <w:tcPr>
          <w:tcW w:type="dxa" w:w="2000"/>
          <w:tcBorders>
            <w:top w:val="none" w:color="FFFFFF" w:sz="0"/>
            <w:left w:val="none" w:color="FFFFFF" w:sz="0"/>
            <w:bottom w:val="single" w:color="E8166D" w:sz="6"/>
            <w:right w:val="none" w:color="FFFFFF" w:sz="0"/>
          </w:tcBorders>
          <w:tcMar>
            <w:top w:type="dxa" w:w="40"/>
            <w:left w:type="dxa" w:w="0"/>
            <w:bottom w:type="dxa" w:w="60"/>
            <w:right w:type="dxa" w:w="0"/>
          </w:tcMar>
          <w:vAlign w:val="bottom"/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E8166D"/>
              <w:sz w:val="17"/>
              <w:szCs w:val="17"/>
            </w:rPr>
            <w:t xml:space="preserve">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00"/>
      <w:outlineLvl w:val="0"/>
    </w:pPr>
    <w:rPr>
      <w:rFonts w:ascii="Arial" w:cs="Arial" w:eastAsia="Arial" w:hAnsi="Arial"/>
      <w:b/>
      <w:bCs/>
      <w:color w:val="1B1B2E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B1B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26ec73a50ac17b38df2a72748225a40988cd95f5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6ec73a50ac17b38df2a72748225a40988cd95f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2026-02-22T13:31:37.720Z</dcterms:created>
  <dcterms:modified xsi:type="dcterms:W3CDTF">2026-02-22T13:31:37.721Z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