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A1A2E"/>
          <w:sz w:val="26"/>
        </w:rPr>
        <w:t>Nexgen Commodity Brokers Inc.</w:t>
      </w:r>
    </w:p>
    <w:p>
      <w:pPr>
        <w:spacing w:after="200"/>
      </w:pPr>
      <w:r>
        <w:rPr>
          <w:color w:val="888888"/>
          <w:sz w:val="18"/>
        </w:rPr>
        <w:t>1221 Avenue of the Americas, New York NY 10020    |    trade-confirms@nexgencb.com    |    +1 212 555 0143</w:t>
      </w:r>
    </w:p>
    <w:p>
      <w:pPr>
        <w:spacing w:after="16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80"/>
      </w:pPr>
      <w:r>
        <w:rPr>
          <w:b/>
          <w:color w:val="1A1A2E"/>
          <w:sz w:val="28"/>
        </w:rPr>
        <w:t>TRADE CONFIRMATION</w:t>
      </w:r>
    </w:p>
    <w:p>
      <w:pPr>
        <w:spacing w:after="280"/>
      </w:pPr>
      <w:r>
        <w:rPr>
          <w:b/>
          <w:sz w:val="21"/>
        </w:rPr>
        <w:t xml:space="preserve">Confirmation ID: </w:t>
      </w:r>
      <w:r>
        <w:rPr>
          <w:sz w:val="21"/>
        </w:rPr>
        <w:t xml:space="preserve">NCB-SWAP-2026-003341    </w:t>
      </w:r>
      <w:r>
        <w:rPr>
          <w:b/>
          <w:sz w:val="21"/>
        </w:rPr>
        <w:t xml:space="preserve">Trade Date: </w:t>
      </w:r>
      <w:r>
        <w:rPr>
          <w:sz w:val="21"/>
        </w:rPr>
        <w:t xml:space="preserve">22 May 2026    </w:t>
      </w:r>
      <w:r>
        <w:rPr>
          <w:b/>
          <w:sz w:val="21"/>
        </w:rPr>
        <w:t xml:space="preserve">Settlement Date: </w:t>
      </w:r>
      <w:r>
        <w:rPr>
          <w:sz w:val="21"/>
        </w:rPr>
        <w:t>Monthly cash settlement — first Business Day of following month</w:t>
      </w:r>
    </w:p>
    <w:p>
      <w:pPr>
        <w:spacing w:before="200" w:after="80"/>
      </w:pPr>
      <w:r>
        <w:rPr>
          <w:b/>
          <w:color w:val="1A1A2E"/>
          <w:sz w:val="21"/>
        </w:rPr>
        <w:t>COUNTERPARTY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Counterparty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Starbridge Utilities Co. Ltd.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Counterparty LEI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213800LMNO4455667788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Broker / Desk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Nexgen Energy Derivatives Desk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Execution Venue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OTC — CME Cleared Swap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1A1A2E"/>
          <w:sz w:val="21"/>
        </w:rPr>
        <w:t>INSTRUMENT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Security / Instrument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WTI Crude Oil Fixed-for-Floating Swap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Ticker / Symbol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CL SWAP JUN26-DEC26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Asset Class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Commodity Derivatives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ISIN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N/A — OTC Swap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1A1A2E"/>
          <w:sz w:val="21"/>
        </w:rPr>
        <w:t>TRADE ECONOMICS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Side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FIXED PAYER (Starbridge pays fixed, receives floating)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10,000 barrels per month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Unit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Barrels (BBL)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Price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USD 78.50 per barrel (fixed leg)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Notional Value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USD 785,000 per month / USD 4,710,000 total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Currency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United States Dollar (USD)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Commission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USD 0.04 per barrel (broker commission)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Net Settlement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Cash settled monthly against NYMEX WTI front-month settlement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1A1A2E"/>
          <w:sz w:val="21"/>
        </w:rPr>
        <w:t>ADDITIONAL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Floating Rate Index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NYMEX WTI Light Sweet Crude — front-month settlement price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Calculation Period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June 2026 — December 2026 (7 months)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Payment Frequency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Monthly — 1st Business Day following period end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Clearing House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CME Clearing — account IDs on file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Initial Margin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USD 210,000 posted at CME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Variation Margin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Daily mark-to-market via CME</w:t>
            </w:r>
          </w:p>
        </w:tc>
      </w:tr>
    </w:tbl>
    <w:p>
      <w:pPr>
        <w:spacing w:after="80"/>
      </w:pPr>
    </w:p>
    <w:p>
      <w:pPr>
        <w:spacing w:before="28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sz w:val="18"/>
        </w:rPr>
        <w:t xml:space="preserve">Please review these details and confirm by return no later than </w:t>
      </w:r>
      <w:r>
        <w:rPr>
          <w:b/>
          <w:sz w:val="18"/>
        </w:rPr>
        <w:t>23 May 2026 17:00 EST</w:t>
      </w:r>
      <w:r>
        <w:rPr>
          <w:sz w:val="18"/>
        </w:rPr>
        <w:t>. Any discrepancies must be reported to your designated relationship manager immediately.</w:t>
      </w:r>
    </w:p>
    <w:p>
      <w:pPr>
        <w:spacing w:after="0"/>
      </w:pPr>
      <w:r>
        <w:rPr>
          <w:color w:val="AAAAAA"/>
          <w:sz w:val="17"/>
        </w:rPr>
        <w:t>This confirmation is issued by Nexgen Commodity Brokers Inc. and is subject to the terms of the Master Trading Agreement in place between the parties. Ref: ISDA-SBU-NCB-2025-007.</w:t>
      </w:r>
    </w:p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