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28"/>
        </w:rPr>
        <w:t>MASTER SUPPLY AND SERVICES AGREEMENT</w:t>
      </w:r>
    </w:p>
    <w:p/>
    <w:p>
      <w:pPr>
        <w:jc w:val="center"/>
      </w:pPr>
      <w:r>
        <w:rPr>
          <w:b/>
        </w:rPr>
        <w:t xml:space="preserve">Contract Reference: </w:t>
      </w:r>
      <w:r>
        <w:t xml:space="preserve">PWR-2026-0112    </w:t>
      </w:r>
      <w:r>
        <w:rPr>
          <w:b/>
        </w:rPr>
        <w:t xml:space="preserve">Effective Date: </w:t>
      </w:r>
      <w:r>
        <w:t xml:space="preserve">15 March 2026    </w:t>
      </w:r>
      <w:r>
        <w:rPr>
          <w:b/>
        </w:rPr>
        <w:t xml:space="preserve">Governing Law: </w:t>
      </w:r>
      <w:r>
        <w:t>State of New York, United States</w:t>
      </w:r>
    </w:p>
    <w:p/>
    <w:p>
      <w:pPr>
        <w:spacing w:before="240" w:after="80"/>
      </w:pPr>
      <w:r>
        <w:rPr>
          <w:b/>
          <w:color w:val="1A1A2E"/>
          <w:sz w:val="23"/>
        </w:rPr>
        <w:t>PARTIES</w:t>
      </w:r>
    </w:p>
    <w:p>
      <w:pPr>
        <w:spacing w:after="120"/>
        <w:jc w:val="both"/>
      </w:pPr>
      <w:r>
        <w:t>This Master Supply and Services Agreement ("Agreement") is entered into as of the Effective Date by and between:</w:t>
      </w:r>
    </w:p>
    <w:p>
      <w:pPr>
        <w:spacing w:after="120"/>
        <w:jc w:val="both"/>
      </w:pPr>
      <w:r>
        <w:t>Voltex Power Trading GmbH, registered in Germany (HRB 204831), Taunusanlage 8, 60329 Frankfurt ("Supplier"); and</w:t>
      </w:r>
    </w:p>
    <w:p>
      <w:pPr>
        <w:spacing w:after="120"/>
        <w:jc w:val="both"/>
      </w:pPr>
      <w:r>
        <w:t>Meridian Industrial Corp., a New York corporation, 1 Penn Plaza, New York NY 10119 ("Buyer").</w:t>
      </w:r>
    </w:p>
    <w:p>
      <w:pPr>
        <w:spacing w:after="120"/>
        <w:jc w:val="both"/>
      </w:pPr>
      <w:r>
        <w:t>Supplier and Buyer are each referred to herein individually as a "Party" and collectively as the "Parties".</w:t>
      </w:r>
    </w:p>
    <w:p>
      <w:pPr>
        <w:spacing w:before="240" w:after="80"/>
      </w:pPr>
      <w:r>
        <w:rPr>
          <w:b/>
          <w:color w:val="1A1A2E"/>
          <w:sz w:val="23"/>
        </w:rPr>
        <w:t>RECITALS</w:t>
      </w:r>
    </w:p>
    <w:p>
      <w:pPr>
        <w:spacing w:after="120"/>
        <w:jc w:val="both"/>
      </w:pPr>
      <w:r>
        <w:t>WHEREAS, Supplier is engaged in the business of supplying, trading and delivering physical commodities and related services; and</w:t>
      </w:r>
    </w:p>
    <w:p>
      <w:pPr>
        <w:spacing w:after="120"/>
        <w:jc w:val="both"/>
      </w:pPr>
      <w:r>
        <w:t>WHEREAS, Buyer desires to purchase from Supplier, and Supplier desires to sell to Buyer, such commodities on the terms herein.</w:t>
      </w:r>
    </w:p>
    <w:p>
      <w:pPr>
        <w:spacing w:after="120"/>
        <w:jc w:val="both"/>
      </w:pPr>
      <w:r>
        <w:t>NOW, THEREFORE, in consideration of the mutual covenants herein and other good and valuable consideration, the Parties agree as follows:</w:t>
      </w:r>
    </w:p>
    <w:p>
      <w:pPr>
        <w:spacing w:before="240" w:after="80"/>
      </w:pPr>
      <w:r>
        <w:rPr>
          <w:b/>
          <w:color w:val="1A1A2E"/>
          <w:sz w:val="23"/>
        </w:rPr>
        <w:t>SECTION 1 — DEFINITIONS AND INTERPRETATION</w:t>
      </w:r>
    </w:p>
    <w:p>
      <w:pPr>
        <w:spacing w:after="120"/>
        <w:jc w:val="both"/>
      </w:pPr>
      <w:r>
        <w:rPr>
          <w:b/>
          <w:sz w:val="21"/>
        </w:rPr>
        <w:t xml:space="preserve">1.1.  Definitions.  </w:t>
      </w:r>
      <w:r>
        <w:t>"Affiliate" means any Person that directly or indirectly Controls, is Controlled by, or is under common Control with such Person. "Business Day" means any day other than a Saturday, Sunday or public holiday in the applicable jurisdiction. "Confidential Information" means all non-public information disclosed by one Party to the other that is designated as confidential or that reasonably should be understood to be confidential.</w:t>
      </w:r>
    </w:p>
    <w:p>
      <w:pPr>
        <w:spacing w:after="120"/>
        <w:jc w:val="both"/>
      </w:pPr>
      <w:r>
        <w:rPr>
          <w:b/>
          <w:sz w:val="21"/>
        </w:rPr>
        <w:t xml:space="preserve">1.2.  Interpretation.  </w:t>
      </w:r>
      <w:r>
        <w:t>Unless context otherwise requires: (i) references to a statute include any subordinate legislation and any amendment or replacement thereof; (ii) the singular includes the plural and vice versa; (iii) 'including' shall mean 'including without limitation'; and (iv) headings are for convenience only.</w:t>
      </w:r>
    </w:p>
    <w:p>
      <w:pPr>
        <w:spacing w:before="240" w:after="80"/>
      </w:pPr>
      <w:r>
        <w:rPr>
          <w:b/>
          <w:color w:val="1A1A2E"/>
          <w:sz w:val="23"/>
        </w:rPr>
        <w:t>SECTION 2 — TERM AND TERMINATION</w:t>
      </w:r>
    </w:p>
    <w:p>
      <w:pPr>
        <w:spacing w:after="120"/>
        <w:jc w:val="both"/>
      </w:pPr>
      <w:r>
        <w:rPr>
          <w:b/>
          <w:sz w:val="21"/>
        </w:rPr>
        <w:t xml:space="preserve">2.1.  Initial Term.  </w:t>
      </w:r>
      <w:r>
        <w:t>This Agreement commences on the Effective Date and continues for 24 months (the "Initial Term"), unless earlier terminated. Thereafter it renews automatically for successive 12-month periods unless either Party gives not less than 90 days' prior written notice.</w:t>
      </w:r>
    </w:p>
    <w:p>
      <w:pPr>
        <w:spacing w:after="120"/>
        <w:jc w:val="both"/>
      </w:pPr>
      <w:r>
        <w:rPr>
          <w:b/>
          <w:sz w:val="21"/>
        </w:rPr>
        <w:t xml:space="preserve">2.2.  Termination for Cause.  </w:t>
      </w:r>
      <w:r>
        <w:t>Either Party may terminate immediately on written notice if the other: (a) materially breaches this Agreement and fails to cure within 30 days of written notice; (b) becomes insolvent or subject to insolvency proceedings; or (c) ceases to carry on business.</w:t>
      </w:r>
    </w:p>
    <w:p>
      <w:pPr>
        <w:spacing w:after="120"/>
        <w:jc w:val="both"/>
      </w:pPr>
      <w:r>
        <w:rPr>
          <w:b/>
          <w:sz w:val="21"/>
        </w:rPr>
        <w:t xml:space="preserve">2.3.  Termination for Convenience.  </w:t>
      </w:r>
      <w:r>
        <w:t>After the Initial Term, either Party may terminate for convenience on not less than 180 days' prior written notice.</w:t>
      </w:r>
    </w:p>
    <w:p>
      <w:r>
        <w:br w:type="page"/>
      </w:r>
    </w:p>
    <w:p>
      <w:pPr>
        <w:spacing w:before="240" w:after="80"/>
      </w:pPr>
      <w:r>
        <w:rPr>
          <w:b/>
          <w:color w:val="1A1A2E"/>
          <w:sz w:val="23"/>
        </w:rPr>
        <w:t>SECTION 3 — COMMERCIAL DETAILS</w:t>
      </w:r>
    </w:p>
    <w:p>
      <w:pPr>
        <w:spacing w:after="120"/>
        <w:jc w:val="both"/>
      </w:pPr>
      <w:r>
        <w:t>The following commercial terms govern each Transaction under this Agreement. Individual Transactions may be confirmed by a Transaction Confirmation in the form set out in Schedule 1. In the event of conflict, the Transaction Confirmation shall prevail for that Transaction.</w:t>
      </w:r>
    </w:p>
    <w:tbl>
      <w:tblPr>
        <w:tblStyle w:val="TableGrid"/>
        <w:tblW w:type="auto" w:w="0"/>
        <w:tblLook w:firstColumn="1" w:firstRow="1" w:lastColumn="0" w:lastRow="0" w:noHBand="0" w:noVBand="1" w:val="04A0"/>
      </w:tblPr>
      <w:tblGrid>
        <w:gridCol w:w="4392"/>
        <w:gridCol w:w="4392"/>
      </w:tblGrid>
      <w:tr>
        <w:tc>
          <w:tcPr>
            <w:tcW w:type="dxa" w:w="4392"/>
          </w:tcPr>
          <w:p>
            <w:pPr>
              <w:spacing w:after="40"/>
            </w:pPr>
            <w:r>
              <w:rPr>
                <w:b/>
                <w:sz w:val="20"/>
              </w:rPr>
              <w:t>Commercial Term</w:t>
            </w:r>
          </w:p>
        </w:tc>
        <w:tc>
          <w:tcPr>
            <w:tcW w:type="dxa" w:w="4392"/>
          </w:tcPr>
          <w:p>
            <w:pPr>
              <w:spacing w:after="40"/>
            </w:pPr>
            <w:r>
              <w:rPr>
                <w:b/>
                <w:sz w:val="20"/>
              </w:rPr>
              <w:t>Detail</w:t>
            </w:r>
          </w:p>
        </w:tc>
      </w:tr>
      <w:tr>
        <w:tc>
          <w:tcPr>
            <w:tcW w:type="dxa" w:w="4392"/>
          </w:tcPr>
          <w:p>
            <w:pPr>
              <w:spacing w:after="40"/>
            </w:pPr>
            <w:r>
              <w:rPr>
                <w:sz w:val="20"/>
              </w:rPr>
              <w:t>Counterparty (Buyer)</w:t>
            </w:r>
          </w:p>
        </w:tc>
        <w:tc>
          <w:tcPr>
            <w:tcW w:type="dxa" w:w="4392"/>
          </w:tcPr>
          <w:p>
            <w:pPr>
              <w:spacing w:after="40"/>
            </w:pPr>
            <w:r>
              <w:rPr>
                <w:sz w:val="20"/>
              </w:rPr>
              <w:t>Meridian Industrial Corp., a New York corporation, 1 Penn Plaza, New York NY 10119</w:t>
            </w:r>
          </w:p>
        </w:tc>
      </w:tr>
      <w:tr>
        <w:tc>
          <w:tcPr>
            <w:tcW w:type="dxa" w:w="4392"/>
          </w:tcPr>
          <w:p>
            <w:pPr>
              <w:spacing w:after="40"/>
            </w:pPr>
            <w:r>
              <w:rPr>
                <w:sz w:val="20"/>
              </w:rPr>
              <w:t>Counterparty (Supplier)</w:t>
            </w:r>
          </w:p>
        </w:tc>
        <w:tc>
          <w:tcPr>
            <w:tcW w:type="dxa" w:w="4392"/>
          </w:tcPr>
          <w:p>
            <w:pPr>
              <w:spacing w:after="40"/>
            </w:pPr>
            <w:r>
              <w:rPr>
                <w:sz w:val="20"/>
              </w:rPr>
              <w:t>Voltex Power Trading GmbH, registered in Germany (HRB 204831), Taunusanlage 8, 60329 Frankfurt</w:t>
            </w:r>
          </w:p>
        </w:tc>
      </w:tr>
      <w:tr>
        <w:tc>
          <w:tcPr>
            <w:tcW w:type="dxa" w:w="4392"/>
          </w:tcPr>
          <w:p>
            <w:pPr>
              <w:spacing w:after="40"/>
            </w:pPr>
            <w:r>
              <w:rPr>
                <w:sz w:val="20"/>
              </w:rPr>
              <w:t>Commodity</w:t>
            </w:r>
          </w:p>
        </w:tc>
        <w:tc>
          <w:tcPr>
            <w:tcW w:type="dxa" w:w="4392"/>
          </w:tcPr>
          <w:p>
            <w:pPr>
              <w:spacing w:after="40"/>
            </w:pPr>
            <w:r>
              <w:rPr>
                <w:sz w:val="20"/>
              </w:rPr>
              <w:t>Electricity — PJM Western Hub Peak</w:t>
            </w:r>
          </w:p>
        </w:tc>
      </w:tr>
      <w:tr>
        <w:tc>
          <w:tcPr>
            <w:tcW w:type="dxa" w:w="4392"/>
          </w:tcPr>
          <w:p>
            <w:pPr>
              <w:spacing w:after="40"/>
            </w:pPr>
            <w:r>
              <w:rPr>
                <w:sz w:val="20"/>
              </w:rPr>
              <w:t>Contract Volume</w:t>
            </w:r>
          </w:p>
        </w:tc>
        <w:tc>
          <w:tcPr>
            <w:tcW w:type="dxa" w:w="4392"/>
          </w:tcPr>
          <w:p>
            <w:pPr>
              <w:spacing w:after="40"/>
            </w:pPr>
            <w:r>
              <w:rPr>
                <w:sz w:val="20"/>
              </w:rPr>
              <w:t>25 MW per hour during Peak Hours</w:t>
            </w:r>
          </w:p>
        </w:tc>
      </w:tr>
      <w:tr>
        <w:tc>
          <w:tcPr>
            <w:tcW w:type="dxa" w:w="4392"/>
          </w:tcPr>
          <w:p>
            <w:pPr>
              <w:spacing w:after="40"/>
            </w:pPr>
            <w:r>
              <w:rPr>
                <w:sz w:val="20"/>
              </w:rPr>
              <w:t>Minimum Off-Take Volume</w:t>
            </w:r>
          </w:p>
        </w:tc>
        <w:tc>
          <w:tcPr>
            <w:tcW w:type="dxa" w:w="4392"/>
          </w:tcPr>
          <w:p>
            <w:pPr>
              <w:spacing w:after="40"/>
            </w:pPr>
            <w:r>
              <w:rPr>
                <w:sz w:val="20"/>
              </w:rPr>
              <w:t>20 MW per hour</w:t>
            </w:r>
          </w:p>
        </w:tc>
      </w:tr>
      <w:tr>
        <w:tc>
          <w:tcPr>
            <w:tcW w:type="dxa" w:w="4392"/>
          </w:tcPr>
          <w:p>
            <w:pPr>
              <w:spacing w:after="40"/>
            </w:pPr>
            <w:r>
              <w:rPr>
                <w:sz w:val="20"/>
              </w:rPr>
              <w:t>Maximum Off-Take Volume</w:t>
            </w:r>
          </w:p>
        </w:tc>
        <w:tc>
          <w:tcPr>
            <w:tcW w:type="dxa" w:w="4392"/>
          </w:tcPr>
          <w:p>
            <w:pPr>
              <w:spacing w:after="40"/>
            </w:pPr>
            <w:r>
              <w:rPr>
                <w:sz w:val="20"/>
              </w:rPr>
              <w:t>30 MW per hour</w:t>
            </w:r>
          </w:p>
        </w:tc>
      </w:tr>
      <w:tr>
        <w:tc>
          <w:tcPr>
            <w:tcW w:type="dxa" w:w="4392"/>
          </w:tcPr>
          <w:p>
            <w:pPr>
              <w:spacing w:after="40"/>
            </w:pPr>
            <w:r>
              <w:rPr>
                <w:sz w:val="20"/>
              </w:rPr>
              <w:t>Unit Price</w:t>
            </w:r>
          </w:p>
        </w:tc>
        <w:tc>
          <w:tcPr>
            <w:tcW w:type="dxa" w:w="4392"/>
          </w:tcPr>
          <w:p>
            <w:pPr>
              <w:spacing w:after="40"/>
            </w:pPr>
            <w:r>
              <w:rPr>
                <w:sz w:val="20"/>
              </w:rPr>
              <w:t>USD 52.00 per MWh (subject to Section 3.1 index adjustment)</w:t>
            </w:r>
          </w:p>
        </w:tc>
      </w:tr>
      <w:tr>
        <w:tc>
          <w:tcPr>
            <w:tcW w:type="dxa" w:w="4392"/>
          </w:tcPr>
          <w:p>
            <w:pPr>
              <w:spacing w:after="40"/>
            </w:pPr>
            <w:r>
              <w:rPr>
                <w:sz w:val="20"/>
              </w:rPr>
              <w:t>Price Basis</w:t>
            </w:r>
          </w:p>
        </w:tc>
        <w:tc>
          <w:tcPr>
            <w:tcW w:type="dxa" w:w="4392"/>
          </w:tcPr>
          <w:p>
            <w:pPr>
              <w:spacing w:after="40"/>
            </w:pPr>
            <w:r>
              <w:rPr>
                <w:sz w:val="20"/>
              </w:rPr>
              <w:t>Floating — indexed to PJM Day-Ahead LMP monthly average</w:t>
            </w:r>
          </w:p>
        </w:tc>
      </w:tr>
      <w:tr>
        <w:tc>
          <w:tcPr>
            <w:tcW w:type="dxa" w:w="4392"/>
          </w:tcPr>
          <w:p>
            <w:pPr>
              <w:spacing w:after="40"/>
            </w:pPr>
            <w:r>
              <w:rPr>
                <w:sz w:val="20"/>
              </w:rPr>
              <w:t>Currency</w:t>
            </w:r>
          </w:p>
        </w:tc>
        <w:tc>
          <w:tcPr>
            <w:tcW w:type="dxa" w:w="4392"/>
          </w:tcPr>
          <w:p>
            <w:pPr>
              <w:spacing w:after="40"/>
            </w:pPr>
            <w:r>
              <w:rPr>
                <w:sz w:val="20"/>
              </w:rPr>
              <w:t>United States Dollar (USD)</w:t>
            </w:r>
          </w:p>
        </w:tc>
      </w:tr>
      <w:tr>
        <w:tc>
          <w:tcPr>
            <w:tcW w:type="dxa" w:w="4392"/>
          </w:tcPr>
          <w:p>
            <w:pPr>
              <w:spacing w:after="40"/>
            </w:pPr>
            <w:r>
              <w:rPr>
                <w:sz w:val="20"/>
              </w:rPr>
              <w:t>Delivery Point</w:t>
            </w:r>
          </w:p>
        </w:tc>
        <w:tc>
          <w:tcPr>
            <w:tcW w:type="dxa" w:w="4392"/>
          </w:tcPr>
          <w:p>
            <w:pPr>
              <w:spacing w:after="40"/>
            </w:pPr>
            <w:r>
              <w:rPr>
                <w:sz w:val="20"/>
              </w:rPr>
              <w:t>PJM Western Hub</w:t>
            </w:r>
          </w:p>
        </w:tc>
      </w:tr>
      <w:tr>
        <w:tc>
          <w:tcPr>
            <w:tcW w:type="dxa" w:w="4392"/>
          </w:tcPr>
          <w:p>
            <w:pPr>
              <w:spacing w:after="40"/>
            </w:pPr>
            <w:r>
              <w:rPr>
                <w:sz w:val="20"/>
              </w:rPr>
              <w:t>Delivery Period Start</w:t>
            </w:r>
          </w:p>
        </w:tc>
        <w:tc>
          <w:tcPr>
            <w:tcW w:type="dxa" w:w="4392"/>
          </w:tcPr>
          <w:p>
            <w:pPr>
              <w:spacing w:after="40"/>
            </w:pPr>
            <w:r>
              <w:rPr>
                <w:sz w:val="20"/>
              </w:rPr>
              <w:t>1 April 2026</w:t>
            </w:r>
          </w:p>
        </w:tc>
      </w:tr>
      <w:tr>
        <w:tc>
          <w:tcPr>
            <w:tcW w:type="dxa" w:w="4392"/>
          </w:tcPr>
          <w:p>
            <w:pPr>
              <w:spacing w:after="40"/>
            </w:pPr>
            <w:r>
              <w:rPr>
                <w:sz w:val="20"/>
              </w:rPr>
              <w:t>Delivery Period End</w:t>
            </w:r>
          </w:p>
        </w:tc>
        <w:tc>
          <w:tcPr>
            <w:tcW w:type="dxa" w:w="4392"/>
          </w:tcPr>
          <w:p>
            <w:pPr>
              <w:spacing w:after="40"/>
            </w:pPr>
            <w:r>
              <w:rPr>
                <w:sz w:val="20"/>
              </w:rPr>
              <w:t>31 March 2027</w:t>
            </w:r>
          </w:p>
        </w:tc>
      </w:tr>
      <w:tr>
        <w:tc>
          <w:tcPr>
            <w:tcW w:type="dxa" w:w="4392"/>
          </w:tcPr>
          <w:p>
            <w:pPr>
              <w:spacing w:after="40"/>
            </w:pPr>
            <w:r>
              <w:rPr>
                <w:sz w:val="20"/>
              </w:rPr>
              <w:t>Payment Terms</w:t>
            </w:r>
          </w:p>
        </w:tc>
        <w:tc>
          <w:tcPr>
            <w:tcW w:type="dxa" w:w="4392"/>
          </w:tcPr>
          <w:p>
            <w:pPr>
              <w:spacing w:after="40"/>
            </w:pPr>
            <w:r>
              <w:rPr>
                <w:sz w:val="20"/>
              </w:rPr>
              <w:t>Net 20 days from invoice date</w:t>
            </w:r>
          </w:p>
        </w:tc>
      </w:tr>
      <w:tr>
        <w:tc>
          <w:tcPr>
            <w:tcW w:type="dxa" w:w="4392"/>
          </w:tcPr>
          <w:p>
            <w:pPr>
              <w:spacing w:after="40"/>
            </w:pPr>
            <w:r>
              <w:rPr>
                <w:sz w:val="20"/>
              </w:rPr>
              <w:t>Late Payment Interest</w:t>
            </w:r>
          </w:p>
        </w:tc>
        <w:tc>
          <w:tcPr>
            <w:tcW w:type="dxa" w:w="4392"/>
          </w:tcPr>
          <w:p>
            <w:pPr>
              <w:spacing w:after="40"/>
            </w:pPr>
            <w:r>
              <w:rPr>
                <w:sz w:val="20"/>
              </w:rPr>
              <w:t>Fed Funds Rate + 3.00% per annum</w:t>
            </w:r>
          </w:p>
        </w:tc>
      </w:tr>
      <w:tr>
        <w:tc>
          <w:tcPr>
            <w:tcW w:type="dxa" w:w="4392"/>
          </w:tcPr>
          <w:p>
            <w:pPr>
              <w:spacing w:after="40"/>
            </w:pPr>
            <w:r>
              <w:rPr>
                <w:sz w:val="20"/>
              </w:rPr>
              <w:t>Credit Support</w:t>
            </w:r>
          </w:p>
        </w:tc>
        <w:tc>
          <w:tcPr>
            <w:tcW w:type="dxa" w:w="4392"/>
          </w:tcPr>
          <w:p>
            <w:pPr>
              <w:spacing w:after="40"/>
            </w:pPr>
            <w:r>
              <w:rPr>
                <w:sz w:val="20"/>
              </w:rPr>
              <w:t>Letter of Credit — Deutsche Bank AG</w:t>
            </w:r>
          </w:p>
        </w:tc>
      </w:tr>
      <w:tr>
        <w:tc>
          <w:tcPr>
            <w:tcW w:type="dxa" w:w="4392"/>
          </w:tcPr>
          <w:p>
            <w:pPr>
              <w:spacing w:after="40"/>
            </w:pPr>
            <w:r>
              <w:rPr>
                <w:sz w:val="20"/>
              </w:rPr>
              <w:t>Credit Limit</w:t>
            </w:r>
          </w:p>
        </w:tc>
        <w:tc>
          <w:tcPr>
            <w:tcW w:type="dxa" w:w="4392"/>
          </w:tcPr>
          <w:p>
            <w:pPr>
              <w:spacing w:after="40"/>
            </w:pPr>
            <w:r>
              <w:rPr>
                <w:sz w:val="20"/>
              </w:rPr>
              <w:t>USD 2,500,000</w:t>
            </w:r>
          </w:p>
        </w:tc>
      </w:tr>
    </w:tbl>
    <w:p/>
    <w:p>
      <w:pPr>
        <w:spacing w:after="120"/>
        <w:jc w:val="both"/>
      </w:pPr>
      <w:r>
        <w:rPr>
          <w:b/>
          <w:sz w:val="21"/>
        </w:rPr>
        <w:t xml:space="preserve">3.1.  Price Adjustment.  </w:t>
      </w:r>
      <w:r>
        <w:t>The Unit Price of USD 52.00 per MWh (subject to Section 3.1 index adjustment) is fixed for the Delivery Period and shall not be subject to adjustment by reference to any index or external benchmark except as expressly agreed in writing.</w:t>
      </w:r>
    </w:p>
    <w:p>
      <w:pPr>
        <w:spacing w:after="120"/>
        <w:jc w:val="both"/>
      </w:pPr>
      <w:r>
        <w:rPr>
          <w:b/>
          <w:sz w:val="21"/>
        </w:rPr>
        <w:t xml:space="preserve">3.2.  Invoicing.  </w:t>
      </w:r>
      <w:r>
        <w:t>Supplier shall issue invoices monthly, no later than the 5th Business Day following month-end. Each invoice shall state: (i) volume delivered; (ii) applicable Unit Price; (iii) total amount due; and (iv) applicable taxes.</w:t>
      </w:r>
    </w:p>
    <w:p>
      <w:pPr>
        <w:spacing w:after="120"/>
        <w:jc w:val="both"/>
      </w:pPr>
      <w:r>
        <w:rPr>
          <w:b/>
          <w:sz w:val="21"/>
        </w:rPr>
        <w:t xml:space="preserve">3.3.  Taxes.  </w:t>
      </w:r>
      <w:r>
        <w:t>Each Party bears its own taxes. All amounts are exclusive of VAT or equivalent, which shall be added at the applicable rate where required by law.</w:t>
      </w:r>
    </w:p>
    <w:p>
      <w:pPr>
        <w:spacing w:before="240" w:after="80"/>
      </w:pPr>
      <w:r>
        <w:rPr>
          <w:b/>
          <w:color w:val="1A1A2E"/>
          <w:sz w:val="23"/>
        </w:rPr>
        <w:t>SECTION 4 — REPRESENTATIONS AND WARRANTIES</w:t>
      </w:r>
    </w:p>
    <w:p>
      <w:pPr>
        <w:spacing w:after="120"/>
        <w:jc w:val="both"/>
      </w:pPr>
      <w:r>
        <w:rPr>
          <w:b/>
          <w:sz w:val="21"/>
        </w:rPr>
        <w:t xml:space="preserve">4.1.  Mutual Representations.  </w:t>
      </w:r>
      <w:r>
        <w:t>Each Party represents and warrants that: (a) it is duly organised and validly existing; (b) it has full authority to execute and perform this Agreement; (c) this Agreement is its legal, valid and binding obligation; and (d) execution does not violate any applicable law.</w:t>
      </w:r>
    </w:p>
    <w:p>
      <w:pPr>
        <w:spacing w:before="240" w:after="80"/>
      </w:pPr>
      <w:r>
        <w:rPr>
          <w:b/>
          <w:color w:val="1A1A2E"/>
          <w:sz w:val="23"/>
        </w:rPr>
        <w:t>SECTION 5 — LIMITATION OF LIABILITY</w:t>
      </w:r>
    </w:p>
    <w:p>
      <w:pPr>
        <w:spacing w:after="120"/>
        <w:jc w:val="both"/>
      </w:pPr>
      <w:r>
        <w:rPr>
          <w:b/>
          <w:sz w:val="21"/>
        </w:rPr>
        <w:t xml:space="preserve">5.1.  Exclusion of Consequential Loss.  </w:t>
      </w:r>
      <w:r>
        <w:t>Neither Party shall be liable for any indirect, incidental, consequential or punitive damages. Aggregate liability shall not exceed total fees paid in the 12 months preceding the claim.</w:t>
      </w:r>
    </w:p>
    <w:p>
      <w:pPr>
        <w:spacing w:after="120"/>
        <w:jc w:val="both"/>
      </w:pPr>
      <w:r>
        <w:rPr>
          <w:b/>
          <w:sz w:val="21"/>
        </w:rPr>
        <w:t xml:space="preserve">5.2.  Indemnification.  </w:t>
      </w:r>
      <w:r>
        <w:t>Each Party shall indemnify the other against claims arising from its own breach, gross negligence or wilful misconduct.</w:t>
      </w:r>
    </w:p>
    <w:p>
      <w:pPr>
        <w:spacing w:before="240" w:after="80"/>
      </w:pPr>
      <w:r>
        <w:rPr>
          <w:b/>
          <w:color w:val="1A1A2E"/>
          <w:sz w:val="23"/>
        </w:rPr>
        <w:t>SECTION 6 — GENERAL PROVISIONS</w:t>
      </w:r>
    </w:p>
    <w:p>
      <w:pPr>
        <w:spacing w:after="120"/>
        <w:jc w:val="both"/>
      </w:pPr>
      <w:r>
        <w:rPr>
          <w:b/>
          <w:sz w:val="21"/>
        </w:rPr>
        <w:t xml:space="preserve">6.1.  Governing Law.  </w:t>
      </w:r>
      <w:r>
        <w:t>This Agreement is governed by the laws of State of New York, United States.</w:t>
      </w:r>
    </w:p>
    <w:p>
      <w:pPr>
        <w:spacing w:after="120"/>
        <w:jc w:val="both"/>
      </w:pPr>
      <w:r>
        <w:rPr>
          <w:b/>
          <w:sz w:val="21"/>
        </w:rPr>
        <w:t xml:space="preserve">6.2.  Dispute Resolution.  </w:t>
      </w:r>
      <w:r>
        <w:t>Disputes shall be resolved by arbitration under LCIA Rules, seated in London, in English, before three arbitrators.</w:t>
      </w:r>
    </w:p>
    <w:p>
      <w:pPr>
        <w:spacing w:after="120"/>
        <w:jc w:val="both"/>
      </w:pPr>
      <w:r>
        <w:rPr>
          <w:b/>
          <w:sz w:val="21"/>
        </w:rPr>
        <w:t xml:space="preserve">6.3.  Entire Agreement.  </w:t>
      </w:r>
      <w:r>
        <w:t>This Agreement constitutes the entire agreement and supersedes all prior understandings.</w:t>
      </w:r>
    </w:p>
    <w:p>
      <w:pPr>
        <w:spacing w:after="120"/>
        <w:jc w:val="both"/>
      </w:pPr>
      <w:r>
        <w:rPr>
          <w:b/>
          <w:sz w:val="21"/>
        </w:rPr>
        <w:t xml:space="preserve">6.4.  Amendments.  </w:t>
      </w:r>
      <w:r>
        <w:t>Amendments are only effective if in writing and signed by both Parties.</w:t>
      </w:r>
    </w:p>
    <w:p>
      <w:pPr>
        <w:spacing w:after="120"/>
        <w:jc w:val="both"/>
      </w:pPr>
      <w:r>
        <w:rPr>
          <w:b/>
          <w:sz w:val="21"/>
        </w:rPr>
        <w:t xml:space="preserve">6.5.  Severability.  </w:t>
      </w:r>
      <w:r>
        <w:t>If any provision is held invalid, the remaining provisions continue in full force.</w:t>
      </w:r>
    </w:p>
    <w:p/>
    <w:p>
      <w:pPr>
        <w:spacing w:before="240" w:after="80"/>
      </w:pPr>
      <w:r>
        <w:rPr>
          <w:b/>
          <w:color w:val="1A1A2E"/>
          <w:sz w:val="23"/>
        </w:rPr>
        <w:t>EXECUTION</w:t>
      </w:r>
    </w:p>
    <w:p>
      <w:pPr>
        <w:spacing w:after="120"/>
        <w:jc w:val="both"/>
      </w:pPr>
      <w:r>
        <w:t>IN WITNESS WHEREOF, the Parties have executed this Agreement as of the Effective Date.</w:t>
      </w:r>
    </w:p>
    <w:p/>
    <w:tbl>
      <w:tblPr>
        <w:tblW w:type="auto" w:w="0"/>
        <w:tblLook w:firstColumn="1" w:firstRow="1" w:lastColumn="0" w:lastRow="0" w:noHBand="0" w:noVBand="1" w:val="04A0"/>
      </w:tblPr>
      <w:tblGrid>
        <w:gridCol w:w="4392"/>
        <w:gridCol w:w="4392"/>
      </w:tblGrid>
      <w:tr>
        <w:tc>
          <w:tcPr>
            <w:tcW w:type="dxa" w:w="4392"/>
          </w:tcPr>
          <w:p>
            <w:r>
              <w:rPr>
                <w:b/>
                <w:sz w:val="20"/>
              </w:rPr>
              <w:t>VOLTEX POWER TRADING GMBH</w:t>
            </w:r>
          </w:p>
        </w:tc>
        <w:tc>
          <w:tcPr>
            <w:tcW w:type="dxa" w:w="4392"/>
          </w:tcPr>
          <w:p>
            <w:r>
              <w:rPr>
                <w:b/>
                <w:sz w:val="20"/>
              </w:rPr>
              <w:t>MERIDIAN INDUSTRIAL CORP.</w:t>
            </w:r>
          </w:p>
        </w:tc>
      </w:tr>
      <w:tr>
        <w:tc>
          <w:tcPr>
            <w:tcW w:type="dxa" w:w="4392"/>
          </w:tcPr>
          <w:p>
            <w:r>
              <w:rPr>
                <w:b w:val="0"/>
                <w:sz w:val="20"/>
              </w:rPr>
            </w:r>
          </w:p>
        </w:tc>
        <w:tc>
          <w:tcPr>
            <w:tcW w:type="dxa" w:w="4392"/>
          </w:tcPr>
          <w:p>
            <w:r>
              <w:rPr>
                <w:b w:val="0"/>
                <w:sz w:val="20"/>
              </w:rPr>
            </w:r>
          </w:p>
        </w:tc>
      </w:tr>
      <w:tr>
        <w:tc>
          <w:tcPr>
            <w:tcW w:type="dxa" w:w="4392"/>
          </w:tcPr>
          <w:p>
            <w:r>
              <w:rPr>
                <w:b w:val="0"/>
                <w:sz w:val="20"/>
              </w:rPr>
              <w:t>Signature: _______________________</w:t>
            </w:r>
          </w:p>
        </w:tc>
        <w:tc>
          <w:tcPr>
            <w:tcW w:type="dxa" w:w="4392"/>
          </w:tcPr>
          <w:p>
            <w:r>
              <w:rPr>
                <w:b w:val="0"/>
                <w:sz w:val="20"/>
              </w:rPr>
              <w:t>Signature: _______________________</w:t>
            </w:r>
          </w:p>
        </w:tc>
      </w:tr>
      <w:tr>
        <w:tc>
          <w:tcPr>
            <w:tcW w:type="dxa" w:w="4392"/>
          </w:tcPr>
          <w:p>
            <w:r>
              <w:rPr>
                <w:b w:val="0"/>
                <w:sz w:val="20"/>
              </w:rPr>
              <w:t>Name:      _______________________</w:t>
            </w:r>
          </w:p>
        </w:tc>
        <w:tc>
          <w:tcPr>
            <w:tcW w:type="dxa" w:w="4392"/>
          </w:tcPr>
          <w:p>
            <w:r>
              <w:rPr>
                <w:b w:val="0"/>
                <w:sz w:val="20"/>
              </w:rPr>
              <w:t>Name:      _______________________</w:t>
            </w:r>
          </w:p>
        </w:tc>
      </w:tr>
      <w:tr>
        <w:tc>
          <w:tcPr>
            <w:tcW w:type="dxa" w:w="4392"/>
          </w:tcPr>
          <w:p>
            <w:r>
              <w:rPr>
                <w:b w:val="0"/>
                <w:sz w:val="20"/>
              </w:rPr>
              <w:t>Title:     _______________________</w:t>
            </w:r>
          </w:p>
        </w:tc>
        <w:tc>
          <w:tcPr>
            <w:tcW w:type="dxa" w:w="4392"/>
          </w:tcPr>
          <w:p>
            <w:r>
              <w:rPr>
                <w:b w:val="0"/>
                <w:sz w:val="20"/>
              </w:rPr>
              <w:t>Title:     _______________________</w:t>
            </w:r>
          </w:p>
        </w:tc>
      </w:tr>
      <w:tr>
        <w:tc>
          <w:tcPr>
            <w:tcW w:type="dxa" w:w="4392"/>
          </w:tcPr>
          <w:p>
            <w:r>
              <w:rPr>
                <w:b w:val="0"/>
                <w:sz w:val="20"/>
              </w:rPr>
              <w:t>Date:      _______________________</w:t>
            </w:r>
          </w:p>
        </w:tc>
        <w:tc>
          <w:tcPr>
            <w:tcW w:type="dxa" w:w="4392"/>
          </w:tcPr>
          <w:p>
            <w:r>
              <w:rPr>
                <w:b w:val="0"/>
                <w:sz w:val="20"/>
              </w:rPr>
              <w:t>Date:      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